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naujausias teorines ir praktines žinias apie užkrečiamųjų ligų prevenciją, kontrolę ir valdymą ugdymo įstaigose, stiprinant jų gebėjimus savalaikiai reaguoti į ligų židinius ar protrūkius, efektyviai bendradarbiauti su Nacionaliniu visuomenės sveikatos centru (toliau – NVSC), ugdymo įstaigų bendruomenėmis, bei taikyti aktualias metodines rekomendacijas kasdienėje veikloje.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 Nacionalinio visuomenės sveikatos centro prie Sveikatos apsaugos ministerijos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20</w:t>
      </w:r>
      <w:r>
        <w:rPr>
          <w:rFonts w:cs="Times New Roman" w:ascii="Times New Roman" w:hAnsi="Times New Roman"/>
          <w:b/>
          <w:bCs/>
          <w:sz w:val="24"/>
          <w:szCs w:val="24"/>
          <w:u w:val="single"/>
        </w:rPr>
        <w:t xml:space="preserve">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ne mažiau nei 3 mokymo grupes</w:t>
      </w:r>
      <w:r>
        <w:rPr>
          <w:rFonts w:cs="Times New Roman" w:ascii="Times New Roman" w:hAnsi="Times New Roman"/>
          <w:bCs/>
          <w:color w:val="000000"/>
          <w:sz w:val="24"/>
          <w:szCs w:val="24"/>
        </w:rPr>
        <w:t xml:space="preserve"> (6</w:t>
      </w:r>
      <w:r>
        <w:rPr>
          <w:rFonts w:cs="Times New Roman" w:ascii="Times New Roman" w:hAnsi="Times New Roman"/>
          <w:color w:val="000000"/>
          <w:sz w:val="24"/>
          <w:szCs w:val="24"/>
        </w:rPr>
        <w:t>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ne mažiau nei 17 mokymo grupių </w:t>
      </w:r>
      <w:r>
        <w:rPr>
          <w:rFonts w:cs="Times New Roman" w:ascii="Times New Roman" w:hAnsi="Times New Roman"/>
          <w:bCs/>
          <w:color w:val="000000"/>
          <w:sz w:val="24"/>
          <w:szCs w:val="24"/>
        </w:rPr>
        <w:t>(340 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Užkrečiamųjų ligų aktualumas Lietuvoje ir pasaulyje.</w:t>
      </w:r>
      <w:r>
        <w:rPr>
          <w:rFonts w:cs="Times New Roman" w:ascii="Times New Roman" w:hAnsi="Times New Roman"/>
          <w:sz w:val="24"/>
          <w:szCs w:val="24"/>
        </w:rPr>
        <w:t xml:space="preserve"> </w:t>
      </w:r>
      <w:r>
        <w:rPr>
          <w:rFonts w:ascii="Times New Roman" w:hAnsi="Times New Roman"/>
          <w:sz w:val="24"/>
          <w:szCs w:val="24"/>
        </w:rPr>
        <w:t>Valstybinės užkrečiamųjų ligų programos, užkrečiamųjų ligų ir jų plitimo profilaktikos priemonės, įgyvendinant užkrečiamosios ligos židinio ar protrūkio kontrolės priemones ugdymo įstaigose, metodinės rekomendacijos, jų taikymas.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NVSC ir Visuomenės sveikatos biuro vaidmuo ir užduotys, specialisto, vykdančio sveikatos priežiūrą mokykloje, vaidmuo ir užduotys, reagavimo į užkrečiamąsias ligas algoritmai.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Tarpinstitucinis bendradarbiavimas su NVSC, komunikacija ir efektyvus informacijos perdavimas mokyklos darbuotojams, vaikų tėvams.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sz w:val="24"/>
          <w:szCs w:val="24"/>
        </w:rPr>
        <w:t xml:space="preserve">pateikia kito mėnesio </w:t>
      </w:r>
      <w:r>
        <w:rPr>
          <w:rFonts w:cs="Times New Roman" w:ascii="Times New Roman" w:hAnsi="Times New Roman"/>
          <w:bCs/>
          <w:color w:val="000000"/>
          <w:sz w:val="24"/>
          <w:szCs w:val="24"/>
        </w:rPr>
        <w:t>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r>
        <w:rPr>
          <w:rFonts w:cs="Times New Roman" w:ascii="Times New Roman" w:hAnsi="Times New Roman"/>
          <w:bCs/>
          <w:color w:val="000000"/>
          <w:sz w:val="24"/>
          <w:szCs w:val="24"/>
        </w:rPr>
        <w:t>;</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duomenų </w:t>
      </w:r>
      <w:r>
        <w:rPr>
          <w:rFonts w:cs="Times New Roman" w:ascii="Times New Roman" w:hAnsi="Times New Roman"/>
          <w:bCs/>
          <w:sz w:val="24"/>
          <w:szCs w:val="24"/>
        </w:rPr>
        <w:t>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w:t>
      </w:r>
      <w:r>
        <w:rPr>
          <w:rFonts w:cs="Times New Roman" w:ascii="Times New Roman" w:hAnsi="Times New Roman"/>
          <w:bCs/>
          <w:color w:val="000000"/>
          <w:sz w:val="24"/>
          <w:szCs w:val="24"/>
        </w:rPr>
        <w:t xml:space="preserve">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Po visų mokymų Paslaugų teikėjas turi pateikti detalią paslaugų </w:t>
      </w:r>
      <w:r>
        <w:rPr>
          <w:rFonts w:cs="Times New Roman" w:ascii="Times New Roman" w:hAnsi="Times New Roman"/>
          <w:color w:val="000000"/>
          <w:sz w:val="24"/>
          <w:szCs w:val="24"/>
        </w:rPr>
        <w:t>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7FD6BA-EEB6-414A-A613-B5C410422D3C}"/>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2181</Words>
  <Characters>15554</Characters>
  <CharactersWithSpaces>17609</CharactersWithSpaces>
  <Paragraphs>101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2025-09-23T06:46:33Z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