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8FD3" w14:textId="4E7BDB40" w:rsidR="00EE2AB8" w:rsidRPr="00034941" w:rsidRDefault="00276A09" w:rsidP="00CB3225">
      <w:pPr>
        <w:ind w:right="-421"/>
        <w:jc w:val="right"/>
        <w:rPr>
          <w:b/>
        </w:rPr>
      </w:pPr>
      <w:r w:rsidRPr="00034941">
        <w:rPr>
          <w:b/>
        </w:rPr>
        <w:t>S</w:t>
      </w:r>
      <w:r w:rsidR="00EE2AB8" w:rsidRPr="00034941">
        <w:rPr>
          <w:b/>
        </w:rPr>
        <w:t>ąlygų</w:t>
      </w:r>
      <w:r w:rsidR="009A283D" w:rsidRPr="00034941">
        <w:rPr>
          <w:b/>
        </w:rPr>
        <w:t xml:space="preserve"> </w:t>
      </w:r>
      <w:r w:rsidR="00B61AAA" w:rsidRPr="00034941">
        <w:rPr>
          <w:b/>
        </w:rPr>
        <w:t xml:space="preserve">priedas Nr. </w:t>
      </w:r>
      <w:r w:rsidR="00CB3225" w:rsidRPr="00034941">
        <w:rPr>
          <w:b/>
        </w:rPr>
        <w:t>3</w:t>
      </w:r>
      <w:r w:rsidR="00EE2AB8" w:rsidRPr="00034941">
        <w:rPr>
          <w:b/>
        </w:rPr>
        <w:t xml:space="preserve"> </w:t>
      </w:r>
    </w:p>
    <w:p w14:paraId="038E4C53" w14:textId="77777777" w:rsidR="00EE2AB8" w:rsidRPr="00034941" w:rsidRDefault="00EE2AB8" w:rsidP="00EE2AB8">
      <w:pPr>
        <w:ind w:left="0"/>
        <w:rPr>
          <w:szCs w:val="24"/>
        </w:rPr>
      </w:pPr>
    </w:p>
    <w:p w14:paraId="27B14A42" w14:textId="16D02EC6" w:rsidR="001677B5" w:rsidRPr="00034941" w:rsidRDefault="001677B5" w:rsidP="00C459E0">
      <w:pPr>
        <w:ind w:left="0"/>
        <w:rPr>
          <w:szCs w:val="24"/>
        </w:rPr>
      </w:pPr>
    </w:p>
    <w:p w14:paraId="146D16E2" w14:textId="77777777" w:rsidR="00276A09" w:rsidRPr="00034941" w:rsidRDefault="00276A09" w:rsidP="00276A09">
      <w:pPr>
        <w:jc w:val="center"/>
        <w:rPr>
          <w:b/>
          <w:szCs w:val="24"/>
        </w:rPr>
      </w:pPr>
      <w:r w:rsidRPr="00034941">
        <w:rPr>
          <w:b/>
          <w:szCs w:val="24"/>
        </w:rPr>
        <w:t>TECHNINĖ SPECIFIKACIJA</w:t>
      </w:r>
    </w:p>
    <w:p w14:paraId="2FD578DD" w14:textId="01B55D88" w:rsidR="00E375F6" w:rsidRPr="00E375F6" w:rsidRDefault="00E375F6" w:rsidP="00E375F6">
      <w:pPr>
        <w:jc w:val="center"/>
        <w:rPr>
          <w:b/>
          <w:szCs w:val="24"/>
        </w:rPr>
      </w:pPr>
      <w:r>
        <w:rPr>
          <w:b/>
          <w:szCs w:val="24"/>
        </w:rPr>
        <w:t>MEDIENOS GRANULĖS</w:t>
      </w:r>
      <w:bookmarkStart w:id="0" w:name="_GoBack"/>
      <w:bookmarkEnd w:id="0"/>
    </w:p>
    <w:p w14:paraId="5D6DAB59" w14:textId="77777777" w:rsidR="00E375F6" w:rsidRPr="00C228F6" w:rsidRDefault="00E375F6" w:rsidP="00E375F6">
      <w:pPr>
        <w:pStyle w:val="Body2"/>
        <w:jc w:val="center"/>
        <w:rPr>
          <w:b/>
          <w:i/>
          <w:sz w:val="28"/>
          <w:szCs w:val="28"/>
          <w:lang w:val="lt-LT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536"/>
        <w:gridCol w:w="3048"/>
      </w:tblGrid>
      <w:tr w:rsidR="00E375F6" w:rsidRPr="00C228F6" w14:paraId="0B4D19BB" w14:textId="77777777" w:rsidTr="00094236">
        <w:tc>
          <w:tcPr>
            <w:tcW w:w="596" w:type="dxa"/>
            <w:vAlign w:val="center"/>
          </w:tcPr>
          <w:p w14:paraId="53535BD5" w14:textId="77777777" w:rsidR="00E375F6" w:rsidRPr="00C228F6" w:rsidRDefault="00E375F6" w:rsidP="00094236">
            <w:pPr>
              <w:jc w:val="center"/>
              <w:rPr>
                <w:b/>
                <w:sz w:val="22"/>
                <w:szCs w:val="22"/>
              </w:rPr>
            </w:pPr>
            <w:r w:rsidRPr="00C228F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536" w:type="dxa"/>
            <w:vAlign w:val="center"/>
          </w:tcPr>
          <w:p w14:paraId="3FF6E6CD" w14:textId="77777777" w:rsidR="00E375F6" w:rsidRPr="00C228F6" w:rsidRDefault="00E375F6" w:rsidP="00094236">
            <w:pPr>
              <w:jc w:val="center"/>
              <w:rPr>
                <w:b/>
                <w:sz w:val="22"/>
                <w:szCs w:val="22"/>
              </w:rPr>
            </w:pPr>
            <w:r w:rsidRPr="00C228F6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3048" w:type="dxa"/>
            <w:vAlign w:val="center"/>
          </w:tcPr>
          <w:p w14:paraId="7E0119F0" w14:textId="77777777" w:rsidR="00E375F6" w:rsidRPr="00C228F6" w:rsidRDefault="00E375F6" w:rsidP="00094236">
            <w:pPr>
              <w:jc w:val="center"/>
              <w:rPr>
                <w:b/>
                <w:i/>
                <w:sz w:val="22"/>
                <w:szCs w:val="22"/>
              </w:rPr>
            </w:pPr>
            <w:r w:rsidRPr="00C228F6">
              <w:rPr>
                <w:b/>
                <w:i/>
                <w:sz w:val="22"/>
                <w:szCs w:val="22"/>
              </w:rPr>
              <w:t>Prekių kiekis</w:t>
            </w:r>
          </w:p>
        </w:tc>
      </w:tr>
      <w:tr w:rsidR="00E375F6" w:rsidRPr="00C228F6" w14:paraId="16801A2C" w14:textId="77777777" w:rsidTr="00094236">
        <w:tc>
          <w:tcPr>
            <w:tcW w:w="596" w:type="dxa"/>
          </w:tcPr>
          <w:p w14:paraId="27E0D30F" w14:textId="77777777" w:rsidR="00E375F6" w:rsidRPr="00C228F6" w:rsidRDefault="00E375F6" w:rsidP="00094236">
            <w:pPr>
              <w:rPr>
                <w:sz w:val="22"/>
                <w:szCs w:val="22"/>
              </w:rPr>
            </w:pPr>
            <w:r w:rsidRPr="00C228F6">
              <w:rPr>
                <w:sz w:val="22"/>
                <w:szCs w:val="22"/>
              </w:rPr>
              <w:t>1.</w:t>
            </w:r>
          </w:p>
        </w:tc>
        <w:tc>
          <w:tcPr>
            <w:tcW w:w="5536" w:type="dxa"/>
          </w:tcPr>
          <w:p w14:paraId="770D9BCC" w14:textId="77777777" w:rsidR="00E375F6" w:rsidRDefault="00E375F6" w:rsidP="00094236">
            <w:pPr>
              <w:rPr>
                <w:sz w:val="22"/>
                <w:szCs w:val="22"/>
              </w:rPr>
            </w:pPr>
            <w:r w:rsidRPr="00C228F6">
              <w:rPr>
                <w:sz w:val="22"/>
                <w:szCs w:val="22"/>
              </w:rPr>
              <w:t>Med</w:t>
            </w:r>
            <w:r>
              <w:rPr>
                <w:sz w:val="22"/>
                <w:szCs w:val="22"/>
              </w:rPr>
              <w:t>žio</w:t>
            </w:r>
            <w:r w:rsidRPr="00C228F6">
              <w:rPr>
                <w:sz w:val="22"/>
                <w:szCs w:val="22"/>
              </w:rPr>
              <w:t xml:space="preserve"> granulės su pristatymu (</w:t>
            </w:r>
            <w:proofErr w:type="spellStart"/>
            <w:r w:rsidRPr="00C228F6">
              <w:rPr>
                <w:sz w:val="22"/>
                <w:szCs w:val="22"/>
              </w:rPr>
              <w:t>didmaišiai</w:t>
            </w:r>
            <w:proofErr w:type="spellEnd"/>
            <w:r>
              <w:rPr>
                <w:sz w:val="22"/>
                <w:szCs w:val="22"/>
              </w:rPr>
              <w:t>: išmatavimai (dugno plotis x ilgis x aukštis</w:t>
            </w:r>
            <w:r w:rsidRPr="00C228F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cm</w:t>
            </w:r>
          </w:p>
          <w:p w14:paraId="601EC789" w14:textId="77777777" w:rsidR="00E375F6" w:rsidRPr="00C228F6" w:rsidRDefault="00E375F6" w:rsidP="00094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90x90x125; įpylimo tipas – užrišama anga; išpylimo tipas – užrišama anga su dvigubu užrišimu)</w:t>
            </w:r>
          </w:p>
        </w:tc>
        <w:tc>
          <w:tcPr>
            <w:tcW w:w="3048" w:type="dxa"/>
          </w:tcPr>
          <w:p w14:paraId="17D9B84D" w14:textId="77777777" w:rsidR="00E375F6" w:rsidRPr="00C228F6" w:rsidRDefault="00E375F6" w:rsidP="0009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  <w:r w:rsidRPr="00C228F6">
              <w:rPr>
                <w:i/>
                <w:sz w:val="22"/>
                <w:szCs w:val="22"/>
              </w:rPr>
              <w:t xml:space="preserve"> tonų</w:t>
            </w:r>
          </w:p>
        </w:tc>
      </w:tr>
      <w:tr w:rsidR="00E375F6" w:rsidRPr="00C228F6" w14:paraId="58FC16E8" w14:textId="77777777" w:rsidTr="00094236">
        <w:tc>
          <w:tcPr>
            <w:tcW w:w="596" w:type="dxa"/>
          </w:tcPr>
          <w:p w14:paraId="4B78C64D" w14:textId="77777777" w:rsidR="00E375F6" w:rsidRPr="00C228F6" w:rsidRDefault="00E375F6" w:rsidP="00094236">
            <w:pPr>
              <w:rPr>
                <w:sz w:val="22"/>
                <w:szCs w:val="22"/>
              </w:rPr>
            </w:pPr>
          </w:p>
        </w:tc>
        <w:tc>
          <w:tcPr>
            <w:tcW w:w="5536" w:type="dxa"/>
          </w:tcPr>
          <w:p w14:paraId="735C5A47" w14:textId="77777777" w:rsidR="00E375F6" w:rsidRPr="00C228F6" w:rsidRDefault="00E375F6" w:rsidP="00094236">
            <w:pPr>
              <w:rPr>
                <w:sz w:val="22"/>
                <w:szCs w:val="22"/>
              </w:rPr>
            </w:pPr>
            <w:r w:rsidRPr="00C228F6">
              <w:rPr>
                <w:sz w:val="22"/>
                <w:szCs w:val="22"/>
              </w:rPr>
              <w:t>Med</w:t>
            </w:r>
            <w:r>
              <w:rPr>
                <w:sz w:val="22"/>
                <w:szCs w:val="22"/>
              </w:rPr>
              <w:t>žio</w:t>
            </w:r>
            <w:r w:rsidRPr="00C228F6">
              <w:rPr>
                <w:sz w:val="22"/>
                <w:szCs w:val="22"/>
              </w:rPr>
              <w:t xml:space="preserve"> granulės su pristatymu (maišai po ±15 kg)</w:t>
            </w:r>
          </w:p>
        </w:tc>
        <w:tc>
          <w:tcPr>
            <w:tcW w:w="3048" w:type="dxa"/>
          </w:tcPr>
          <w:p w14:paraId="39003B9F" w14:textId="77777777" w:rsidR="00E375F6" w:rsidRPr="00C228F6" w:rsidRDefault="00E375F6" w:rsidP="000942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  <w:r w:rsidRPr="00C228F6">
              <w:rPr>
                <w:i/>
                <w:sz w:val="22"/>
                <w:szCs w:val="22"/>
              </w:rPr>
              <w:t xml:space="preserve"> tonų</w:t>
            </w:r>
          </w:p>
        </w:tc>
      </w:tr>
    </w:tbl>
    <w:p w14:paraId="5A079B72" w14:textId="77777777" w:rsidR="00E375F6" w:rsidRPr="00C228F6" w:rsidRDefault="00E375F6" w:rsidP="00E375F6">
      <w:pPr>
        <w:pStyle w:val="Body2"/>
        <w:rPr>
          <w:lang w:val="lt-LT"/>
        </w:rPr>
      </w:pPr>
    </w:p>
    <w:p w14:paraId="70E34418" w14:textId="77777777" w:rsidR="00E375F6" w:rsidRPr="00C228F6" w:rsidRDefault="00E375F6" w:rsidP="00E375F6">
      <w:pPr>
        <w:numPr>
          <w:ilvl w:val="1"/>
          <w:numId w:val="23"/>
        </w:numPr>
        <w:tabs>
          <w:tab w:val="left" w:pos="709"/>
        </w:tabs>
        <w:ind w:left="-284" w:firstLine="567"/>
        <w:rPr>
          <w:lang w:eastAsia="lt-LT"/>
        </w:rPr>
      </w:pPr>
      <w:r w:rsidRPr="00C228F6">
        <w:rPr>
          <w:lang w:eastAsia="lt-LT"/>
        </w:rPr>
        <w:t>Tiekėjas įsipareigoja parduoti med</w:t>
      </w:r>
      <w:r>
        <w:rPr>
          <w:lang w:eastAsia="lt-LT"/>
        </w:rPr>
        <w:t>žio</w:t>
      </w:r>
      <w:r w:rsidRPr="00C228F6">
        <w:rPr>
          <w:lang w:eastAsia="lt-LT"/>
        </w:rPr>
        <w:t xml:space="preserve"> granules (toliau – Prekė) Pirkėjo nuosavybėn, o Pirkėjas įsipareigoja  priimti Prekę ir sumokėti sutartą kainą. Perkamas preliminarus kiekis </w:t>
      </w:r>
      <w:r>
        <w:rPr>
          <w:lang w:eastAsia="lt-LT"/>
        </w:rPr>
        <w:t>115</w:t>
      </w:r>
      <w:r w:rsidRPr="00C228F6">
        <w:rPr>
          <w:lang w:eastAsia="lt-LT"/>
        </w:rPr>
        <w:t xml:space="preserve"> tonų (vienas šimtas </w:t>
      </w:r>
      <w:r>
        <w:rPr>
          <w:lang w:eastAsia="lt-LT"/>
        </w:rPr>
        <w:t>trisdešimt</w:t>
      </w:r>
      <w:r w:rsidRPr="00C228F6">
        <w:rPr>
          <w:lang w:eastAsia="lt-LT"/>
        </w:rPr>
        <w:t xml:space="preserve"> tonų).</w:t>
      </w:r>
      <w:r>
        <w:rPr>
          <w:lang w:eastAsia="lt-LT"/>
        </w:rPr>
        <w:t xml:space="preserve"> Perkančioji organizacija gali ir neišpirkti viso kiekio. Sutartis galios 12 mėn. nuo sutarties sudarymo datos arba kol bus išpirktas preliminarus prekių kiekis.</w:t>
      </w:r>
    </w:p>
    <w:p w14:paraId="59B84B32" w14:textId="77777777" w:rsidR="00E375F6" w:rsidRPr="00352CC0" w:rsidRDefault="00E375F6" w:rsidP="00E375F6">
      <w:pPr>
        <w:numPr>
          <w:ilvl w:val="1"/>
          <w:numId w:val="23"/>
        </w:numPr>
        <w:tabs>
          <w:tab w:val="left" w:pos="709"/>
        </w:tabs>
        <w:ind w:left="-284" w:firstLine="567"/>
        <w:rPr>
          <w:lang w:eastAsia="lt-LT"/>
        </w:rPr>
      </w:pPr>
      <w:r w:rsidRPr="00C228F6">
        <w:rPr>
          <w:lang w:eastAsia="lt-LT"/>
        </w:rPr>
        <w:t>Prekė turi tenkinti medienos granulių kokybės reikalavimus, nustatytus pirkimo dokumentuose:</w:t>
      </w:r>
    </w:p>
    <w:p w14:paraId="0E29AE62" w14:textId="77777777" w:rsidR="00E375F6" w:rsidRPr="00BA6627" w:rsidRDefault="00E375F6" w:rsidP="00E375F6">
      <w:pPr>
        <w:pStyle w:val="prastasiniatinklio"/>
        <w:spacing w:before="0" w:beforeAutospacing="0" w:after="0" w:afterAutospacing="0"/>
        <w:contextualSpacing/>
        <w:rPr>
          <w:color w:val="FF0000"/>
        </w:rPr>
      </w:pPr>
      <w:r w:rsidRPr="00BA6627">
        <w:rPr>
          <w:color w:val="FF0000"/>
        </w:rPr>
        <w:t xml:space="preserve">          </w:t>
      </w:r>
      <w:proofErr w:type="spellStart"/>
      <w:r w:rsidRPr="00BA6627">
        <w:rPr>
          <w:color w:val="FF0000"/>
        </w:rPr>
        <w:t>granulių</w:t>
      </w:r>
      <w:proofErr w:type="spellEnd"/>
      <w:r w:rsidRPr="00BA6627">
        <w:rPr>
          <w:color w:val="FF0000"/>
        </w:rPr>
        <w:t xml:space="preserve"> </w:t>
      </w:r>
      <w:proofErr w:type="spellStart"/>
      <w:r w:rsidRPr="00BA6627">
        <w:rPr>
          <w:color w:val="FF0000"/>
        </w:rPr>
        <w:t>reikalavimai</w:t>
      </w:r>
      <w:proofErr w:type="spellEnd"/>
      <w:r w:rsidRPr="00BA6627">
        <w:rPr>
          <w:color w:val="FF0000"/>
        </w:rPr>
        <w:t xml:space="preserve"> </w:t>
      </w:r>
      <w:proofErr w:type="spellStart"/>
      <w:r w:rsidRPr="00BA6627">
        <w:rPr>
          <w:color w:val="FF0000"/>
        </w:rPr>
        <w:t>pagal</w:t>
      </w:r>
      <w:proofErr w:type="spellEnd"/>
      <w:r w:rsidRPr="00BA6627">
        <w:rPr>
          <w:color w:val="FF0000"/>
        </w:rPr>
        <w:t xml:space="preserve"> </w:t>
      </w:r>
      <w:proofErr w:type="spellStart"/>
      <w:r w:rsidRPr="00BA6627">
        <w:rPr>
          <w:color w:val="FF0000"/>
        </w:rPr>
        <w:t>ENplus</w:t>
      </w:r>
      <w:proofErr w:type="spellEnd"/>
      <w:r w:rsidRPr="00BA6627">
        <w:rPr>
          <w:color w:val="FF0000"/>
        </w:rPr>
        <w:t xml:space="preserve"> A1 </w:t>
      </w:r>
      <w:proofErr w:type="spellStart"/>
      <w:r w:rsidRPr="00BA6627">
        <w:rPr>
          <w:color w:val="FF0000"/>
        </w:rPr>
        <w:t>sertifikatą</w:t>
      </w:r>
      <w:proofErr w:type="spellEnd"/>
      <w:r w:rsidRPr="00BA6627">
        <w:rPr>
          <w:color w:val="FF0000"/>
        </w:rPr>
        <w:t xml:space="preserve">; </w:t>
      </w:r>
    </w:p>
    <w:p w14:paraId="7013AAAF" w14:textId="77777777" w:rsidR="00E375F6" w:rsidRDefault="00E375F6" w:rsidP="00E375F6">
      <w:pPr>
        <w:tabs>
          <w:tab w:val="left" w:pos="567"/>
        </w:tabs>
        <w:contextualSpacing/>
        <w:rPr>
          <w:color w:val="FF0000"/>
          <w:lang w:eastAsia="lt-LT"/>
        </w:rPr>
      </w:pPr>
      <w:r w:rsidRPr="00C228F6">
        <w:rPr>
          <w:color w:val="FF0000"/>
          <w:lang w:eastAsia="lt-LT"/>
        </w:rPr>
        <w:t xml:space="preserve">    </w:t>
      </w:r>
      <w:r>
        <w:rPr>
          <w:color w:val="FF0000"/>
          <w:lang w:eastAsia="lt-LT"/>
        </w:rPr>
        <w:t xml:space="preserve">      </w:t>
      </w:r>
      <w:r w:rsidRPr="00C228F6">
        <w:rPr>
          <w:color w:val="FF0000"/>
          <w:lang w:eastAsia="lt-LT"/>
        </w:rPr>
        <w:t>gr</w:t>
      </w:r>
      <w:r>
        <w:rPr>
          <w:color w:val="FF0000"/>
          <w:lang w:eastAsia="lt-LT"/>
        </w:rPr>
        <w:t>anulių diametras -  ne daugiau 7</w:t>
      </w:r>
      <w:r w:rsidRPr="00C228F6">
        <w:rPr>
          <w:color w:val="FF0000"/>
          <w:lang w:eastAsia="lt-LT"/>
        </w:rPr>
        <w:t xml:space="preserve"> mm;</w:t>
      </w:r>
    </w:p>
    <w:p w14:paraId="3D87E78C" w14:textId="77777777" w:rsidR="00E375F6" w:rsidRPr="000F4B7E" w:rsidRDefault="00E375F6" w:rsidP="00E375F6">
      <w:pPr>
        <w:tabs>
          <w:tab w:val="left" w:pos="567"/>
        </w:tabs>
        <w:ind w:firstLine="567"/>
        <w:contextualSpacing/>
        <w:rPr>
          <w:color w:val="FF0000"/>
          <w:lang w:eastAsia="lt-LT"/>
        </w:rPr>
      </w:pPr>
      <w:r>
        <w:rPr>
          <w:color w:val="FF0000"/>
          <w:lang w:eastAsia="lt-LT"/>
        </w:rPr>
        <w:t>e</w:t>
      </w:r>
      <w:r w:rsidRPr="000F4B7E">
        <w:rPr>
          <w:color w:val="FF0000"/>
          <w:lang w:eastAsia="lt-LT"/>
        </w:rPr>
        <w:t>nergetinė vertė ne mažiau 18 MJ/kg.</w:t>
      </w:r>
    </w:p>
    <w:p w14:paraId="21CAB5F6" w14:textId="77777777" w:rsidR="00E375F6" w:rsidRPr="000F4B7E" w:rsidRDefault="00E375F6" w:rsidP="00E375F6">
      <w:pPr>
        <w:tabs>
          <w:tab w:val="left" w:pos="567"/>
        </w:tabs>
        <w:ind w:firstLine="567"/>
        <w:contextualSpacing/>
        <w:rPr>
          <w:color w:val="FF0000"/>
          <w:lang w:eastAsia="lt-LT"/>
        </w:rPr>
      </w:pPr>
      <w:r>
        <w:rPr>
          <w:color w:val="FF0000"/>
          <w:lang w:eastAsia="lt-LT"/>
        </w:rPr>
        <w:t>p</w:t>
      </w:r>
      <w:r w:rsidRPr="000F4B7E">
        <w:rPr>
          <w:color w:val="FF0000"/>
          <w:lang w:eastAsia="lt-LT"/>
        </w:rPr>
        <w:t>elenų kiekis ne daugiau 0,7 %</w:t>
      </w:r>
    </w:p>
    <w:p w14:paraId="78B35882" w14:textId="77777777" w:rsidR="00E375F6" w:rsidRDefault="00E375F6" w:rsidP="00E375F6">
      <w:pPr>
        <w:tabs>
          <w:tab w:val="left" w:pos="567"/>
        </w:tabs>
        <w:ind w:firstLine="567"/>
        <w:contextualSpacing/>
        <w:rPr>
          <w:color w:val="FF0000"/>
          <w:lang w:eastAsia="lt-LT"/>
        </w:rPr>
      </w:pPr>
      <w:r>
        <w:rPr>
          <w:color w:val="FF0000"/>
          <w:lang w:eastAsia="lt-LT"/>
        </w:rPr>
        <w:t>d</w:t>
      </w:r>
      <w:r w:rsidRPr="000F4B7E">
        <w:rPr>
          <w:color w:val="FF0000"/>
          <w:lang w:eastAsia="lt-LT"/>
        </w:rPr>
        <w:t>rėgmė ne daugiau 10 %</w:t>
      </w:r>
    </w:p>
    <w:p w14:paraId="135771A2" w14:textId="77777777" w:rsidR="00E375F6" w:rsidRPr="00E03FA0" w:rsidRDefault="00E375F6" w:rsidP="00E375F6">
      <w:pPr>
        <w:tabs>
          <w:tab w:val="left" w:pos="567"/>
        </w:tabs>
        <w:contextualSpacing/>
        <w:rPr>
          <w:color w:val="FF0000"/>
          <w:lang w:eastAsia="lt-LT"/>
        </w:rPr>
      </w:pPr>
      <w:r>
        <w:rPr>
          <w:b/>
          <w:color w:val="FF0000"/>
          <w:lang w:eastAsia="lt-LT"/>
        </w:rPr>
        <w:t xml:space="preserve">          </w:t>
      </w:r>
      <w:r w:rsidRPr="00E03FA0">
        <w:rPr>
          <w:color w:val="FF0000"/>
          <w:lang w:eastAsia="lt-LT"/>
        </w:rPr>
        <w:t>granulės šviesios spalvos</w:t>
      </w:r>
      <w:r>
        <w:rPr>
          <w:color w:val="FF0000"/>
          <w:lang w:eastAsia="lt-LT"/>
        </w:rPr>
        <w:t>;</w:t>
      </w:r>
    </w:p>
    <w:p w14:paraId="1CAF17D0" w14:textId="77777777" w:rsidR="00E375F6" w:rsidRPr="00C228F6" w:rsidRDefault="00E375F6" w:rsidP="00E375F6">
      <w:pPr>
        <w:tabs>
          <w:tab w:val="left" w:pos="0"/>
        </w:tabs>
        <w:rPr>
          <w:lang w:eastAsia="lt-LT"/>
        </w:rPr>
      </w:pPr>
      <w:r w:rsidRPr="00C228F6">
        <w:rPr>
          <w:lang w:eastAsia="lt-LT"/>
        </w:rPr>
        <w:t xml:space="preserve">      1.3.Tiekiamame kure neturi būti sniego, ledo, ledo gabaliukų, druskos ir kitų pašalinių daiktų, kurie žalotų Pirkėjo įrenginius. Dėl Pardavėjo kaltės sugadinus įrenginius, Pardavėjas atsako už padarytą žalą.</w:t>
      </w:r>
    </w:p>
    <w:p w14:paraId="043156BD" w14:textId="77777777" w:rsidR="00E375F6" w:rsidRPr="00C228F6" w:rsidRDefault="00E375F6" w:rsidP="00E375F6">
      <w:pPr>
        <w:autoSpaceDE w:val="0"/>
        <w:autoSpaceDN w:val="0"/>
        <w:adjustRightInd w:val="0"/>
        <w:ind w:firstLine="283"/>
        <w:rPr>
          <w:lang w:eastAsia="lt-LT"/>
        </w:rPr>
      </w:pPr>
      <w:r w:rsidRPr="00C228F6">
        <w:rPr>
          <w:lang w:eastAsia="lt-LT"/>
        </w:rPr>
        <w:t>1..4.  Pirk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jas ir Pardavėjas sutaria, kad kilus abejon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ms d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l granuli</w:t>
      </w:r>
      <w:r w:rsidRPr="00C228F6">
        <w:rPr>
          <w:rFonts w:ascii="TimesNewRoman" w:hAnsi="TimesNewRoman" w:cs="TimesNewRoman"/>
          <w:lang w:eastAsia="lt-LT"/>
        </w:rPr>
        <w:t xml:space="preserve">ų </w:t>
      </w:r>
      <w:r w:rsidRPr="00C228F6">
        <w:rPr>
          <w:lang w:eastAsia="lt-LT"/>
        </w:rPr>
        <w:t>kokyb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s, granuli</w:t>
      </w:r>
      <w:r w:rsidRPr="00C228F6">
        <w:rPr>
          <w:rFonts w:ascii="TimesNewRoman" w:hAnsi="TimesNewRoman" w:cs="TimesNewRoman"/>
          <w:lang w:eastAsia="lt-LT"/>
        </w:rPr>
        <w:t xml:space="preserve">ų </w:t>
      </w:r>
      <w:r w:rsidRPr="00C228F6">
        <w:rPr>
          <w:lang w:eastAsia="lt-LT"/>
        </w:rPr>
        <w:t>m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 xml:space="preserve">giniai paimami kuro iškrovimo vietoje dalyvaujant </w:t>
      </w:r>
      <w:r w:rsidRPr="00C228F6">
        <w:rPr>
          <w:rFonts w:ascii="TimesNewRoman" w:hAnsi="TimesNewRoman" w:cs="TimesNewRoman"/>
          <w:lang w:eastAsia="lt-LT"/>
        </w:rPr>
        <w:t>į</w:t>
      </w:r>
      <w:r w:rsidRPr="00C228F6">
        <w:rPr>
          <w:lang w:eastAsia="lt-LT"/>
        </w:rPr>
        <w:t>galiotam Pardavėjo ir  įgaliotam Pirk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jo atstovui.  Visas išlaidas, atsiradusias d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l kuro kokyb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s ekspertiz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s, moka Pirk</w:t>
      </w:r>
      <w:r w:rsidRPr="00C228F6">
        <w:rPr>
          <w:rFonts w:ascii="TimesNewRoman" w:hAnsi="TimesNewRoman" w:cs="TimesNewRoman"/>
          <w:lang w:eastAsia="lt-LT"/>
        </w:rPr>
        <w:t>ė</w:t>
      </w:r>
      <w:r w:rsidRPr="00C228F6">
        <w:rPr>
          <w:lang w:eastAsia="lt-LT"/>
        </w:rPr>
        <w:t>jas, jei kuro kokyb</w:t>
      </w:r>
      <w:r w:rsidRPr="00C228F6">
        <w:rPr>
          <w:rFonts w:ascii="TimesNewRoman" w:hAnsi="TimesNewRoman" w:cs="TimesNewRoman"/>
          <w:lang w:eastAsia="lt-LT"/>
        </w:rPr>
        <w:t xml:space="preserve">ė </w:t>
      </w:r>
      <w:r w:rsidRPr="00C228F6">
        <w:rPr>
          <w:lang w:eastAsia="lt-LT"/>
        </w:rPr>
        <w:t>atitinka sutartyje numatytas 1.2 p. s</w:t>
      </w:r>
      <w:r w:rsidRPr="00C228F6">
        <w:rPr>
          <w:rFonts w:ascii="TimesNewRoman" w:hAnsi="TimesNewRoman" w:cs="TimesNewRoman"/>
          <w:lang w:eastAsia="lt-LT"/>
        </w:rPr>
        <w:t>ą</w:t>
      </w:r>
      <w:r w:rsidRPr="00C228F6">
        <w:rPr>
          <w:lang w:eastAsia="lt-LT"/>
        </w:rPr>
        <w:t>lygas, arba Pardavėjas, jeigu kuras neatitinka sutartyje numatytas 1.2 p. s</w:t>
      </w:r>
      <w:r w:rsidRPr="00C228F6">
        <w:rPr>
          <w:rFonts w:ascii="TimesNewRoman" w:hAnsi="TimesNewRoman" w:cs="TimesNewRoman"/>
          <w:lang w:eastAsia="lt-LT"/>
        </w:rPr>
        <w:t>ą</w:t>
      </w:r>
      <w:r w:rsidRPr="00C228F6">
        <w:rPr>
          <w:lang w:eastAsia="lt-LT"/>
        </w:rPr>
        <w:t>lygas. Šalys susitaria, kad Prekės kokyb</w:t>
      </w:r>
      <w:r w:rsidRPr="00C228F6">
        <w:rPr>
          <w:rFonts w:ascii="TimesNewRoman" w:hAnsi="TimesNewRoman" w:cs="TimesNewRoman"/>
          <w:lang w:eastAsia="lt-LT"/>
        </w:rPr>
        <w:t xml:space="preserve">ė </w:t>
      </w:r>
      <w:r w:rsidRPr="00C228F6">
        <w:rPr>
          <w:lang w:eastAsia="lt-LT"/>
        </w:rPr>
        <w:t>bus tikrinama akredituotoje  laboratorijoje.</w:t>
      </w:r>
    </w:p>
    <w:p w14:paraId="73D951C5" w14:textId="77777777" w:rsidR="00E375F6" w:rsidRDefault="00E375F6" w:rsidP="00E375F6">
      <w:pPr>
        <w:tabs>
          <w:tab w:val="left" w:pos="-142"/>
        </w:tabs>
        <w:rPr>
          <w:lang w:eastAsia="lt-LT"/>
        </w:rPr>
      </w:pPr>
      <w:r w:rsidRPr="00C228F6">
        <w:rPr>
          <w:lang w:eastAsia="lt-LT"/>
        </w:rPr>
        <w:t xml:space="preserve">     1.5. Pardavėjo pristatoma produkcija turi turėti dokumentą, patvirtinantį kuro kokybinius rodiklius - kuro kokybės sertifikatą ar bandymų protokolą, išduotą akredituotos laboratorijos. Šie dokumentai turi būti pateikti lietuvių kalba.</w:t>
      </w:r>
    </w:p>
    <w:p w14:paraId="7322ECD9" w14:textId="77777777" w:rsidR="00E375F6" w:rsidRPr="00480498" w:rsidRDefault="00E375F6" w:rsidP="00E375F6">
      <w:pPr>
        <w:rPr>
          <w:lang w:eastAsia="lt-LT"/>
        </w:rPr>
      </w:pPr>
      <w:r w:rsidRPr="00B53BF1">
        <w:rPr>
          <w:color w:val="FF0000"/>
          <w:lang w:eastAsia="lt-LT"/>
        </w:rPr>
        <w:t xml:space="preserve">1.6. </w:t>
      </w:r>
      <w:proofErr w:type="spellStart"/>
      <w:r w:rsidRPr="00B53BF1">
        <w:rPr>
          <w:color w:val="FF0000"/>
          <w:lang w:eastAsia="lt-LT"/>
        </w:rPr>
        <w:t>Didmaišiais</w:t>
      </w:r>
      <w:proofErr w:type="spellEnd"/>
      <w:r w:rsidRPr="00B53BF1">
        <w:rPr>
          <w:color w:val="FF0000"/>
          <w:lang w:eastAsia="lt-LT"/>
        </w:rPr>
        <w:t xml:space="preserve"> (</w:t>
      </w:r>
      <w:proofErr w:type="spellStart"/>
      <w:r w:rsidRPr="00B53BF1">
        <w:rPr>
          <w:color w:val="FF0000"/>
          <w:lang w:eastAsia="lt-LT"/>
        </w:rPr>
        <w:t>Nopaičio</w:t>
      </w:r>
      <w:proofErr w:type="spellEnd"/>
      <w:r w:rsidRPr="00B53BF1">
        <w:rPr>
          <w:color w:val="FF0000"/>
          <w:lang w:eastAsia="lt-LT"/>
        </w:rPr>
        <w:t xml:space="preserve"> g.5, </w:t>
      </w:r>
      <w:proofErr w:type="spellStart"/>
      <w:r w:rsidRPr="00B53BF1">
        <w:rPr>
          <w:color w:val="FF0000"/>
          <w:lang w:eastAsia="lt-LT"/>
        </w:rPr>
        <w:t>Būblelių</w:t>
      </w:r>
      <w:proofErr w:type="spellEnd"/>
      <w:r w:rsidRPr="00B53BF1">
        <w:rPr>
          <w:color w:val="FF0000"/>
          <w:lang w:eastAsia="lt-LT"/>
        </w:rPr>
        <w:t xml:space="preserve"> k.)  vienu užsakymu galime priimti </w:t>
      </w:r>
      <w:r w:rsidRPr="00B53BF1">
        <w:rPr>
          <w:b/>
          <w:color w:val="FF0000"/>
          <w:lang w:eastAsia="lt-LT"/>
        </w:rPr>
        <w:t>iki 40 tonų</w:t>
      </w:r>
      <w:r w:rsidRPr="00B53BF1">
        <w:rPr>
          <w:color w:val="FF0000"/>
          <w:lang w:eastAsia="lt-LT"/>
        </w:rPr>
        <w:t xml:space="preserve">. </w:t>
      </w:r>
    </w:p>
    <w:p w14:paraId="1DE52B75" w14:textId="77777777" w:rsidR="00E375F6" w:rsidRPr="00B53BF1" w:rsidRDefault="00E375F6" w:rsidP="00E375F6">
      <w:pPr>
        <w:rPr>
          <w:color w:val="FF0000"/>
          <w:lang w:eastAsia="lt-LT"/>
        </w:rPr>
      </w:pPr>
      <w:r w:rsidRPr="00B53BF1">
        <w:rPr>
          <w:color w:val="FF0000"/>
          <w:szCs w:val="24"/>
          <w:lang w:eastAsia="lt-LT"/>
        </w:rPr>
        <w:t>Fasuotų maišeliais po 15 kg. (Gėlyno g. Marijampolė) galime priimti viską vienu kartu.</w:t>
      </w:r>
    </w:p>
    <w:p w14:paraId="7BC0ED42" w14:textId="77777777" w:rsidR="00E375F6" w:rsidRPr="00C228F6" w:rsidRDefault="00E375F6" w:rsidP="00E375F6">
      <w:pPr>
        <w:tabs>
          <w:tab w:val="left" w:pos="-142"/>
        </w:tabs>
        <w:rPr>
          <w:lang w:eastAsia="lt-LT"/>
        </w:rPr>
      </w:pPr>
    </w:p>
    <w:p w14:paraId="335B014D" w14:textId="77777777" w:rsidR="00E375F6" w:rsidRDefault="00E375F6" w:rsidP="00E375F6">
      <w:pPr>
        <w:tabs>
          <w:tab w:val="left" w:pos="709"/>
        </w:tabs>
        <w:ind w:left="283"/>
        <w:rPr>
          <w:lang w:eastAsia="lt-LT"/>
        </w:rPr>
      </w:pPr>
      <w:r>
        <w:rPr>
          <w:lang w:eastAsia="lt-LT"/>
        </w:rPr>
        <w:t xml:space="preserve">       </w:t>
      </w:r>
      <w:r w:rsidRPr="00C228F6">
        <w:rPr>
          <w:lang w:eastAsia="lt-LT"/>
        </w:rPr>
        <w:t>1.</w:t>
      </w:r>
      <w:r>
        <w:rPr>
          <w:lang w:eastAsia="lt-LT"/>
        </w:rPr>
        <w:t>7</w:t>
      </w:r>
      <w:r w:rsidRPr="00C228F6">
        <w:rPr>
          <w:lang w:eastAsia="lt-LT"/>
        </w:rPr>
        <w:t>. Prekių užsakymas pateikiamas</w:t>
      </w:r>
      <w:r>
        <w:rPr>
          <w:lang w:eastAsia="lt-LT"/>
        </w:rPr>
        <w:t xml:space="preserve"> telefonu, faksu ar elektroniniu paštu.</w:t>
      </w:r>
    </w:p>
    <w:p w14:paraId="454DB86B" w14:textId="77777777" w:rsidR="00E375F6" w:rsidRPr="00C228F6" w:rsidRDefault="00E375F6" w:rsidP="00E375F6">
      <w:pPr>
        <w:tabs>
          <w:tab w:val="left" w:pos="709"/>
        </w:tabs>
        <w:ind w:left="283"/>
        <w:rPr>
          <w:lang w:eastAsia="lt-LT"/>
        </w:rPr>
      </w:pPr>
    </w:p>
    <w:p w14:paraId="51A8CBB8" w14:textId="77777777" w:rsidR="00E375F6" w:rsidRPr="00C228F6" w:rsidRDefault="00E375F6" w:rsidP="00E375F6">
      <w:pPr>
        <w:pStyle w:val="Body2"/>
        <w:rPr>
          <w:lang w:val="lt-LT"/>
        </w:rPr>
      </w:pPr>
    </w:p>
    <w:p w14:paraId="539C2C6E" w14:textId="77777777" w:rsidR="00E375F6" w:rsidRPr="00C228F6" w:rsidRDefault="00E375F6" w:rsidP="00E375F6">
      <w:pPr>
        <w:spacing w:line="360" w:lineRule="auto"/>
        <w:ind w:firstLine="720"/>
        <w:jc w:val="center"/>
        <w:rPr>
          <w:b/>
        </w:rPr>
      </w:pPr>
      <w:r w:rsidRPr="00C228F6">
        <w:rPr>
          <w:b/>
        </w:rPr>
        <w:t>Med</w:t>
      </w:r>
      <w:r>
        <w:rPr>
          <w:b/>
        </w:rPr>
        <w:t>žio</w:t>
      </w:r>
      <w:r w:rsidRPr="00C228F6">
        <w:rPr>
          <w:b/>
        </w:rPr>
        <w:t xml:space="preserve"> granulių kiekis, tiekimo sąlygos ir pristatymo vieta:</w:t>
      </w:r>
    </w:p>
    <w:p w14:paraId="296168F4" w14:textId="77777777" w:rsidR="00E375F6" w:rsidRPr="00C228F6" w:rsidRDefault="00E375F6" w:rsidP="00E375F6">
      <w:pPr>
        <w:spacing w:line="360" w:lineRule="auto"/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67"/>
        <w:gridCol w:w="3176"/>
      </w:tblGrid>
      <w:tr w:rsidR="00E375F6" w:rsidRPr="00C228F6" w14:paraId="68F58714" w14:textId="77777777" w:rsidTr="00094236">
        <w:tc>
          <w:tcPr>
            <w:tcW w:w="3147" w:type="dxa"/>
          </w:tcPr>
          <w:p w14:paraId="19042F2F" w14:textId="77777777" w:rsidR="00E375F6" w:rsidRPr="00C228F6" w:rsidRDefault="00E375F6" w:rsidP="000942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Medžio granulių k</w:t>
            </w:r>
            <w:r w:rsidRPr="00C228F6">
              <w:rPr>
                <w:b/>
              </w:rPr>
              <w:t>iekis, tonomis</w:t>
            </w:r>
          </w:p>
        </w:tc>
        <w:tc>
          <w:tcPr>
            <w:tcW w:w="3167" w:type="dxa"/>
          </w:tcPr>
          <w:p w14:paraId="5092F00C" w14:textId="77777777" w:rsidR="00E375F6" w:rsidRPr="00C228F6" w:rsidRDefault="00E375F6" w:rsidP="00094236">
            <w:pPr>
              <w:spacing w:line="360" w:lineRule="auto"/>
              <w:jc w:val="center"/>
              <w:rPr>
                <w:b/>
              </w:rPr>
            </w:pPr>
            <w:r w:rsidRPr="00C228F6">
              <w:rPr>
                <w:b/>
              </w:rPr>
              <w:t>Tiekimo sąlygos</w:t>
            </w:r>
          </w:p>
        </w:tc>
        <w:tc>
          <w:tcPr>
            <w:tcW w:w="3176" w:type="dxa"/>
          </w:tcPr>
          <w:p w14:paraId="300FCB43" w14:textId="77777777" w:rsidR="00E375F6" w:rsidRPr="00C228F6" w:rsidRDefault="00E375F6" w:rsidP="00094236">
            <w:pPr>
              <w:jc w:val="center"/>
              <w:rPr>
                <w:b/>
              </w:rPr>
            </w:pPr>
            <w:r w:rsidRPr="00C228F6">
              <w:rPr>
                <w:b/>
              </w:rPr>
              <w:t>Pristatymo vieta: adresas ir katilinės pavadinimas</w:t>
            </w:r>
          </w:p>
        </w:tc>
      </w:tr>
      <w:tr w:rsidR="00E375F6" w:rsidRPr="00C228F6" w14:paraId="3CAA8DE1" w14:textId="77777777" w:rsidTr="00094236">
        <w:trPr>
          <w:trHeight w:val="689"/>
        </w:trPr>
        <w:tc>
          <w:tcPr>
            <w:tcW w:w="3147" w:type="dxa"/>
          </w:tcPr>
          <w:p w14:paraId="2E4BFDE2" w14:textId="77777777" w:rsidR="00E375F6" w:rsidRPr="00C228F6" w:rsidRDefault="00E375F6" w:rsidP="00094236">
            <w:r>
              <w:t>100</w:t>
            </w:r>
            <w:r w:rsidRPr="00C228F6">
              <w:t xml:space="preserve"> t patiekiama </w:t>
            </w:r>
            <w:proofErr w:type="spellStart"/>
            <w:r w:rsidRPr="00C228F6">
              <w:t>didmaišiais</w:t>
            </w:r>
            <w:proofErr w:type="spellEnd"/>
            <w:r>
              <w:t xml:space="preserve"> ( po 500 kg)</w:t>
            </w:r>
          </w:p>
        </w:tc>
        <w:tc>
          <w:tcPr>
            <w:tcW w:w="3167" w:type="dxa"/>
          </w:tcPr>
          <w:p w14:paraId="345784FE" w14:textId="77777777" w:rsidR="00E375F6" w:rsidRPr="00C228F6" w:rsidRDefault="00E375F6" w:rsidP="00094236">
            <w:r w:rsidRPr="00C228F6">
              <w:t>Tiekimas pagal suderintą grafiką. Transportas turėtų būti su galiniu keltuvu arba su teleskopiniu krautuvu iškrovimui.</w:t>
            </w:r>
          </w:p>
        </w:tc>
        <w:tc>
          <w:tcPr>
            <w:tcW w:w="3176" w:type="dxa"/>
          </w:tcPr>
          <w:p w14:paraId="1C95DF77" w14:textId="77777777" w:rsidR="00E375F6" w:rsidRPr="00C228F6" w:rsidRDefault="00E375F6" w:rsidP="00094236">
            <w:proofErr w:type="spellStart"/>
            <w:r w:rsidRPr="00C228F6">
              <w:t>Nopaičio</w:t>
            </w:r>
            <w:proofErr w:type="spellEnd"/>
            <w:r w:rsidRPr="00C228F6">
              <w:t xml:space="preserve"> g. 5, </w:t>
            </w:r>
            <w:proofErr w:type="spellStart"/>
            <w:r w:rsidRPr="00C228F6">
              <w:t>Būblelių</w:t>
            </w:r>
            <w:proofErr w:type="spellEnd"/>
            <w:r w:rsidRPr="00C228F6">
              <w:t xml:space="preserve"> kaimas, Šakių rajonas</w:t>
            </w:r>
          </w:p>
        </w:tc>
      </w:tr>
      <w:tr w:rsidR="00E375F6" w:rsidRPr="00C228F6" w14:paraId="4F2455E9" w14:textId="77777777" w:rsidTr="00094236">
        <w:trPr>
          <w:trHeight w:val="689"/>
        </w:trPr>
        <w:tc>
          <w:tcPr>
            <w:tcW w:w="3147" w:type="dxa"/>
          </w:tcPr>
          <w:p w14:paraId="7611CCAC" w14:textId="77777777" w:rsidR="00E375F6" w:rsidRPr="00C228F6" w:rsidRDefault="00E375F6" w:rsidP="00094236">
            <w:r>
              <w:t>15</w:t>
            </w:r>
            <w:r w:rsidRPr="00C228F6">
              <w:t xml:space="preserve"> t patiekiama maišais po ±15 kg</w:t>
            </w:r>
          </w:p>
        </w:tc>
        <w:tc>
          <w:tcPr>
            <w:tcW w:w="3167" w:type="dxa"/>
          </w:tcPr>
          <w:p w14:paraId="23E5DDD2" w14:textId="77777777" w:rsidR="00E375F6" w:rsidRPr="00C228F6" w:rsidRDefault="00E375F6" w:rsidP="00094236">
            <w:r w:rsidRPr="00C228F6">
              <w:t>Tiekimas pagal suderintą grafiką. Transportas turėtų būti su galiniu keltuvu arba su teleskopiniu krautuvu iškrovimui.</w:t>
            </w:r>
          </w:p>
        </w:tc>
        <w:tc>
          <w:tcPr>
            <w:tcW w:w="3176" w:type="dxa"/>
          </w:tcPr>
          <w:p w14:paraId="447B742A" w14:textId="77777777" w:rsidR="00E375F6" w:rsidRPr="00C228F6" w:rsidRDefault="00E375F6" w:rsidP="00094236">
            <w:r w:rsidRPr="00C228F6">
              <w:t>Gėlyno g. 11, Marijampolė</w:t>
            </w:r>
          </w:p>
        </w:tc>
      </w:tr>
    </w:tbl>
    <w:p w14:paraId="40009FA4" w14:textId="77777777" w:rsidR="00E375F6" w:rsidRDefault="00E375F6" w:rsidP="00E375F6">
      <w:pPr>
        <w:ind w:left="0"/>
        <w:rPr>
          <w:rFonts w:cs="Arial"/>
          <w:bCs/>
          <w:i/>
          <w:iCs/>
          <w:color w:val="FF0000"/>
          <w:szCs w:val="24"/>
        </w:rPr>
      </w:pPr>
    </w:p>
    <w:p w14:paraId="72F921CE" w14:textId="77777777" w:rsidR="00E375F6" w:rsidRPr="005D35B6" w:rsidRDefault="00E375F6" w:rsidP="00E375F6">
      <w:pPr>
        <w:ind w:left="0"/>
        <w:rPr>
          <w:color w:val="000000" w:themeColor="text1"/>
          <w:szCs w:val="24"/>
        </w:rPr>
      </w:pPr>
    </w:p>
    <w:p w14:paraId="675EC0AB" w14:textId="4B9F19FA" w:rsidR="00F070CA" w:rsidRPr="00034941" w:rsidRDefault="00F070CA" w:rsidP="00C459E0">
      <w:pPr>
        <w:ind w:left="0"/>
        <w:rPr>
          <w:szCs w:val="24"/>
        </w:rPr>
      </w:pPr>
    </w:p>
    <w:p w14:paraId="0D9C4925" w14:textId="77777777" w:rsidR="00F070CA" w:rsidRPr="00034941" w:rsidRDefault="00F070CA" w:rsidP="001677B5">
      <w:pPr>
        <w:jc w:val="center"/>
        <w:rPr>
          <w:szCs w:val="24"/>
        </w:rPr>
      </w:pPr>
    </w:p>
    <w:p w14:paraId="2DF73649" w14:textId="77777777" w:rsidR="001677B5" w:rsidRPr="00034941" w:rsidRDefault="001677B5" w:rsidP="001677B5">
      <w:pPr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34941" w:rsidRPr="00034941" w14:paraId="0BC79925" w14:textId="77777777" w:rsidTr="00063F8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A6129" w14:textId="77777777" w:rsidR="001677B5" w:rsidRPr="00034941" w:rsidRDefault="001677B5" w:rsidP="00063F80">
            <w:pPr>
              <w:ind w:right="-1"/>
              <w:rPr>
                <w:rFonts w:eastAsia="Calibri"/>
                <w:sz w:val="22"/>
                <w:szCs w:val="22"/>
              </w:rPr>
            </w:pPr>
          </w:p>
          <w:p w14:paraId="5D9E6F82" w14:textId="77777777" w:rsidR="001677B5" w:rsidRPr="00034941" w:rsidRDefault="001677B5" w:rsidP="00063F80">
            <w:pPr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2228B3C2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4D1AD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186C962B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9AB91" w14:textId="77777777" w:rsidR="001677B5" w:rsidRPr="00034941" w:rsidRDefault="001677B5" w:rsidP="00063F80">
            <w:pPr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1677B5" w:rsidRPr="00034941" w14:paraId="09AB9634" w14:textId="77777777" w:rsidTr="00063F80">
        <w:trPr>
          <w:trHeight w:val="59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ACE27" w14:textId="77777777" w:rsidR="001677B5" w:rsidRPr="00034941" w:rsidRDefault="001677B5" w:rsidP="00063F80">
            <w:pPr>
              <w:snapToGrid w:val="0"/>
              <w:jc w:val="center"/>
              <w:rPr>
                <w:position w:val="6"/>
                <w:szCs w:val="24"/>
              </w:rPr>
            </w:pPr>
            <w:r w:rsidRPr="00034941">
              <w:rPr>
                <w:position w:val="6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7D35A00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095CF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i/>
                <w:szCs w:val="24"/>
              </w:rPr>
            </w:pPr>
            <w:r w:rsidRPr="00034941">
              <w:rPr>
                <w:rFonts w:eastAsia="Calibri"/>
                <w:position w:val="6"/>
                <w:szCs w:val="24"/>
              </w:rPr>
              <w:t>(Parašas)</w:t>
            </w:r>
            <w:r w:rsidRPr="00034941">
              <w:rPr>
                <w:rFonts w:eastAsia="Calibri"/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0CEFEE95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08F6F" w14:textId="77777777" w:rsidR="001677B5" w:rsidRPr="00034941" w:rsidRDefault="001677B5" w:rsidP="00063F80">
            <w:pPr>
              <w:ind w:right="-1"/>
              <w:jc w:val="center"/>
              <w:rPr>
                <w:rFonts w:eastAsia="Calibri"/>
                <w:i/>
                <w:szCs w:val="24"/>
              </w:rPr>
            </w:pPr>
            <w:r w:rsidRPr="00034941">
              <w:rPr>
                <w:rFonts w:eastAsia="Calibri"/>
                <w:position w:val="6"/>
                <w:szCs w:val="24"/>
              </w:rPr>
              <w:t>(Vardas ir pavardė)</w:t>
            </w:r>
            <w:r w:rsidRPr="00034941">
              <w:rPr>
                <w:rFonts w:eastAsia="Calibri"/>
                <w:i/>
                <w:szCs w:val="24"/>
              </w:rPr>
              <w:t xml:space="preserve"> </w:t>
            </w:r>
          </w:p>
        </w:tc>
      </w:tr>
    </w:tbl>
    <w:p w14:paraId="16AE0C8E" w14:textId="77777777" w:rsidR="001677B5" w:rsidRPr="00034941" w:rsidRDefault="001677B5" w:rsidP="001677B5">
      <w:pPr>
        <w:spacing w:line="360" w:lineRule="auto"/>
        <w:ind w:firstLine="720"/>
        <w:rPr>
          <w:b/>
          <w:szCs w:val="24"/>
        </w:rPr>
      </w:pPr>
    </w:p>
    <w:p w14:paraId="2E2457E3" w14:textId="77777777" w:rsidR="001677B5" w:rsidRPr="00034941" w:rsidRDefault="001677B5" w:rsidP="00C760BA">
      <w:pPr>
        <w:spacing w:line="360" w:lineRule="auto"/>
        <w:ind w:left="0" w:right="-421"/>
        <w:rPr>
          <w:szCs w:val="24"/>
        </w:rPr>
      </w:pPr>
      <w:r w:rsidRPr="00034941">
        <w:rPr>
          <w:b/>
          <w:szCs w:val="24"/>
        </w:rPr>
        <w:t xml:space="preserve">Pastaba: </w:t>
      </w:r>
      <w:r w:rsidRPr="00034941">
        <w:rPr>
          <w:szCs w:val="24"/>
        </w:rPr>
        <w:t xml:space="preserve">Jei techninėje specifikacijoje nurodytas konkretus tipas, modelis ar standartas, tai tiekėjai teikdami pasiūlymą gali siūlyti ir lygiavertes, </w:t>
      </w:r>
      <w:proofErr w:type="spellStart"/>
      <w:r w:rsidRPr="00034941">
        <w:rPr>
          <w:szCs w:val="24"/>
        </w:rPr>
        <w:t>t.y</w:t>
      </w:r>
      <w:proofErr w:type="spellEnd"/>
      <w:r w:rsidRPr="00034941">
        <w:rPr>
          <w:szCs w:val="24"/>
        </w:rPr>
        <w:t>. atitinkančias techninius reikalavimus, prekes.</w:t>
      </w:r>
    </w:p>
    <w:p w14:paraId="337558F6" w14:textId="6DCB1588" w:rsidR="00EE2AB8" w:rsidRPr="00034941" w:rsidRDefault="00EE2AB8" w:rsidP="002D5053">
      <w:pPr>
        <w:ind w:left="0"/>
        <w:rPr>
          <w:szCs w:val="24"/>
        </w:rPr>
      </w:pPr>
    </w:p>
    <w:sectPr w:rsidR="00EE2AB8" w:rsidRPr="00034941" w:rsidSect="00C760BA">
      <w:pgSz w:w="12240" w:h="15840"/>
      <w:pgMar w:top="1440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C6E"/>
    <w:multiLevelType w:val="hybridMultilevel"/>
    <w:tmpl w:val="EB00F816"/>
    <w:lvl w:ilvl="0" w:tplc="2156212C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0E08"/>
    <w:multiLevelType w:val="hybridMultilevel"/>
    <w:tmpl w:val="FF22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038B"/>
    <w:multiLevelType w:val="hybridMultilevel"/>
    <w:tmpl w:val="324A9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B32"/>
    <w:multiLevelType w:val="multilevel"/>
    <w:tmpl w:val="533821C8"/>
    <w:lvl w:ilvl="0">
      <w:start w:val="1"/>
      <w:numFmt w:val="decimal"/>
      <w:lvlText w:val="%1."/>
      <w:lvlJc w:val="left"/>
      <w:pPr>
        <w:tabs>
          <w:tab w:val="num" w:pos="1389"/>
        </w:tabs>
        <w:ind w:firstLine="851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firstLine="851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851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55"/>
        </w:tabs>
        <w:ind w:firstLine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firstLine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6650CF"/>
    <w:multiLevelType w:val="hybridMultilevel"/>
    <w:tmpl w:val="C346C7B4"/>
    <w:lvl w:ilvl="0" w:tplc="D2548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2EEF"/>
    <w:multiLevelType w:val="multilevel"/>
    <w:tmpl w:val="932E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A2EB6"/>
    <w:multiLevelType w:val="hybridMultilevel"/>
    <w:tmpl w:val="8A4871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13D2"/>
    <w:multiLevelType w:val="hybridMultilevel"/>
    <w:tmpl w:val="7CF68AEE"/>
    <w:lvl w:ilvl="0" w:tplc="19986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730"/>
    <w:multiLevelType w:val="hybridMultilevel"/>
    <w:tmpl w:val="611A9EEA"/>
    <w:lvl w:ilvl="0" w:tplc="D2548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CD20C9"/>
    <w:multiLevelType w:val="hybridMultilevel"/>
    <w:tmpl w:val="F87A1E78"/>
    <w:lvl w:ilvl="0" w:tplc="0427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4706DD1"/>
    <w:multiLevelType w:val="hybridMultilevel"/>
    <w:tmpl w:val="19D09706"/>
    <w:lvl w:ilvl="0" w:tplc="07E2CDC2"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1" w15:restartNumberingAfterBreak="0">
    <w:nsid w:val="3B335285"/>
    <w:multiLevelType w:val="hybridMultilevel"/>
    <w:tmpl w:val="E52692A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AAE300E"/>
    <w:multiLevelType w:val="multilevel"/>
    <w:tmpl w:val="C344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393259"/>
    <w:multiLevelType w:val="hybridMultilevel"/>
    <w:tmpl w:val="56B0F0A6"/>
    <w:lvl w:ilvl="0" w:tplc="D2548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C36C1"/>
    <w:multiLevelType w:val="hybridMultilevel"/>
    <w:tmpl w:val="B6545032"/>
    <w:lvl w:ilvl="0" w:tplc="D2548954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5" w15:restartNumberingAfterBreak="0">
    <w:nsid w:val="53E0022F"/>
    <w:multiLevelType w:val="hybridMultilevel"/>
    <w:tmpl w:val="D14028EE"/>
    <w:lvl w:ilvl="0" w:tplc="08A86DB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F45F9"/>
    <w:multiLevelType w:val="multilevel"/>
    <w:tmpl w:val="D1287E56"/>
    <w:lvl w:ilvl="0">
      <w:start w:val="1"/>
      <w:numFmt w:val="decimal"/>
      <w:lvlText w:val="%1."/>
      <w:lvlJc w:val="left"/>
      <w:pPr>
        <w:tabs>
          <w:tab w:val="num" w:pos="4028"/>
        </w:tabs>
        <w:ind w:firstLine="737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4"/>
        </w:tabs>
        <w:ind w:firstLine="73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96"/>
        </w:tabs>
        <w:ind w:firstLine="737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67AF722A"/>
    <w:multiLevelType w:val="hybridMultilevel"/>
    <w:tmpl w:val="ECB8092A"/>
    <w:lvl w:ilvl="0" w:tplc="D2548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56F81"/>
    <w:multiLevelType w:val="multilevel"/>
    <w:tmpl w:val="0C50C096"/>
    <w:lvl w:ilvl="0">
      <w:start w:val="1"/>
      <w:numFmt w:val="decimal"/>
      <w:lvlText w:val="%1."/>
      <w:lvlJc w:val="left"/>
      <w:pPr>
        <w:ind w:left="1890" w:hanging="18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6" w:hanging="18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2" w:hanging="18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78" w:hanging="1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74" w:hanging="1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0" w:hanging="1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6" w:hanging="1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2" w:hanging="1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58" w:hanging="1890"/>
      </w:pPr>
      <w:rPr>
        <w:rFonts w:hint="default"/>
      </w:rPr>
    </w:lvl>
  </w:abstractNum>
  <w:abstractNum w:abstractNumId="19" w15:restartNumberingAfterBreak="0">
    <w:nsid w:val="70E24E31"/>
    <w:multiLevelType w:val="hybridMultilevel"/>
    <w:tmpl w:val="229298A2"/>
    <w:lvl w:ilvl="0" w:tplc="4EA6A95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23425"/>
    <w:multiLevelType w:val="multilevel"/>
    <w:tmpl w:val="C344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6F57E1"/>
    <w:multiLevelType w:val="hybridMultilevel"/>
    <w:tmpl w:val="9D8A4100"/>
    <w:lvl w:ilvl="0" w:tplc="9506A7B6">
      <w:start w:val="2018"/>
      <w:numFmt w:val="bullet"/>
      <w:lvlText w:val="-"/>
      <w:lvlJc w:val="left"/>
      <w:pPr>
        <w:ind w:left="4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2" w15:restartNumberingAfterBreak="0">
    <w:nsid w:val="74AA6ED3"/>
    <w:multiLevelType w:val="hybridMultilevel"/>
    <w:tmpl w:val="4640528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0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21"/>
  </w:num>
  <w:num w:numId="10">
    <w:abstractNumId w:val="19"/>
  </w:num>
  <w:num w:numId="11">
    <w:abstractNumId w:val="15"/>
  </w:num>
  <w:num w:numId="12">
    <w:abstractNumId w:val="0"/>
  </w:num>
  <w:num w:numId="13">
    <w:abstractNumId w:val="2"/>
  </w:num>
  <w:num w:numId="14">
    <w:abstractNumId w:val="1"/>
  </w:num>
  <w:num w:numId="15">
    <w:abstractNumId w:val="13"/>
  </w:num>
  <w:num w:numId="16">
    <w:abstractNumId w:val="8"/>
  </w:num>
  <w:num w:numId="17">
    <w:abstractNumId w:val="10"/>
  </w:num>
  <w:num w:numId="18">
    <w:abstractNumId w:val="14"/>
  </w:num>
  <w:num w:numId="19">
    <w:abstractNumId w:val="17"/>
  </w:num>
  <w:num w:numId="20">
    <w:abstractNumId w:val="4"/>
  </w:num>
  <w:num w:numId="21">
    <w:abstractNumId w:val="5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B8"/>
    <w:rsid w:val="00001FC6"/>
    <w:rsid w:val="000162A0"/>
    <w:rsid w:val="00026781"/>
    <w:rsid w:val="00034941"/>
    <w:rsid w:val="0004453C"/>
    <w:rsid w:val="00063F80"/>
    <w:rsid w:val="00064F59"/>
    <w:rsid w:val="000B3D8E"/>
    <w:rsid w:val="000B7663"/>
    <w:rsid w:val="000C37FE"/>
    <w:rsid w:val="000D78F6"/>
    <w:rsid w:val="000F2DA3"/>
    <w:rsid w:val="00113874"/>
    <w:rsid w:val="00114324"/>
    <w:rsid w:val="001677B5"/>
    <w:rsid w:val="00183F84"/>
    <w:rsid w:val="001B230C"/>
    <w:rsid w:val="00227184"/>
    <w:rsid w:val="00246C62"/>
    <w:rsid w:val="0027680B"/>
    <w:rsid w:val="00276A09"/>
    <w:rsid w:val="00277649"/>
    <w:rsid w:val="002A3CEF"/>
    <w:rsid w:val="002B5573"/>
    <w:rsid w:val="002D4913"/>
    <w:rsid w:val="002D5053"/>
    <w:rsid w:val="002E1FE2"/>
    <w:rsid w:val="00337FDA"/>
    <w:rsid w:val="00390835"/>
    <w:rsid w:val="003A70A3"/>
    <w:rsid w:val="003D1EC4"/>
    <w:rsid w:val="004446B1"/>
    <w:rsid w:val="00470826"/>
    <w:rsid w:val="00482A2A"/>
    <w:rsid w:val="004D0F12"/>
    <w:rsid w:val="004D46C6"/>
    <w:rsid w:val="004E14E3"/>
    <w:rsid w:val="004E322C"/>
    <w:rsid w:val="004F012A"/>
    <w:rsid w:val="0050545A"/>
    <w:rsid w:val="00530548"/>
    <w:rsid w:val="005437DA"/>
    <w:rsid w:val="005A1722"/>
    <w:rsid w:val="005D199A"/>
    <w:rsid w:val="00614691"/>
    <w:rsid w:val="00626A1E"/>
    <w:rsid w:val="006312D4"/>
    <w:rsid w:val="006403B7"/>
    <w:rsid w:val="00690E6F"/>
    <w:rsid w:val="006A5D86"/>
    <w:rsid w:val="006D6633"/>
    <w:rsid w:val="0074016F"/>
    <w:rsid w:val="00751FF1"/>
    <w:rsid w:val="00785F92"/>
    <w:rsid w:val="007C397D"/>
    <w:rsid w:val="0081500C"/>
    <w:rsid w:val="0086083B"/>
    <w:rsid w:val="00864AED"/>
    <w:rsid w:val="00883F61"/>
    <w:rsid w:val="008964CD"/>
    <w:rsid w:val="008F15A2"/>
    <w:rsid w:val="009034E4"/>
    <w:rsid w:val="009179FD"/>
    <w:rsid w:val="00922E18"/>
    <w:rsid w:val="00935258"/>
    <w:rsid w:val="00952820"/>
    <w:rsid w:val="00956B13"/>
    <w:rsid w:val="0096331A"/>
    <w:rsid w:val="009A283D"/>
    <w:rsid w:val="00A13BC8"/>
    <w:rsid w:val="00AD4E2E"/>
    <w:rsid w:val="00AD5563"/>
    <w:rsid w:val="00B07FD6"/>
    <w:rsid w:val="00B22E4F"/>
    <w:rsid w:val="00B45BAB"/>
    <w:rsid w:val="00B61AAA"/>
    <w:rsid w:val="00B82492"/>
    <w:rsid w:val="00B87D4E"/>
    <w:rsid w:val="00C459E0"/>
    <w:rsid w:val="00C760BA"/>
    <w:rsid w:val="00C76954"/>
    <w:rsid w:val="00CB3225"/>
    <w:rsid w:val="00CC6E18"/>
    <w:rsid w:val="00CC7BF3"/>
    <w:rsid w:val="00CD124D"/>
    <w:rsid w:val="00D346BF"/>
    <w:rsid w:val="00D84EB2"/>
    <w:rsid w:val="00DC6C4B"/>
    <w:rsid w:val="00E017F4"/>
    <w:rsid w:val="00E1707D"/>
    <w:rsid w:val="00E375F6"/>
    <w:rsid w:val="00E50CC9"/>
    <w:rsid w:val="00E620E4"/>
    <w:rsid w:val="00EB4C31"/>
    <w:rsid w:val="00EE2AB8"/>
    <w:rsid w:val="00F070CA"/>
    <w:rsid w:val="00F90116"/>
    <w:rsid w:val="00FA1793"/>
    <w:rsid w:val="00FD4A8B"/>
    <w:rsid w:val="00FE402D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AE82"/>
  <w15:chartTrackingRefBased/>
  <w15:docId w15:val="{5F011EE3-184E-4364-AE04-E6CDA11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2AB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60BA"/>
    <w:pPr>
      <w:keepNext/>
      <w:keepLines/>
      <w:spacing w:before="240" w:line="276" w:lineRule="auto"/>
      <w:ind w:left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60BA"/>
    <w:pPr>
      <w:spacing w:before="240" w:after="60" w:line="276" w:lineRule="auto"/>
      <w:ind w:left="0"/>
      <w:jc w:val="left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EE2AB8"/>
    <w:pPr>
      <w:spacing w:before="100" w:beforeAutospacing="1" w:after="100" w:afterAutospacing="1"/>
    </w:pPr>
    <w:rPr>
      <w:szCs w:val="24"/>
      <w:lang w:val="en-US"/>
    </w:rPr>
  </w:style>
  <w:style w:type="paragraph" w:styleId="Sraopastraipa">
    <w:name w:val="List Paragraph"/>
    <w:aliases w:val="Bullet EY,Buletai,List Paragraph21,lp1,Bullet 1,Use Case List Paragraph,Numbering,ERP-List Paragraph,List Paragraph11,List Paragraph111,Paragraph,List Paragraph Red,Table of contents numbered,List Paragraph2,Sąrašo pastraipa.Bullet"/>
    <w:basedOn w:val="prastasis"/>
    <w:link w:val="SraopastraipaDiagrama"/>
    <w:uiPriority w:val="34"/>
    <w:qFormat/>
    <w:rsid w:val="00EE2AB8"/>
    <w:pPr>
      <w:contextualSpacing/>
    </w:pPr>
    <w:rPr>
      <w:rFonts w:eastAsia="Calibri"/>
    </w:rPr>
  </w:style>
  <w:style w:type="character" w:customStyle="1" w:styleId="SraopastraipaDiagrama">
    <w:name w:val="Sąrašo pastraipa Diagrama"/>
    <w:aliases w:val="Bullet EY Diagrama,Buletai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EE2AB8"/>
    <w:rPr>
      <w:rFonts w:ascii="Times New Roman" w:eastAsia="Calibri" w:hAnsi="Times New Roman" w:cs="Times New Roman"/>
      <w:sz w:val="24"/>
      <w:szCs w:val="20"/>
      <w:lang w:val="lt-LT"/>
    </w:rPr>
  </w:style>
  <w:style w:type="paragraph" w:styleId="Tekstoblokas">
    <w:name w:val="Block Text"/>
    <w:basedOn w:val="prastasis"/>
    <w:uiPriority w:val="99"/>
    <w:rsid w:val="00EE2AB8"/>
    <w:pPr>
      <w:ind w:left="1440" w:right="142"/>
    </w:pPr>
    <w:rPr>
      <w:rFonts w:eastAsia="SimSun"/>
    </w:rPr>
  </w:style>
  <w:style w:type="paragraph" w:customStyle="1" w:styleId="EYBulletText">
    <w:name w:val="EY Bullet Text"/>
    <w:basedOn w:val="prastasis"/>
    <w:uiPriority w:val="99"/>
    <w:rsid w:val="00EE2AB8"/>
    <w:pPr>
      <w:tabs>
        <w:tab w:val="num" w:pos="360"/>
      </w:tabs>
      <w:overflowPunct w:val="0"/>
      <w:autoSpaceDE w:val="0"/>
      <w:autoSpaceDN w:val="0"/>
      <w:adjustRightInd w:val="0"/>
      <w:spacing w:after="120"/>
      <w:ind w:left="0" w:firstLine="720"/>
      <w:textAlignment w:val="baseline"/>
    </w:pPr>
    <w:rPr>
      <w:rFonts w:ascii="Garamond" w:eastAsia="MS Mincho" w:hAnsi="Garamond" w:cs="Arial"/>
      <w:bCs/>
      <w:noProof/>
      <w:sz w:val="22"/>
      <w:lang w:val="en-US"/>
    </w:rPr>
  </w:style>
  <w:style w:type="paragraph" w:customStyle="1" w:styleId="NormalBold">
    <w:name w:val="Normal + Bold"/>
    <w:basedOn w:val="prastasis"/>
    <w:uiPriority w:val="99"/>
    <w:rsid w:val="00EE2AB8"/>
    <w:pPr>
      <w:suppressAutoHyphens/>
      <w:spacing w:after="120"/>
      <w:ind w:left="0"/>
      <w:jc w:val="center"/>
    </w:pPr>
    <w:rPr>
      <w:b/>
      <w:sz w:val="20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7B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7BF3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4E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4E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4EB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E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EB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1677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4F012A"/>
    <w:rPr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760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60BA"/>
    <w:rPr>
      <w:rFonts w:ascii="Aptos" w:eastAsia="Times New Roman" w:hAnsi="Aptos" w:cs="Times New Roman"/>
      <w:b/>
      <w:bCs/>
      <w:i/>
      <w:iCs/>
      <w:sz w:val="26"/>
      <w:szCs w:val="26"/>
      <w:lang w:val="lt-LT"/>
    </w:rPr>
  </w:style>
  <w:style w:type="character" w:customStyle="1" w:styleId="UnresolvedMention">
    <w:name w:val="Unresolved Mention"/>
    <w:uiPriority w:val="47"/>
    <w:rsid w:val="00C760BA"/>
    <w:rPr>
      <w:color w:val="605E5C"/>
      <w:shd w:val="clear" w:color="auto" w:fill="E1DFDD"/>
    </w:rPr>
  </w:style>
  <w:style w:type="paragraph" w:customStyle="1" w:styleId="Body2">
    <w:name w:val="Body 2"/>
    <w:rsid w:val="00E375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PC</cp:lastModifiedBy>
  <cp:revision>47</cp:revision>
  <cp:lastPrinted>2017-08-01T07:36:00Z</cp:lastPrinted>
  <dcterms:created xsi:type="dcterms:W3CDTF">2023-02-21T14:19:00Z</dcterms:created>
  <dcterms:modified xsi:type="dcterms:W3CDTF">2025-10-01T06:23:00Z</dcterms:modified>
</cp:coreProperties>
</file>