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Lentelstinklelis"/>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40F4174A"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F2E5B61"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w:t>
            </w:r>
            <w:r w:rsidR="004642EF">
              <w:rPr>
                <w:color w:val="000000"/>
                <w:sz w:val="22"/>
                <w:szCs w:val="22"/>
              </w:rPr>
              <w:t>.</w:t>
            </w:r>
            <w:r w:rsidRPr="00190BE5">
              <w:rPr>
                <w:color w:val="000000"/>
                <w:sz w:val="22"/>
                <w:szCs w:val="22"/>
              </w:rPr>
              <w:t xml:space="preserve">.......................],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Sraopastraipa"/>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601B9BEC" w14:textId="629AD726" w:rsidR="005D103B" w:rsidRPr="00527E2E" w:rsidRDefault="005D103B" w:rsidP="0008398F">
            <w:pPr>
              <w:spacing w:after="120" w:line="276" w:lineRule="auto"/>
              <w:jc w:val="both"/>
              <w:rPr>
                <w:color w:val="000000"/>
                <w:sz w:val="22"/>
                <w:szCs w:val="22"/>
              </w:rPr>
            </w:pPr>
            <w:r w:rsidRPr="00527E2E">
              <w:rPr>
                <w:color w:val="000000"/>
                <w:sz w:val="22"/>
                <w:szCs w:val="22"/>
              </w:rPr>
              <w:t xml:space="preserve">Sutarties dalykas </w:t>
            </w:r>
            <w:r w:rsidR="0008398F" w:rsidRPr="0008398F">
              <w:rPr>
                <w:color w:val="000000"/>
                <w:sz w:val="22"/>
                <w:szCs w:val="22"/>
              </w:rPr>
              <w:t>LSMU kapavietės įrengimas Petrašiūnų</w:t>
            </w:r>
            <w:r w:rsidR="000069DE">
              <w:rPr>
                <w:color w:val="000000"/>
                <w:sz w:val="22"/>
                <w:szCs w:val="22"/>
              </w:rPr>
              <w:t xml:space="preserve"> </w:t>
            </w:r>
            <w:r w:rsidR="0008398F" w:rsidRPr="0008398F">
              <w:rPr>
                <w:color w:val="000000"/>
                <w:sz w:val="22"/>
                <w:szCs w:val="22"/>
              </w:rPr>
              <w:t>kapinėse</w:t>
            </w:r>
            <w:r w:rsidR="000069DE">
              <w:rPr>
                <w:color w:val="000000"/>
                <w:sz w:val="22"/>
                <w:szCs w:val="22"/>
              </w:rPr>
              <w:t xml:space="preserve"> Kauno mieste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08B6A0FC" w14:textId="62AECF16"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0069DE">
              <w:rPr>
                <w:color w:val="000000"/>
                <w:sz w:val="22"/>
                <w:szCs w:val="22"/>
              </w:rPr>
              <w:t xml:space="preserve"> </w:t>
            </w:r>
            <w:r w:rsidR="00126A40" w:rsidRPr="00126A40">
              <w:rPr>
                <w:color w:val="000000"/>
                <w:sz w:val="22"/>
                <w:szCs w:val="22"/>
              </w:rPr>
              <w:t>M. Gimbutienės g. 28, Kaunas</w:t>
            </w:r>
            <w:r w:rsidR="00EC148C">
              <w:rPr>
                <w:i/>
                <w:iCs/>
                <w:color w:val="000000"/>
                <w:sz w:val="22"/>
                <w:szCs w:val="22"/>
              </w:rPr>
              <w:t>.</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Sraopastraipa"/>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Lentelstinklelis"/>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Sraopastraipa"/>
                    <w:numPr>
                      <w:ilvl w:val="0"/>
                      <w:numId w:val="15"/>
                    </w:numPr>
                    <w:spacing w:line="276" w:lineRule="auto"/>
                    <w:ind w:hanging="667"/>
                    <w:jc w:val="both"/>
                    <w:rPr>
                      <w:color w:val="000000"/>
                      <w:sz w:val="22"/>
                      <w:szCs w:val="22"/>
                    </w:rPr>
                  </w:pPr>
                </w:p>
              </w:tc>
              <w:tc>
                <w:tcPr>
                  <w:tcW w:w="4685" w:type="dxa"/>
                </w:tcPr>
                <w:p w14:paraId="645ABAD3" w14:textId="5FE3E58B" w:rsidR="00C97AF9" w:rsidRPr="00190BE5" w:rsidRDefault="00126A40" w:rsidP="00591547">
                  <w:pPr>
                    <w:spacing w:line="276" w:lineRule="auto"/>
                    <w:jc w:val="both"/>
                    <w:rPr>
                      <w:color w:val="000000"/>
                      <w:sz w:val="22"/>
                      <w:szCs w:val="22"/>
                    </w:rPr>
                  </w:pPr>
                  <w:r w:rsidRPr="00126A40">
                    <w:rPr>
                      <w:color w:val="000000"/>
                      <w:sz w:val="22"/>
                      <w:szCs w:val="22"/>
                    </w:rPr>
                    <w:t>LSMU kapavietės įrengimas</w:t>
                  </w:r>
                  <w:r w:rsidR="00276891">
                    <w:rPr>
                      <w:color w:val="000000"/>
                      <w:sz w:val="22"/>
                      <w:szCs w:val="22"/>
                    </w:rPr>
                    <w:t xml:space="preserve"> (rangos darbai)</w:t>
                  </w:r>
                </w:p>
              </w:tc>
              <w:tc>
                <w:tcPr>
                  <w:tcW w:w="1276" w:type="dxa"/>
                </w:tcPr>
                <w:p w14:paraId="07BE0C98" w14:textId="6C6AE108" w:rsidR="00C97AF9" w:rsidRPr="00190BE5" w:rsidRDefault="00C97AF9" w:rsidP="00190BE5">
                  <w:pPr>
                    <w:spacing w:line="276" w:lineRule="auto"/>
                    <w:jc w:val="center"/>
                    <w:rPr>
                      <w:color w:val="000000"/>
                      <w:sz w:val="22"/>
                      <w:szCs w:val="22"/>
                    </w:rPr>
                  </w:pP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Puslapioinaosnuoroda"/>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Sraopastraipa"/>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Sraopastraipa"/>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3DEF8D8A"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967301">
              <w:rPr>
                <w:sz w:val="22"/>
                <w:szCs w:val="22"/>
                <w:lang w:eastAsia="lt-LT"/>
              </w:rPr>
              <w:t>15</w:t>
            </w:r>
            <w:r w:rsidR="00F46903">
              <w:rPr>
                <w:sz w:val="22"/>
                <w:szCs w:val="22"/>
                <w:lang w:eastAsia="lt-LT"/>
              </w:rPr>
              <w:t xml:space="preserve"> (</w:t>
            </w:r>
            <w:r w:rsidR="00967301">
              <w:rPr>
                <w:sz w:val="22"/>
                <w:szCs w:val="22"/>
                <w:lang w:eastAsia="lt-LT"/>
              </w:rPr>
              <w:t>penkiolika</w:t>
            </w:r>
            <w:r w:rsidR="00F46903">
              <w:rPr>
                <w:sz w:val="22"/>
                <w:szCs w:val="22"/>
                <w:lang w:eastAsia="lt-LT"/>
              </w:rPr>
              <w:t xml:space="preserve">)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Sraopastraipa"/>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490A98D3"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C45468">
              <w:rPr>
                <w:color w:val="000000"/>
                <w:sz w:val="22"/>
                <w:szCs w:val="22"/>
              </w:rPr>
              <w:t>2</w:t>
            </w:r>
            <w:r w:rsidR="00072D86">
              <w:rPr>
                <w:color w:val="000000"/>
                <w:sz w:val="22"/>
                <w:szCs w:val="22"/>
              </w:rPr>
              <w:t xml:space="preserve"> (</w:t>
            </w:r>
            <w:r w:rsidR="00C45468">
              <w:rPr>
                <w:color w:val="000000"/>
                <w:sz w:val="22"/>
                <w:szCs w:val="22"/>
              </w:rPr>
              <w:t>du</w:t>
            </w:r>
            <w:r w:rsidR="00072D86">
              <w:rPr>
                <w:color w:val="000000"/>
                <w:sz w:val="22"/>
                <w:szCs w:val="22"/>
              </w:rPr>
              <w:t xml:space="preserve">) mėnesiai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Sraopastraipa"/>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Sraopastraipa"/>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CFA4898" w14:textId="09A5842F"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072D86">
              <w:rPr>
                <w:b/>
                <w:color w:val="000000"/>
                <w:sz w:val="22"/>
                <w:szCs w:val="22"/>
              </w:rPr>
              <w:t xml:space="preserve"> 4 </w:t>
            </w:r>
            <w:r w:rsidR="00D41164">
              <w:rPr>
                <w:b/>
                <w:color w:val="000000"/>
                <w:sz w:val="22"/>
                <w:szCs w:val="22"/>
              </w:rPr>
              <w:t>(</w:t>
            </w:r>
            <w:r w:rsidR="00072D86">
              <w:rPr>
                <w:b/>
                <w:color w:val="000000"/>
                <w:sz w:val="22"/>
                <w:szCs w:val="22"/>
              </w:rPr>
              <w:t>keturi)</w:t>
            </w:r>
            <w:r w:rsidR="00D41164">
              <w:rPr>
                <w:b/>
                <w:color w:val="000000"/>
                <w:sz w:val="22"/>
                <w:szCs w:val="22"/>
              </w:rPr>
              <w:t xml:space="preserve"> mėnesiai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Sraopastraipa"/>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Sraopastraipa"/>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r w:rsidRPr="00190BE5">
              <w:rPr>
                <w:rFonts w:eastAsia="Calibri"/>
                <w:bCs/>
                <w:sz w:val="22"/>
                <w:szCs w:val="22"/>
              </w:rPr>
              <w:t>A.</w:t>
            </w:r>
            <w:r w:rsidR="001C176F" w:rsidRPr="00190BE5">
              <w:rPr>
                <w:rFonts w:eastAsia="Calibri"/>
                <w:bCs/>
                <w:sz w:val="22"/>
                <w:szCs w:val="22"/>
              </w:rPr>
              <w:t>Mickevičiaus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4AC252E1" w14:textId="77777777" w:rsidR="00265E96" w:rsidRDefault="00265E96" w:rsidP="00591547">
      <w:pPr>
        <w:pStyle w:val="BankNormal"/>
        <w:suppressAutoHyphens/>
        <w:spacing w:before="120" w:after="120"/>
        <w:rPr>
          <w:b/>
          <w:color w:val="000000"/>
          <w:sz w:val="22"/>
          <w:szCs w:val="22"/>
          <w:lang w:val="lt-LT"/>
        </w:rPr>
      </w:pPr>
    </w:p>
    <w:p w14:paraId="394BC9FC" w14:textId="77777777" w:rsidR="00265E96" w:rsidRDefault="00265E96" w:rsidP="00591547">
      <w:pPr>
        <w:pStyle w:val="BankNormal"/>
        <w:suppressAutoHyphens/>
        <w:spacing w:before="120" w:after="120"/>
        <w:rPr>
          <w:b/>
          <w:color w:val="000000"/>
          <w:sz w:val="22"/>
          <w:szCs w:val="22"/>
          <w:lang w:val="lt-LT"/>
        </w:rPr>
      </w:pPr>
    </w:p>
    <w:p w14:paraId="65F1EA4D" w14:textId="77777777" w:rsidR="00265E96" w:rsidRDefault="00265E96" w:rsidP="00591547">
      <w:pPr>
        <w:pStyle w:val="BankNormal"/>
        <w:suppressAutoHyphens/>
        <w:spacing w:before="120" w:after="120"/>
        <w:rPr>
          <w:b/>
          <w:color w:val="000000"/>
          <w:sz w:val="22"/>
          <w:szCs w:val="22"/>
          <w:lang w:val="lt-LT"/>
        </w:rPr>
      </w:pPr>
    </w:p>
    <w:p w14:paraId="4D7DC1F3" w14:textId="77777777" w:rsidR="00265E96" w:rsidRDefault="00265E96" w:rsidP="00591547">
      <w:pPr>
        <w:pStyle w:val="BankNormal"/>
        <w:suppressAutoHyphens/>
        <w:spacing w:before="120" w:after="120"/>
        <w:rPr>
          <w:b/>
          <w:color w:val="000000"/>
          <w:sz w:val="22"/>
          <w:szCs w:val="22"/>
          <w:lang w:val="lt-LT"/>
        </w:rPr>
      </w:pPr>
    </w:p>
    <w:p w14:paraId="79097BEC" w14:textId="77777777" w:rsidR="00265E96" w:rsidRDefault="00265E96" w:rsidP="00591547">
      <w:pPr>
        <w:pStyle w:val="BankNormal"/>
        <w:suppressAutoHyphens/>
        <w:spacing w:before="120" w:after="120"/>
        <w:rPr>
          <w:b/>
          <w:color w:val="000000"/>
          <w:sz w:val="22"/>
          <w:szCs w:val="22"/>
          <w:lang w:val="lt-LT"/>
        </w:rPr>
      </w:pPr>
    </w:p>
    <w:p w14:paraId="7652AA9F" w14:textId="77777777" w:rsidR="00265E96" w:rsidRDefault="00265E96" w:rsidP="00591547">
      <w:pPr>
        <w:pStyle w:val="BankNormal"/>
        <w:suppressAutoHyphens/>
        <w:spacing w:before="120" w:after="120"/>
        <w:rPr>
          <w:b/>
          <w:color w:val="000000"/>
          <w:sz w:val="22"/>
          <w:szCs w:val="22"/>
          <w:lang w:val="lt-LT"/>
        </w:rPr>
      </w:pPr>
    </w:p>
    <w:p w14:paraId="32B87D34" w14:textId="77777777" w:rsidR="00265E96" w:rsidRDefault="00265E96" w:rsidP="00591547">
      <w:pPr>
        <w:pStyle w:val="BankNormal"/>
        <w:suppressAutoHyphens/>
        <w:spacing w:before="120" w:after="120"/>
        <w:rPr>
          <w:b/>
          <w:color w:val="000000"/>
          <w:sz w:val="22"/>
          <w:szCs w:val="22"/>
          <w:lang w:val="lt-LT"/>
        </w:rPr>
      </w:pPr>
    </w:p>
    <w:p w14:paraId="4ABC40C5" w14:textId="77777777" w:rsidR="00265E96" w:rsidRDefault="00265E96" w:rsidP="00591547">
      <w:pPr>
        <w:pStyle w:val="BankNormal"/>
        <w:suppressAutoHyphens/>
        <w:spacing w:before="120" w:after="120"/>
        <w:rPr>
          <w:b/>
          <w:color w:val="000000"/>
          <w:sz w:val="22"/>
          <w:szCs w:val="22"/>
          <w:lang w:val="lt-LT"/>
        </w:rPr>
      </w:pPr>
    </w:p>
    <w:p w14:paraId="2F0D6EE8" w14:textId="77777777" w:rsidR="00265E96" w:rsidRDefault="00265E96" w:rsidP="00591547">
      <w:pPr>
        <w:pStyle w:val="BankNormal"/>
        <w:suppressAutoHyphens/>
        <w:spacing w:before="120" w:after="120"/>
        <w:rPr>
          <w:b/>
          <w:color w:val="000000"/>
          <w:sz w:val="22"/>
          <w:szCs w:val="22"/>
          <w:lang w:val="lt-LT"/>
        </w:rPr>
      </w:pPr>
    </w:p>
    <w:p w14:paraId="7B3153D1" w14:textId="77777777" w:rsidR="00265E96" w:rsidRDefault="00265E96" w:rsidP="00591547">
      <w:pPr>
        <w:pStyle w:val="BankNormal"/>
        <w:suppressAutoHyphens/>
        <w:spacing w:before="120" w:after="120"/>
        <w:rPr>
          <w:b/>
          <w:color w:val="000000"/>
          <w:sz w:val="22"/>
          <w:szCs w:val="22"/>
          <w:lang w:val="lt-LT"/>
        </w:rPr>
      </w:pPr>
    </w:p>
    <w:p w14:paraId="1FCE935C" w14:textId="77777777" w:rsidR="00265E96" w:rsidRDefault="00265E96"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Lentelstinklelis"/>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683AA6">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59"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683AA6">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59"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683AA6">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683AA6">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683AA6">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r w:rsidRPr="00BD048D">
              <w:rPr>
                <w:sz w:val="22"/>
                <w:szCs w:val="22"/>
              </w:rPr>
              <w:t>Nuolatinių Darbų atlikimo metu</w:t>
            </w:r>
            <w:r w:rsidRPr="00BD048D">
              <w:rPr>
                <w:color w:val="000000"/>
                <w:sz w:val="22"/>
                <w:szCs w:val="22"/>
              </w:rPr>
              <w:t>.</w:t>
            </w:r>
          </w:p>
        </w:tc>
      </w:tr>
      <w:tr w:rsidR="00952CC2" w:rsidRPr="00BD048D" w14:paraId="153BC6AB" w14:textId="77777777" w:rsidTr="00683AA6">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683AA6">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683AA6">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683AA6">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683AA6">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683AA6">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683AA6">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683AA6">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rPr>
              <w:t xml:space="preserve">Sutarties valiuta </w:t>
            </w:r>
            <w:r w:rsidRPr="00BD048D">
              <w:rPr>
                <w:color w:val="000000"/>
                <w:sz w:val="22"/>
                <w:szCs w:val="22"/>
              </w:rPr>
              <w:t>– Eurai.</w:t>
            </w:r>
          </w:p>
        </w:tc>
      </w:tr>
      <w:tr w:rsidR="00952CC2" w:rsidRPr="00BD7A09" w14:paraId="0EAE5C7A" w14:textId="77777777" w:rsidTr="00683AA6">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59"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683AA6">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683AA6">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683AA6">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683AA6">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683AA6">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683AA6">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683AA6">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683AA6">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683AA6">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683AA6">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683AA6">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683AA6">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683AA6">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683AA6">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683AA6">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683AA6">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683AA6">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683AA6">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683AA6">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683AA6">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683AA6">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683AA6">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683AA6">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683AA6">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683AA6">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683AA6">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683AA6">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683AA6">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683AA6">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683AA6">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683AA6">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683AA6">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683AA6">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683AA6">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r w:rsidRPr="00BD048D">
              <w:rPr>
                <w:rFonts w:eastAsia="MS Mincho"/>
                <w:b/>
                <w:color w:val="000000"/>
                <w:sz w:val="22"/>
                <w:szCs w:val="22"/>
              </w:rPr>
              <w:t>Teisių perleidimas</w:t>
            </w:r>
          </w:p>
        </w:tc>
      </w:tr>
      <w:tr w:rsidR="00E423A0" w:rsidRPr="00BD048D" w14:paraId="21B08A75" w14:textId="77777777" w:rsidTr="00683AA6">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683AA6">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
                <w:color w:val="000000"/>
                <w:sz w:val="22"/>
                <w:szCs w:val="22"/>
              </w:rPr>
              <w:t>Dokumentų saugojimas ir pateikimas</w:t>
            </w:r>
          </w:p>
        </w:tc>
      </w:tr>
      <w:tr w:rsidR="00E423A0" w:rsidRPr="00BD048D" w14:paraId="313B032C" w14:textId="77777777" w:rsidTr="00683AA6">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683AA6">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683AA6">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683AA6">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r w:rsidRPr="00BD048D">
              <w:rPr>
                <w:rFonts w:eastAsia="MS Mincho"/>
                <w:b/>
                <w:color w:val="000000"/>
                <w:sz w:val="22"/>
                <w:szCs w:val="22"/>
              </w:rPr>
              <w:t>Intelektinė nuosavybė</w:t>
            </w:r>
          </w:p>
        </w:tc>
      </w:tr>
      <w:tr w:rsidR="00E423A0" w:rsidRPr="00BD048D" w14:paraId="764191C7" w14:textId="77777777" w:rsidTr="00683AA6">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683AA6">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683AA6">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683AA6">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683AA6">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683AA6">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1C12466E" w14:textId="77777777" w:rsidTr="00683AA6">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66C840A" w14:textId="3D6F89A6"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w:t>
            </w:r>
            <w:r w:rsidR="00ED31D0">
              <w:rPr>
                <w:color w:val="000000"/>
                <w:sz w:val="22"/>
                <w:szCs w:val="22"/>
                <w:lang w:val="lt-LT"/>
              </w:rPr>
              <w:t xml:space="preserve"> konkrečias </w:t>
            </w:r>
            <w:r w:rsidRPr="00BD048D">
              <w:rPr>
                <w:color w:val="000000"/>
                <w:sz w:val="22"/>
                <w:szCs w:val="22"/>
                <w:lang w:val="lt-LT"/>
              </w:rPr>
              <w:t>aplinkybes pagal 1.9.1 punkt</w:t>
            </w:r>
            <w:r w:rsidR="00683AA6">
              <w:rPr>
                <w:color w:val="000000"/>
                <w:sz w:val="22"/>
                <w:szCs w:val="22"/>
                <w:lang w:val="lt-LT"/>
              </w:rPr>
              <w:t>ą</w:t>
            </w:r>
            <w:r w:rsidRPr="00BD048D">
              <w:rPr>
                <w:color w:val="000000"/>
                <w:sz w:val="22"/>
                <w:szCs w:val="22"/>
                <w:lang w:val="lt-LT"/>
              </w:rPr>
              <w:t>,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683AA6">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D0228CC" w14:textId="549B5CD6"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w:t>
            </w:r>
            <w:r w:rsidR="00ED31D0">
              <w:rPr>
                <w:color w:val="000000"/>
                <w:sz w:val="22"/>
                <w:szCs w:val="22"/>
                <w:lang w:val="lt-LT"/>
              </w:rPr>
              <w:t>1</w:t>
            </w:r>
            <w:r w:rsidRPr="00BD048D">
              <w:rPr>
                <w:color w:val="000000"/>
                <w:sz w:val="22"/>
                <w:szCs w:val="22"/>
                <w:lang w:val="lt-LT"/>
              </w:rPr>
              <w:t xml:space="preserve">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683AA6">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683AA6">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683AA6">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683AA6">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59"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r w:rsidRPr="00BD048D">
              <w:rPr>
                <w:b/>
                <w:color w:val="000000"/>
                <w:sz w:val="22"/>
                <w:szCs w:val="22"/>
              </w:rPr>
              <w:t>Sutarties nuostatų negaliojimas</w:t>
            </w:r>
          </w:p>
        </w:tc>
      </w:tr>
      <w:tr w:rsidR="003D196D" w:rsidRPr="00BD048D" w14:paraId="080E2D3D" w14:textId="77777777" w:rsidTr="00683AA6">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683AA6">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2649C285" w14:textId="14E6EABE" w:rsidR="003D196D" w:rsidRPr="00BD048D" w:rsidRDefault="003D196D" w:rsidP="005B69B2">
            <w:pPr>
              <w:pStyle w:val="BankNormal"/>
              <w:suppressAutoHyphens/>
              <w:spacing w:before="120" w:after="120"/>
              <w:jc w:val="both"/>
              <w:rPr>
                <w:sz w:val="22"/>
                <w:szCs w:val="22"/>
                <w:lang w:val="lt-LT"/>
              </w:rPr>
            </w:pPr>
            <w:r w:rsidRPr="00BD048D">
              <w:rPr>
                <w:rFonts w:eastAsia="MS Mincho"/>
                <w:b/>
                <w:color w:val="000000"/>
                <w:sz w:val="22"/>
                <w:szCs w:val="22"/>
              </w:rPr>
              <w:t>Užsakovas</w:t>
            </w:r>
          </w:p>
        </w:tc>
      </w:tr>
      <w:tr w:rsidR="003D196D" w:rsidRPr="00BD048D" w14:paraId="58C40EE3" w14:textId="77777777" w:rsidTr="00683AA6">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683AA6">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683AA6">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683AA6">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683AA6">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683AA6">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59"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r w:rsidRPr="00BD048D">
              <w:rPr>
                <w:rFonts w:eastAsia="MS Mincho"/>
                <w:b/>
                <w:color w:val="000000"/>
                <w:sz w:val="22"/>
                <w:szCs w:val="22"/>
              </w:rPr>
              <w:t>Rangovas</w:t>
            </w:r>
          </w:p>
        </w:tc>
      </w:tr>
      <w:tr w:rsidR="00037116" w:rsidRPr="00BD048D" w14:paraId="76EBBB27" w14:textId="77777777" w:rsidTr="00683AA6">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Bendrosios Rangovo prievolės</w:t>
            </w:r>
          </w:p>
        </w:tc>
      </w:tr>
      <w:tr w:rsidR="007B3520" w:rsidRPr="00BD048D" w14:paraId="1665D983" w14:textId="77777777" w:rsidTr="00683AA6">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7B72F1" w:rsidRPr="00BD048D" w14:paraId="440438D5" w14:textId="77777777" w:rsidTr="00683AA6">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r w:rsidRPr="00BD048D">
              <w:rPr>
                <w:rFonts w:eastAsia="MS Mincho"/>
                <w:color w:val="000000"/>
                <w:sz w:val="22"/>
                <w:szCs w:val="22"/>
              </w:rPr>
              <w:t xml:space="preserve">Rangovas privalo parengti Darbo projektą </w:t>
            </w:r>
            <w:r w:rsidRPr="00BD048D">
              <w:rPr>
                <w:color w:val="000000"/>
                <w:sz w:val="22"/>
                <w:szCs w:val="22"/>
              </w:rPr>
              <w:t>terminais nurodytais Sutarties specialiosiose sąlygose;</w:t>
            </w:r>
          </w:p>
        </w:tc>
      </w:tr>
      <w:tr w:rsidR="007B72F1" w:rsidRPr="00BD048D" w14:paraId="578B1480" w14:textId="77777777" w:rsidTr="00683AA6">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683AA6">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683AA6">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683AA6">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683AA6">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683AA6">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683AA6">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683AA6">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683AA6">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683AA6">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Puslapioinaosnuoroda"/>
                <w:color w:val="000000"/>
                <w:sz w:val="22"/>
                <w:szCs w:val="22"/>
                <w:lang w:val="lt-LT"/>
              </w:rPr>
              <w:footnoteReference w:id="3"/>
            </w:r>
            <w:r w:rsidR="001E0ABC" w:rsidRPr="00BD048D">
              <w:rPr>
                <w:color w:val="000000"/>
                <w:sz w:val="22"/>
                <w:szCs w:val="22"/>
                <w:lang w:val="lt-LT"/>
              </w:rPr>
              <w:t>, ar objektinių sąmatų</w:t>
            </w:r>
            <w:r w:rsidR="003B0A14" w:rsidRPr="00BD048D">
              <w:rPr>
                <w:rStyle w:val="Puslapioinaosnuoroda"/>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683AA6">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683AA6">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9A079B9" w14:textId="1D2C1CB8" w:rsidR="00A80825" w:rsidRPr="00A13C6D" w:rsidRDefault="001C320A" w:rsidP="00A80825">
            <w:pPr>
              <w:pStyle w:val="BankNormal"/>
              <w:suppressAutoHyphens/>
              <w:spacing w:before="120" w:after="120"/>
              <w:jc w:val="both"/>
              <w:rPr>
                <w:color w:val="000000"/>
                <w:sz w:val="22"/>
                <w:szCs w:val="22"/>
                <w:lang w:val="lt-LT"/>
              </w:rPr>
            </w:pPr>
            <w:r w:rsidRPr="001C320A">
              <w:rPr>
                <w:color w:val="000000"/>
                <w:sz w:val="22"/>
                <w:szCs w:val="22"/>
                <w:lang w:val="lt-LT"/>
              </w:rPr>
              <w:t xml:space="preserve">Rangovas privalo užtikrinti, kad visą Sutarties vykdymo laikotarpį bus laikomasi aplinkos apsaugos vadybos sistemos standartų reikalavimų, t. y., kad aplinkos apsaugos vadybos sistema, kurią pateikta Rangovo kartu su pasiūlymu, pas Rangovą bus įdiegta visą Sutarties vykdymo laikotarpį. </w:t>
            </w:r>
          </w:p>
        </w:tc>
      </w:tr>
      <w:tr w:rsidR="00067BF7" w:rsidRPr="00BD048D" w14:paraId="38C8F3F0" w14:textId="77777777" w:rsidTr="00683AA6">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683AA6">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Rangovo atstovas</w:t>
            </w:r>
          </w:p>
        </w:tc>
      </w:tr>
      <w:tr w:rsidR="001E0ABC" w:rsidRPr="00BD048D" w14:paraId="4965AFA2" w14:textId="77777777" w:rsidTr="00683AA6">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683AA6">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683AA6">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683AA6">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683AA6">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683AA6">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683AA6">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Bendradarbiavimas</w:t>
            </w:r>
          </w:p>
        </w:tc>
      </w:tr>
      <w:tr w:rsidR="00C37F80" w:rsidRPr="00BD048D" w14:paraId="7FCD9551" w14:textId="77777777" w:rsidTr="00683AA6">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683AA6">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Sveikata ir sauga darbe</w:t>
            </w:r>
          </w:p>
        </w:tc>
      </w:tr>
      <w:tr w:rsidR="00C37F80" w:rsidRPr="00BD048D" w14:paraId="7715355F" w14:textId="77777777" w:rsidTr="00683AA6">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683AA6">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683AA6">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683AA6">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683AA6">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683AA6">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Statybvietės duomenys</w:t>
            </w:r>
          </w:p>
        </w:tc>
      </w:tr>
      <w:tr w:rsidR="00C80772" w:rsidRPr="00BD048D" w14:paraId="0D1255C6" w14:textId="77777777" w:rsidTr="00683AA6">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683AA6">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683AA6">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rPr>
              <w:t>hidrologines bei klimatines sąlygas,</w:t>
            </w:r>
          </w:p>
        </w:tc>
      </w:tr>
      <w:tr w:rsidR="00552C2F" w:rsidRPr="00BD048D" w14:paraId="5DFAF823" w14:textId="77777777" w:rsidTr="00683AA6">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683AA6">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683AA6">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683AA6">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683AA6">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683AA6">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683AA6">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Trukdymo vengimas</w:t>
            </w:r>
          </w:p>
        </w:tc>
      </w:tr>
      <w:tr w:rsidR="00601B80" w:rsidRPr="00BD048D" w14:paraId="5B9C744B" w14:textId="77777777" w:rsidTr="00683AA6">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683AA6">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683AA6">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Privažiavimo keliai</w:t>
            </w:r>
          </w:p>
        </w:tc>
      </w:tr>
      <w:tr w:rsidR="00BC558C" w:rsidRPr="00BD048D" w14:paraId="66F30BCA" w14:textId="77777777" w:rsidTr="00683AA6">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683AA6">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rPr>
              <w:t>Rangovas privalo:</w:t>
            </w:r>
          </w:p>
        </w:tc>
      </w:tr>
      <w:tr w:rsidR="00BC558C" w:rsidRPr="00BD048D" w14:paraId="2F6EBA49" w14:textId="77777777" w:rsidTr="00683AA6">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683AA6">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683AA6">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683AA6">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683AA6">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683AA6">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683AA6">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Prekių pervežimas</w:t>
            </w:r>
          </w:p>
        </w:tc>
      </w:tr>
      <w:tr w:rsidR="00BC558C" w:rsidRPr="00BD048D" w14:paraId="640AC3E9" w14:textId="77777777" w:rsidTr="00683AA6">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683AA6">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683AA6">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683AA6">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683AA6">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Aplinkos apsauga</w:t>
            </w:r>
          </w:p>
        </w:tc>
      </w:tr>
      <w:tr w:rsidR="005A097C" w:rsidRPr="00BD048D" w14:paraId="42026760" w14:textId="77777777" w:rsidTr="00683AA6">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683AA6">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683AA6">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683AA6">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683AA6">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683AA6">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683AA6">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683AA6">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Darbų eigos ataskaitos</w:t>
            </w:r>
          </w:p>
        </w:tc>
      </w:tr>
      <w:tr w:rsidR="00A82436" w:rsidRPr="00BD048D" w14:paraId="20CBDD03" w14:textId="77777777" w:rsidTr="00683AA6">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A82436" w:rsidRPr="00BD048D" w14:paraId="7486F250" w14:textId="77777777" w:rsidTr="00683AA6">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(-ais).</w:t>
            </w:r>
          </w:p>
        </w:tc>
      </w:tr>
      <w:tr w:rsidR="00273468" w:rsidRPr="00BD048D" w14:paraId="75ACDF3D" w14:textId="77777777" w:rsidTr="00683AA6">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683AA6">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Kiekvienoje ataskaitoje turi būti:</w:t>
            </w:r>
          </w:p>
        </w:tc>
      </w:tr>
      <w:tr w:rsidR="00273468" w:rsidRPr="00BD048D" w14:paraId="558FD339" w14:textId="77777777" w:rsidTr="00683AA6">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683AA6">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r w:rsidRPr="00BD048D">
              <w:rPr>
                <w:color w:val="000000"/>
                <w:sz w:val="22"/>
                <w:szCs w:val="22"/>
              </w:rPr>
              <w:t>Nuotraukoje turi matytis fotografavimo tikra data ir laikas;</w:t>
            </w:r>
          </w:p>
        </w:tc>
      </w:tr>
      <w:tr w:rsidR="00273468" w:rsidRPr="00BD048D" w14:paraId="1CA48BE1" w14:textId="77777777" w:rsidTr="00683AA6">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683AA6">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gamybos pradžios datos,</w:t>
            </w:r>
          </w:p>
        </w:tc>
      </w:tr>
      <w:tr w:rsidR="00273468" w:rsidRPr="00BD048D" w14:paraId="7871FAC0" w14:textId="77777777" w:rsidTr="00683AA6">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Rangovo patikrinimų datos,</w:t>
            </w:r>
          </w:p>
        </w:tc>
      </w:tr>
      <w:tr w:rsidR="00273468" w:rsidRPr="00BD048D" w14:paraId="3A5973A6" w14:textId="77777777" w:rsidTr="00683AA6">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bandymų datos, ir</w:t>
            </w:r>
          </w:p>
        </w:tc>
      </w:tr>
      <w:tr w:rsidR="00273468" w:rsidRPr="00BD048D" w14:paraId="6E2474C7" w14:textId="77777777" w:rsidTr="00683AA6">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683AA6">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683AA6">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683AA6">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683AA6">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683AA6">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Statybvietės apsauga</w:t>
            </w:r>
          </w:p>
        </w:tc>
      </w:tr>
      <w:tr w:rsidR="00426EE8" w:rsidRPr="00BD048D" w14:paraId="669B4F68" w14:textId="77777777" w:rsidTr="00683AA6">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683AA6">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683AA6">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683AA6">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veiksmai Statybvietėje</w:t>
            </w:r>
          </w:p>
        </w:tc>
      </w:tr>
      <w:tr w:rsidR="00426EE8" w:rsidRPr="00BD048D" w14:paraId="60AEA28F" w14:textId="77777777" w:rsidTr="00683AA6">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683AA6">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683AA6">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683AA6">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683AA6">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683AA6">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683AA6">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darbuotojai</w:t>
            </w:r>
          </w:p>
        </w:tc>
      </w:tr>
      <w:tr w:rsidR="00426EE8" w:rsidRPr="00BD048D" w14:paraId="04B4BFF0" w14:textId="77777777" w:rsidTr="00683AA6">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683AA6">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683AA6">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683AA6">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683AA6">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683AA6">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683AA6">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683AA6">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683AA6">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Programa</w:t>
            </w:r>
          </w:p>
        </w:tc>
      </w:tr>
      <w:tr w:rsidR="00FB556D" w:rsidRPr="00BD048D" w14:paraId="10DE62C3" w14:textId="77777777" w:rsidTr="00683AA6">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5AC5FA8" w14:textId="3ACFAD2B"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nenurodyta kitaip, tai:</w:t>
            </w:r>
          </w:p>
        </w:tc>
      </w:tr>
      <w:tr w:rsidR="00FB556D" w:rsidRPr="00BD048D" w14:paraId="2D4E6E1B" w14:textId="77777777" w:rsidTr="00683AA6">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r w:rsidRPr="00BD048D">
              <w:rPr>
                <w:color w:val="000000"/>
                <w:sz w:val="22"/>
                <w:szCs w:val="22"/>
              </w:rPr>
              <w:t>Kiekviena programa turi apimti:</w:t>
            </w:r>
          </w:p>
        </w:tc>
      </w:tr>
      <w:tr w:rsidR="00484F7F" w:rsidRPr="00BD048D" w14:paraId="1F354410" w14:textId="77777777" w:rsidTr="00683AA6">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683AA6">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683AA6">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683AA6">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683AA6">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683AA6">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A04F4D">
              <w:rPr>
                <w:b/>
                <w:color w:val="000000"/>
                <w:sz w:val="22"/>
                <w:szCs w:val="22"/>
                <w:lang w:val="it-IT"/>
              </w:rPr>
              <w:t>Subrangovai, ūkio subjektai, specialistai, tretieji asmenys</w:t>
            </w:r>
          </w:p>
        </w:tc>
      </w:tr>
      <w:tr w:rsidR="00484F7F" w:rsidRPr="00BD048D" w14:paraId="605059DA" w14:textId="77777777" w:rsidTr="00683AA6">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D8B33D4" w14:textId="292E133C" w:rsidR="00484F7F"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Subrangovai</w:t>
            </w:r>
          </w:p>
        </w:tc>
      </w:tr>
      <w:tr w:rsidR="00E10BEB" w:rsidRPr="00BD048D" w14:paraId="7D3231B9" w14:textId="77777777" w:rsidTr="00683AA6">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683AA6">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683AA6">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683AA6">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683AA6">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683AA6">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683AA6">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683AA6">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683AA6">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683AA6">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683AA6">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4154E4D9" w14:textId="58E78A4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Ūkio subjektai</w:t>
            </w:r>
          </w:p>
        </w:tc>
      </w:tr>
      <w:tr w:rsidR="00E10BEB" w:rsidRPr="00BD048D" w14:paraId="52AC2A30" w14:textId="77777777" w:rsidTr="00683AA6">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683AA6">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683AA6">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683AA6">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683AA6">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59"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683AA6">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683AA6">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w:t>
            </w:r>
            <w:r w:rsidRPr="00BD048D">
              <w:rPr>
                <w:color w:val="000000"/>
                <w:sz w:val="22"/>
                <w:szCs w:val="22"/>
                <w:lang w:val="lt-LT"/>
              </w:rPr>
              <w:lastRenderedPageBreak/>
              <w:t>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683AA6">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683AA6">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683AA6">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683AA6">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61896670" w14:textId="43F38228" w:rsidR="00E10BEB"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Specialistai</w:t>
            </w:r>
          </w:p>
        </w:tc>
      </w:tr>
      <w:tr w:rsidR="00B72DBC" w:rsidRPr="00BD048D" w14:paraId="3245B6F0" w14:textId="77777777" w:rsidTr="00683AA6">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319B6A31" w14:textId="1E69F9B6"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Sutartyje keičiami specialistai, kurių pajėgumais kvalifikacijai </w:t>
            </w:r>
            <w:r w:rsidR="00E30A71" w:rsidRPr="00E30A71">
              <w:rPr>
                <w:color w:val="000000"/>
                <w:sz w:val="22"/>
                <w:szCs w:val="22"/>
                <w:lang w:val="lt-LT"/>
              </w:rPr>
              <w:t>ar  ekonominio naudingumo reikalavimams ir jų deklaruotiems kriterijams</w:t>
            </w:r>
            <w:r w:rsidR="00872DBB">
              <w:rPr>
                <w:color w:val="000000"/>
                <w:sz w:val="22"/>
                <w:szCs w:val="22"/>
                <w:lang w:val="lt-LT"/>
              </w:rPr>
              <w:t xml:space="preserve"> (jei tokie buvo taikyti)</w:t>
            </w:r>
            <w:r w:rsidR="00E30A71" w:rsidRPr="00E30A71">
              <w:rPr>
                <w:color w:val="000000"/>
                <w:sz w:val="22"/>
                <w:szCs w:val="22"/>
                <w:lang w:val="lt-LT"/>
              </w:rPr>
              <w:t xml:space="preserve"> pagrįsti </w:t>
            </w:r>
            <w:r w:rsidRPr="00BD048D">
              <w:rPr>
                <w:color w:val="000000"/>
                <w:sz w:val="22"/>
                <w:szCs w:val="22"/>
                <w:lang w:val="lt-LT"/>
              </w:rPr>
              <w:t xml:space="preserve">rėmėsi Rangovas, kartu su informacija apie naujus specialistus turi būti pateikti naujo specialisto atitiktį </w:t>
            </w:r>
            <w:r w:rsidR="00176F20">
              <w:rPr>
                <w:color w:val="000000"/>
                <w:sz w:val="22"/>
                <w:szCs w:val="22"/>
                <w:lang w:val="lt-LT"/>
              </w:rPr>
              <w:t xml:space="preserve">atitinkamiems </w:t>
            </w:r>
            <w:r w:rsidRPr="00BD048D">
              <w:rPr>
                <w:color w:val="000000"/>
                <w:sz w:val="22"/>
                <w:szCs w:val="22"/>
                <w:lang w:val="lt-LT"/>
              </w:rPr>
              <w:t xml:space="preserve">reikalavimams patvirtinantys dokumentai. Anksčiau minėti dokumentai pateikiami tai dienai, kai Rangovas kreipiasi į Užsakovą su prašymu pakeisti specialistą. </w:t>
            </w:r>
            <w:r w:rsidR="00176F20">
              <w:rPr>
                <w:color w:val="000000"/>
                <w:sz w:val="22"/>
                <w:szCs w:val="22"/>
                <w:lang w:val="lt-LT"/>
              </w:rPr>
              <w:t>Užsakovas</w:t>
            </w:r>
            <w:r w:rsidRPr="00BD048D">
              <w:rPr>
                <w:color w:val="000000"/>
                <w:sz w:val="22"/>
                <w:szCs w:val="22"/>
                <w:lang w:val="lt-LT"/>
              </w:rPr>
              <w:t xml:space="preserve"> reikalauja, kad naujo specialisto kvalifikacija būtų ne žemesnė nei buvo reikalaujama pirkimo dokumentuose.</w:t>
            </w:r>
          </w:p>
        </w:tc>
      </w:tr>
      <w:tr w:rsidR="00B72DBC" w:rsidRPr="00BD048D" w14:paraId="28B73E59" w14:textId="77777777" w:rsidTr="00683AA6">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683AA6">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683AA6">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4164A36" w14:textId="6C066DB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Tretieji asmenys</w:t>
            </w:r>
          </w:p>
        </w:tc>
      </w:tr>
      <w:tr w:rsidR="00253F20" w:rsidRPr="00BD048D" w14:paraId="5E5FF910" w14:textId="77777777" w:rsidTr="00683AA6">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59"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683AA6">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683AA6">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59"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683AA6">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683AA6">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683AA6">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Rangovas, prieš naudodamas Medžiagas Darbams, Užsakovui ar jo atstovams (techniniam prižiūrėtojui, projekto vykdymo prižiūrėtojui) pareikalavus, privalo pateikti Standartinius gamintojo Medžiagų pavyzdžius bei Sutartyje nurodytus pavyzdžius, naudojamų Medžiagų ir </w:t>
            </w:r>
            <w:r w:rsidRPr="00BD048D">
              <w:rPr>
                <w:color w:val="000000"/>
                <w:sz w:val="22"/>
                <w:szCs w:val="22"/>
                <w:lang w:val="lt-LT" w:eastAsia="lt-LT"/>
              </w:rPr>
              <w:lastRenderedPageBreak/>
              <w:t>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683AA6">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683AA6">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683AA6">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683AA6">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eastAsia="lt-LT"/>
              </w:rPr>
              <w:t>Bandymas</w:t>
            </w:r>
          </w:p>
        </w:tc>
      </w:tr>
      <w:tr w:rsidR="00AB4799" w:rsidRPr="00BD048D" w14:paraId="6942B450" w14:textId="77777777" w:rsidTr="00683AA6">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683AA6">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683AA6">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683AA6">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683AA6">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683AA6">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683AA6">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683AA6">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683AA6">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683AA6">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683AA6">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683AA6">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A04F4D">
              <w:rPr>
                <w:b/>
                <w:color w:val="000000"/>
                <w:sz w:val="22"/>
                <w:szCs w:val="22"/>
                <w:lang w:val="it-IT"/>
              </w:rPr>
              <w:t>Darbų baigimo laiko pratęsimas</w:t>
            </w:r>
            <w:r w:rsidR="00160C0B" w:rsidRPr="00A04F4D">
              <w:rPr>
                <w:b/>
                <w:color w:val="000000"/>
                <w:sz w:val="22"/>
                <w:szCs w:val="22"/>
                <w:lang w:val="it-IT"/>
              </w:rPr>
              <w:t xml:space="preserve">: netaikomas. </w:t>
            </w:r>
          </w:p>
        </w:tc>
      </w:tr>
      <w:tr w:rsidR="000907B3" w:rsidRPr="00BD048D" w14:paraId="74D71C61" w14:textId="77777777" w:rsidTr="00683AA6">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r w:rsidRPr="00BD048D">
              <w:rPr>
                <w:b/>
                <w:color w:val="000000"/>
                <w:sz w:val="22"/>
                <w:szCs w:val="22"/>
              </w:rPr>
              <w:t>Darbų sustabdymas</w:t>
            </w:r>
          </w:p>
        </w:tc>
      </w:tr>
      <w:tr w:rsidR="000907B3" w:rsidRPr="00BD048D" w14:paraId="09DCA42E" w14:textId="77777777" w:rsidTr="00683AA6">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683AA6">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683AA6">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683AA6">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683AA6">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683AA6">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683AA6">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683AA6">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683AA6">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683AA6">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683AA6">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683AA6">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683AA6">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683AA6">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0907B3" w:rsidRPr="00BD048D" w14:paraId="4A16FE67" w14:textId="77777777" w:rsidTr="00683AA6">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683AA6">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59"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683AA6">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683AA6">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683AA6">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59"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683AA6">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683AA6">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E86358" w:rsidRPr="00BD048D" w14:paraId="0C9747D7" w14:textId="77777777" w:rsidTr="00683AA6">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59"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r w:rsidRPr="00BD048D">
              <w:rPr>
                <w:b/>
                <w:color w:val="000000"/>
                <w:sz w:val="22"/>
                <w:szCs w:val="22"/>
              </w:rPr>
              <w:t>Sutarties galiojimo sustabdymas</w:t>
            </w:r>
          </w:p>
        </w:tc>
      </w:tr>
      <w:tr w:rsidR="00E86358" w:rsidRPr="00BD048D" w14:paraId="4A837FA0" w14:textId="77777777" w:rsidTr="00683AA6">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683AA6">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683AA6">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683AA6">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683AA6">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683AA6">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683AA6">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683AA6">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683AA6">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683AA6">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683AA6">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683AA6">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683AA6">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683AA6">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E86358" w:rsidRPr="00BD048D" w14:paraId="5212A253" w14:textId="77777777" w:rsidTr="00683AA6">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683AA6">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683AA6">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683AA6">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683AA6">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59"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683AA6">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minusavus tą terminą, kiek laiko buvo išnaudota Sutarties galiojimo sustabdymo.  </w:t>
            </w:r>
          </w:p>
        </w:tc>
      </w:tr>
      <w:tr w:rsidR="00E86358" w:rsidRPr="00BD048D" w14:paraId="15A91C57" w14:textId="77777777" w:rsidTr="00683AA6">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9F4D5B" w:rsidRPr="00BD048D" w14:paraId="08BBD546" w14:textId="77777777" w:rsidTr="00683AA6">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59"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r w:rsidRPr="00BD048D">
              <w:rPr>
                <w:b/>
                <w:color w:val="000000"/>
                <w:sz w:val="22"/>
                <w:szCs w:val="22"/>
              </w:rPr>
              <w:t>Sutarties galiojimo termino pratęsimas</w:t>
            </w:r>
          </w:p>
        </w:tc>
      </w:tr>
      <w:tr w:rsidR="009F4D5B" w:rsidRPr="00BD048D" w14:paraId="199AE1DD" w14:textId="77777777" w:rsidTr="00683AA6">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683AA6">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683AA6">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683AA6">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683AA6">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683AA6">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683AA6">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683AA6">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683AA6">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683AA6">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683AA6">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683AA6">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683AA6">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r w:rsidRPr="00A04F4D">
              <w:rPr>
                <w:rFonts w:eastAsia="Calibri"/>
                <w:iCs/>
                <w:color w:val="000000"/>
                <w:sz w:val="22"/>
                <w:szCs w:val="22"/>
                <w:lang w:val="lt-LT"/>
              </w:rPr>
              <w:t>Sutarties galiojimo sustabdymas pagal Sutarties bendrųjų sąlygų 9 punktą.</w:t>
            </w:r>
          </w:p>
        </w:tc>
      </w:tr>
      <w:tr w:rsidR="009F4D5B" w:rsidRPr="00BD048D" w14:paraId="0B891D84" w14:textId="77777777" w:rsidTr="00683AA6">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683AA6">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rPr>
              <w:t>Kitos aplinkybės.</w:t>
            </w:r>
          </w:p>
        </w:tc>
      </w:tr>
      <w:tr w:rsidR="009F4D5B" w:rsidRPr="00BD048D" w14:paraId="0B733A0D" w14:textId="77777777" w:rsidTr="00683AA6">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683AA6">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683AA6">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59"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r w:rsidRPr="00BD048D">
              <w:rPr>
                <w:b/>
                <w:color w:val="000000"/>
                <w:sz w:val="22"/>
                <w:szCs w:val="22"/>
              </w:rPr>
              <w:t>Sutarties keitimas jos galiojimo laikotarpiu</w:t>
            </w:r>
          </w:p>
        </w:tc>
      </w:tr>
      <w:tr w:rsidR="00505596" w:rsidRPr="00BD048D" w14:paraId="69EA0D8F" w14:textId="77777777" w:rsidTr="00683AA6">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683AA6">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59"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Kainos perskaičiavimo formulė pasikeitus PVM tarifui:</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5pt;height:35.3pt;mso-width-percent:0;mso-height-percent:0;mso-width-percent:0;mso-height-percent:0" o:ole="">
                  <v:imagedata r:id="rId11" o:title=""/>
                </v:shape>
                <o:OLEObject Type="Embed" ProgID="Equation.3" ShapeID="_x0000_i1025" DrawAspect="Content" ObjectID="_1820814922"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8pt;height:18.8pt;mso-width-percent:0;mso-height-percent:0;mso-width-percent:0;mso-height-percent:0" o:ole="">
                  <v:imagedata r:id="rId13" o:title=""/>
                </v:shape>
                <o:OLEObject Type="Embed" ProgID="Equation.3" ShapeID="_x0000_i1026" DrawAspect="Content" ObjectID="_1820814923"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15pt;height:18.8pt;mso-width-percent:0;mso-height-percent:0;mso-width-percent:0;mso-height-percent:0" o:ole="">
                  <v:imagedata r:id="rId15" o:title=""/>
                </v:shape>
                <o:OLEObject Type="Embed" ProgID="Equation.3" ShapeID="_x0000_i1027" DrawAspect="Content" ObjectID="_1820814924"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pt;height:18.8pt;mso-width-percent:0;mso-height-percent:0;mso-width-percent:0;mso-height-percent:0" o:ole="">
                  <v:imagedata r:id="rId17" o:title=""/>
                </v:shape>
                <o:OLEObject Type="Embed" ProgID="Equation.3" ShapeID="_x0000_i1028" DrawAspect="Content" ObjectID="_1820814925"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683AA6">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683AA6">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683AA6">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06BFDF5C" w14:textId="6CFEBAF2" w:rsidR="00B96C10" w:rsidRPr="00BD048D" w:rsidRDefault="00B96C10" w:rsidP="005B69B2">
            <w:pPr>
              <w:pStyle w:val="Sraopastraipa"/>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683AA6">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683AA6">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683AA6">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u w:val="single"/>
              </w:rPr>
              <w:t>Jeigu Sutarties specialiosiose sąlygose</w:t>
            </w:r>
            <w:r w:rsidRPr="00BD048D">
              <w:rPr>
                <w:b/>
                <w:color w:val="000000"/>
                <w:sz w:val="22"/>
                <w:szCs w:val="22"/>
                <w:u w:val="single"/>
              </w:rPr>
              <w:t xml:space="preserve"> </w:t>
            </w:r>
            <w:r w:rsidRPr="00BD048D">
              <w:rPr>
                <w:color w:val="000000"/>
                <w:sz w:val="22"/>
                <w:szCs w:val="22"/>
                <w:u w:val="single"/>
              </w:rPr>
              <w:t>nenumatyta kitaip, tai:</w:t>
            </w:r>
          </w:p>
        </w:tc>
      </w:tr>
      <w:tr w:rsidR="00F4362A" w:rsidRPr="00BD048D" w14:paraId="4F901584" w14:textId="77777777" w:rsidTr="00683AA6">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683AA6">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683AA6">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683AA6">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683AA6">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neišpirktų </w:t>
            </w:r>
            <w:r>
              <w:rPr>
                <w:sz w:val="22"/>
                <w:szCs w:val="22"/>
              </w:rPr>
              <w:t>Darbų</w:t>
            </w:r>
            <w:r w:rsidRPr="00A44582">
              <w:rPr>
                <w:sz w:val="22"/>
                <w:szCs w:val="22"/>
              </w:rPr>
              <w:t xml:space="preserve"> kaina.</w:t>
            </w:r>
          </w:p>
        </w:tc>
      </w:tr>
      <w:tr w:rsidR="00F4362A" w:rsidRPr="00BD048D" w14:paraId="7913E9DC" w14:textId="77777777" w:rsidTr="00683AA6">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683AA6">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683AA6">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59"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683AA6">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683AA6">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683AA6">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76949949" w14:textId="7C06F950" w:rsidR="00A41594" w:rsidRPr="00BD048D" w:rsidRDefault="00A00E01" w:rsidP="005B69B2">
            <w:pPr>
              <w:pStyle w:val="BankNormal"/>
              <w:suppressAutoHyphens/>
              <w:spacing w:before="120" w:after="120"/>
              <w:jc w:val="both"/>
              <w:rPr>
                <w:b/>
                <w:color w:val="000000"/>
                <w:sz w:val="22"/>
                <w:szCs w:val="22"/>
              </w:rPr>
            </w:pPr>
            <w:r w:rsidRPr="00BD048D">
              <w:rPr>
                <w:b/>
                <w:bCs/>
                <w:sz w:val="22"/>
                <w:szCs w:val="22"/>
                <w:lang w:eastAsia="lt-LT"/>
              </w:rPr>
              <w:t>Sutarties keitimas</w:t>
            </w:r>
          </w:p>
        </w:tc>
      </w:tr>
      <w:tr w:rsidR="00A96A6B" w:rsidRPr="00BD048D" w14:paraId="77E1AFEE" w14:textId="77777777" w:rsidTr="00683AA6">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683AA6">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683AA6">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59"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683AA6">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59"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r w:rsidRPr="00BD048D">
              <w:rPr>
                <w:b/>
                <w:color w:val="000000"/>
                <w:sz w:val="22"/>
                <w:szCs w:val="22"/>
              </w:rPr>
              <w:t>Matuojami Darbai</w:t>
            </w:r>
          </w:p>
        </w:tc>
      </w:tr>
      <w:tr w:rsidR="00A96A6B" w:rsidRPr="00BD048D" w14:paraId="6B8F9BD0" w14:textId="77777777" w:rsidTr="00683AA6">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683AA6">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683AA6">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683AA6">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683AA6">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683AA6">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683AA6">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59"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683AA6">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59"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Kreipimasis dėl mokėjimo</w:t>
            </w:r>
          </w:p>
        </w:tc>
      </w:tr>
      <w:tr w:rsidR="003B150C" w:rsidRPr="00BD048D" w14:paraId="78045CC2" w14:textId="77777777" w:rsidTr="00683AA6">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Kreipimasis dėl Tarpinio mokėjimo</w:t>
            </w:r>
            <w:r w:rsidRPr="00BD048D">
              <w:rPr>
                <w:b/>
                <w:color w:val="000000"/>
                <w:sz w:val="22"/>
                <w:szCs w:val="22"/>
              </w:rPr>
              <w:tab/>
            </w:r>
          </w:p>
        </w:tc>
      </w:tr>
      <w:tr w:rsidR="0063629E" w:rsidRPr="00BD048D" w14:paraId="4724E867" w14:textId="77777777" w:rsidTr="00683AA6">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w:t>
            </w:r>
            <w:r w:rsidRPr="00BD048D">
              <w:rPr>
                <w:color w:val="000000"/>
                <w:sz w:val="22"/>
                <w:szCs w:val="22"/>
                <w:lang w:val="lt-LT"/>
              </w:rPr>
              <w:lastRenderedPageBreak/>
              <w:t>punktą nustatytų darbų eigos ataskaitų (jeigu taikoma) kiekvienam finansavimo šaltiniui (jeigu taikoma) atskirai, jeigu taip pateikti pareikalauja Užsakovas.</w:t>
            </w:r>
          </w:p>
        </w:tc>
      </w:tr>
      <w:tr w:rsidR="00114535" w:rsidRPr="00BD048D" w14:paraId="10DBF34A" w14:textId="77777777" w:rsidTr="00683AA6">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683AA6">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683AA6">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683AA6">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683AA6">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683AA6">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Kreipimasis dėl Galutinio mokėjimo</w:t>
            </w:r>
          </w:p>
        </w:tc>
      </w:tr>
      <w:tr w:rsidR="00D607CD" w:rsidRPr="00BD048D" w14:paraId="092BC62B" w14:textId="77777777" w:rsidTr="00683AA6">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683AA6">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r w:rsidRPr="00BD048D">
              <w:rPr>
                <w:rFonts w:eastAsia="Calibri"/>
                <w:b/>
                <w:color w:val="000000"/>
                <w:sz w:val="22"/>
                <w:szCs w:val="22"/>
              </w:rPr>
              <w:t>Galutinis perdavimas Užsakovui</w:t>
            </w:r>
          </w:p>
        </w:tc>
      </w:tr>
      <w:tr w:rsidR="00D607CD" w:rsidRPr="00BD048D" w14:paraId="2F6BD8D2" w14:textId="77777777" w:rsidTr="00683AA6">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r w:rsidRPr="00BD048D">
              <w:rPr>
                <w:rFonts w:ascii="Times New Roman" w:eastAsia="Calibri" w:hAnsi="Times New Roman"/>
                <w:color w:val="000000"/>
                <w:sz w:val="22"/>
                <w:szCs w:val="22"/>
              </w:rPr>
              <w:t>Užsakovas perima Rangos darbus:</w:t>
            </w:r>
          </w:p>
        </w:tc>
      </w:tr>
      <w:tr w:rsidR="00D607CD" w:rsidRPr="00BD048D" w14:paraId="19D7A73F" w14:textId="77777777" w:rsidTr="00683AA6">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683AA6">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683AA6">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683AA6">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683AA6">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683AA6">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683AA6">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683AA6">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683AA6">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683AA6">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r w:rsidRPr="00BD048D">
              <w:rPr>
                <w:rFonts w:eastAsia="Calibri"/>
                <w:b/>
                <w:color w:val="000000"/>
                <w:sz w:val="22"/>
                <w:szCs w:val="22"/>
              </w:rPr>
              <w:t>Draudimas</w:t>
            </w:r>
          </w:p>
        </w:tc>
      </w:tr>
      <w:tr w:rsidR="008C6A3C" w:rsidRPr="00BD048D" w14:paraId="6D86B587" w14:textId="77777777" w:rsidTr="00683AA6">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b/>
                <w:color w:val="000000"/>
                <w:sz w:val="22"/>
                <w:szCs w:val="22"/>
              </w:rPr>
              <w:t>Bendrieji draudimo reikalavimai</w:t>
            </w:r>
          </w:p>
        </w:tc>
      </w:tr>
      <w:tr w:rsidR="008C6A3C" w:rsidRPr="00BD048D" w14:paraId="5BE21BB6" w14:textId="77777777" w:rsidTr="00683AA6">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Tos sąlygos turi atitikti visas Sutartyje numatytas sąlygas.</w:t>
            </w:r>
          </w:p>
        </w:tc>
      </w:tr>
      <w:tr w:rsidR="008C6A3C" w:rsidRPr="00BD048D" w14:paraId="29F62EE2" w14:textId="77777777" w:rsidTr="00683AA6">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683AA6">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683AA6">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A04F4D">
              <w:rPr>
                <w:rFonts w:eastAsia="Calibri"/>
                <w:color w:val="000000"/>
                <w:sz w:val="22"/>
                <w:szCs w:val="22"/>
                <w:lang w:val="it-IT"/>
              </w:rPr>
              <w:t>Rangovas, Užsakovui nurodžius, per 5 darbo dienas privalo pateikti:</w:t>
            </w:r>
          </w:p>
        </w:tc>
      </w:tr>
      <w:tr w:rsidR="008C6A3C" w:rsidRPr="00BD048D" w14:paraId="4EC1F706" w14:textId="77777777" w:rsidTr="00683AA6">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683AA6">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683AA6">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683AA6">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683AA6">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683AA6">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w:t>
            </w:r>
            <w:r w:rsidRPr="00BD048D">
              <w:rPr>
                <w:rFonts w:eastAsia="Calibri"/>
                <w:color w:val="000000"/>
                <w:sz w:val="22"/>
                <w:szCs w:val="22"/>
                <w:lang w:val="lt-LT"/>
              </w:rPr>
              <w:lastRenderedPageBreak/>
              <w:t>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683AA6">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683AA6">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683AA6">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683AA6">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683AA6">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r w:rsidRPr="000E6DB0">
              <w:rPr>
                <w:rFonts w:eastAsia="Calibri"/>
                <w:b/>
                <w:color w:val="000000"/>
                <w:sz w:val="22"/>
                <w:szCs w:val="22"/>
              </w:rPr>
              <w:t>S</w:t>
            </w:r>
            <w:r w:rsidRPr="000E6DB0">
              <w:rPr>
                <w:b/>
                <w:bCs/>
                <w:color w:val="000000"/>
                <w:sz w:val="22"/>
                <w:szCs w:val="22"/>
              </w:rPr>
              <w:t>tatinio projektuotojo civilinės atsakomybės privalomasis draudimas</w:t>
            </w:r>
            <w:r w:rsidR="000E6DB0" w:rsidRPr="000E6DB0">
              <w:rPr>
                <w:b/>
                <w:bCs/>
                <w:color w:val="000000"/>
                <w:sz w:val="22"/>
                <w:szCs w:val="22"/>
              </w:rPr>
              <w:t>: netaikomas</w:t>
            </w:r>
          </w:p>
        </w:tc>
      </w:tr>
      <w:tr w:rsidR="008C6A3C" w:rsidRPr="00BD048D" w14:paraId="3967C94E" w14:textId="77777777" w:rsidTr="00683AA6">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r w:rsidRPr="00BD048D">
              <w:rPr>
                <w:b/>
                <w:color w:val="000000"/>
                <w:sz w:val="22"/>
                <w:szCs w:val="22"/>
              </w:rPr>
              <w:t>Garantinis terminas</w:t>
            </w:r>
          </w:p>
        </w:tc>
      </w:tr>
      <w:tr w:rsidR="008C6A3C" w:rsidRPr="00BD048D" w14:paraId="77F0CF9B" w14:textId="77777777" w:rsidTr="00683AA6">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683AA6">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683AA6">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683AA6">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683AA6">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683AA6">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683AA6">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rPr>
              <w:t>atitinkamai sumažinti darbų kainą.</w:t>
            </w:r>
          </w:p>
        </w:tc>
      </w:tr>
      <w:tr w:rsidR="008C6A3C" w:rsidRPr="00BD048D" w14:paraId="340BF7FD" w14:textId="77777777" w:rsidTr="00683AA6">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683AA6">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683AA6">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C6710C" w14:textId="3D373267" w:rsidR="008C6A3C" w:rsidRPr="00BD048D" w:rsidRDefault="00B325DE" w:rsidP="005B69B2">
            <w:pPr>
              <w:pStyle w:val="Pagrindinistekstas1"/>
              <w:spacing w:before="120" w:after="120"/>
              <w:ind w:firstLine="0"/>
              <w:rPr>
                <w:sz w:val="22"/>
                <w:lang w:val="lt-LT"/>
              </w:rPr>
            </w:pPr>
            <w:r w:rsidRPr="00BD048D">
              <w:rPr>
                <w:b/>
                <w:bCs/>
                <w:color w:val="000000"/>
                <w:sz w:val="22"/>
                <w:szCs w:val="22"/>
              </w:rPr>
              <w:t>Šalių atsakomybė</w:t>
            </w:r>
          </w:p>
        </w:tc>
      </w:tr>
      <w:tr w:rsidR="009F23F2" w:rsidRPr="00BD048D" w14:paraId="4D1AE74C" w14:textId="77777777" w:rsidTr="00683AA6">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683AA6">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683AA6">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683AA6">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683AA6">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683AA6">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683AA6">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683AA6">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59"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Nenugalimos jėgos aplinkybės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683AA6">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683AA6">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683AA6">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683AA6">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683AA6">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59"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b/>
                <w:color w:val="000000"/>
                <w:sz w:val="22"/>
                <w:szCs w:val="22"/>
              </w:rPr>
              <w:t>Sutarties nutraukimas</w:t>
            </w:r>
          </w:p>
        </w:tc>
      </w:tr>
      <w:tr w:rsidR="00B325DE" w:rsidRPr="00BD048D" w14:paraId="0C59FCDD" w14:textId="77777777" w:rsidTr="00683AA6">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ECCA81B" w14:textId="2BDD0201"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r w:rsidR="009314C1" w:rsidRPr="009314C1">
              <w:rPr>
                <w:rFonts w:ascii="Times New Roman" w:hAnsi="Times New Roman"/>
                <w:color w:val="000000"/>
                <w:sz w:val="22"/>
                <w:szCs w:val="22"/>
                <w:lang w:val="lt-LT"/>
              </w:rPr>
              <w:t>, kai Sutartis ar preliminarioji sutartis buvo pakeista pažeidžiant LR Viešųjų pirkimų įstatymo 89 straipsnį</w:t>
            </w:r>
            <w:r w:rsidR="009D48E9">
              <w:rPr>
                <w:rFonts w:ascii="Times New Roman" w:hAnsi="Times New Roman"/>
                <w:color w:val="000000"/>
                <w:sz w:val="22"/>
                <w:szCs w:val="22"/>
                <w:lang w:val="lt-LT"/>
              </w:rPr>
              <w:t>,</w:t>
            </w:r>
            <w:r w:rsidR="009D48E9" w:rsidRPr="009314C1">
              <w:rPr>
                <w:rFonts w:ascii="Times New Roman" w:hAnsi="Times New Roman"/>
                <w:color w:val="000000"/>
                <w:sz w:val="22"/>
                <w:szCs w:val="22"/>
                <w:lang w:val="lt-LT"/>
              </w:rPr>
              <w:t xml:space="preserve"> tačiau tuo neapsiribojant</w:t>
            </w:r>
            <w:r w:rsidR="009314C1" w:rsidRPr="009314C1">
              <w:rPr>
                <w:rFonts w:ascii="Times New Roman" w:hAnsi="Times New Roman"/>
                <w:color w:val="000000"/>
                <w:sz w:val="22"/>
                <w:szCs w:val="22"/>
                <w:lang w:val="lt-LT"/>
              </w:rPr>
              <w:t>.</w:t>
            </w:r>
          </w:p>
        </w:tc>
      </w:tr>
      <w:tr w:rsidR="00B325DE" w:rsidRPr="00BD048D" w14:paraId="7DCF155B" w14:textId="77777777" w:rsidTr="00683AA6">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CF4790">
              <w:rPr>
                <w:rFonts w:ascii="Times New Roman" w:hAnsi="Times New Roman"/>
                <w:sz w:val="22"/>
                <w:szCs w:val="22"/>
                <w:lang w:val="lt-LT"/>
              </w:rPr>
              <w:t>prie</w:t>
            </w:r>
            <w:r w:rsidR="00D006D5" w:rsidRPr="00CF4790">
              <w:rPr>
                <w:rFonts w:ascii="Times New Roman" w:hAnsi="Times New Roman"/>
                <w:sz w:val="22"/>
                <w:szCs w:val="22"/>
                <w:lang w:val="lt-LT"/>
              </w:rPr>
              <w:t xml:space="preserve">š </w:t>
            </w:r>
            <w:r w:rsidR="005F5B83" w:rsidRPr="00CF4790">
              <w:rPr>
                <w:rFonts w:ascii="Times New Roman" w:hAnsi="Times New Roman"/>
                <w:sz w:val="22"/>
                <w:szCs w:val="22"/>
                <w:lang w:val="lt-LT"/>
              </w:rPr>
              <w:t>2</w:t>
            </w:r>
            <w:r w:rsidR="005F5B83" w:rsidRPr="007635AB">
              <w:rPr>
                <w:rFonts w:ascii="Times New Roman" w:hAnsi="Times New Roman"/>
                <w:sz w:val="22"/>
                <w:szCs w:val="22"/>
                <w:lang w:val="lt-LT"/>
              </w:rPr>
              <w:t>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683AA6">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8C5FE4B" w14:textId="77777777" w:rsidR="004F0A90" w:rsidRDefault="006B1F9A" w:rsidP="005B69B2">
            <w:pPr>
              <w:pStyle w:val="Pagrindinistekstas1"/>
              <w:spacing w:before="120" w:after="120"/>
              <w:ind w:firstLine="0"/>
              <w:rPr>
                <w:rFonts w:ascii="Times New Roman" w:eastAsia="Calibri" w:hAnsi="Times New Roman"/>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p w14:paraId="79CA8DD5" w14:textId="66B0E76D" w:rsidR="00051963" w:rsidRPr="00BD048D" w:rsidRDefault="00051963" w:rsidP="005B69B2">
            <w:pPr>
              <w:pStyle w:val="Pagrindinistekstas1"/>
              <w:spacing w:before="120" w:after="120"/>
              <w:ind w:firstLine="0"/>
              <w:rPr>
                <w:rFonts w:ascii="Times New Roman" w:hAnsi="Times New Roman"/>
                <w:b/>
                <w:color w:val="000000"/>
                <w:sz w:val="22"/>
                <w:szCs w:val="22"/>
                <w:lang w:val="lt-LT"/>
              </w:rPr>
            </w:pPr>
          </w:p>
        </w:tc>
      </w:tr>
      <w:tr w:rsidR="00051963" w:rsidRPr="00BD048D" w14:paraId="02541080" w14:textId="77777777" w:rsidTr="00683AA6">
        <w:tc>
          <w:tcPr>
            <w:tcW w:w="1555" w:type="dxa"/>
          </w:tcPr>
          <w:p w14:paraId="4F5E65C0" w14:textId="77777777" w:rsidR="00051963" w:rsidRPr="00BD048D" w:rsidRDefault="00051963"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7372487E" w14:textId="2541561A" w:rsidR="00051963" w:rsidRPr="00BD048D" w:rsidRDefault="00051963" w:rsidP="005B69B2">
            <w:pPr>
              <w:pStyle w:val="Pagrindinistekstas1"/>
              <w:spacing w:before="120" w:after="120"/>
              <w:ind w:firstLine="0"/>
              <w:rPr>
                <w:rFonts w:ascii="Times New Roman" w:eastAsia="Calibri" w:hAnsi="Times New Roman"/>
                <w:sz w:val="22"/>
                <w:szCs w:val="22"/>
                <w:lang w:val="lt-LT"/>
              </w:rPr>
            </w:pPr>
            <w:r w:rsidRPr="00051963">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007C16" w:rsidRPr="00BD048D" w14:paraId="1D5524CA" w14:textId="77777777" w:rsidTr="00683AA6">
        <w:tc>
          <w:tcPr>
            <w:tcW w:w="1555" w:type="dxa"/>
          </w:tcPr>
          <w:p w14:paraId="415167E1" w14:textId="77777777" w:rsidR="00007C16" w:rsidRPr="00BD048D" w:rsidRDefault="00007C16"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B0AEDE4" w14:textId="19B4CF7A" w:rsidR="00007C16" w:rsidRPr="00BD048D" w:rsidRDefault="00007C16" w:rsidP="005B69B2">
            <w:pPr>
              <w:pStyle w:val="Pagrindinistekstas1"/>
              <w:spacing w:before="120" w:after="120"/>
              <w:ind w:firstLine="0"/>
              <w:rPr>
                <w:rFonts w:ascii="Times New Roman" w:eastAsia="Calibri" w:hAnsi="Times New Roman"/>
                <w:sz w:val="22"/>
                <w:szCs w:val="22"/>
                <w:lang w:val="lt-LT"/>
              </w:rPr>
            </w:pPr>
            <w:r w:rsidRPr="00007C16">
              <w:rPr>
                <w:rFonts w:ascii="Times New Roman" w:eastAsia="Calibri" w:hAnsi="Times New Roman"/>
                <w:bCs/>
                <w:sz w:val="22"/>
                <w:szCs w:val="22"/>
                <w:lang w:val="lt-LT"/>
              </w:rPr>
              <w:t>Paaiškėjo LR Viešųjų pirkimų įstatymo 37 straipsnio 9 dalyje, 45 straipsnio 21 dalyje ir (ar) 47 straipsnio 9 dalyje nurodytos aplinkybės;</w:t>
            </w:r>
          </w:p>
        </w:tc>
      </w:tr>
      <w:tr w:rsidR="00AF4128" w:rsidRPr="00BD048D" w14:paraId="2FE05E35" w14:textId="77777777" w:rsidTr="00683AA6">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683AA6">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683AA6">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683AA6">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683AA6">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683AA6">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683AA6">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683AA6">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683AA6">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683AA6">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683AA6">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683AA6">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683AA6">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683AA6">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683AA6">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683AA6">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683AA6">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683AA6">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683AA6">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683AA6">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683AA6">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683AA6">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683AA6">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A04F4D">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683AA6">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683AA6">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683AA6">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683AA6">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683AA6">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683AA6">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683AA6">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683AA6">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683AA6">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b/>
                <w:color w:val="000000"/>
                <w:sz w:val="22"/>
                <w:szCs w:val="22"/>
              </w:rPr>
              <w:t>Ginčų sprendimo tvarka</w:t>
            </w:r>
          </w:p>
        </w:tc>
      </w:tr>
      <w:tr w:rsidR="006B1F9A" w:rsidRPr="00BD048D" w14:paraId="6A690E18" w14:textId="77777777" w:rsidTr="00683AA6">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683AA6">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683AA6">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683AA6">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683AA6">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59"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683AA6">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683AA6">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683AA6">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683AA6">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Sraopastraipa"/>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3F830B0C"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r w:rsidR="00BF61D4" w:rsidRPr="002B4496">
              <w:rPr>
                <w:i/>
                <w:iCs/>
                <w:color w:val="000000"/>
                <w:sz w:val="22"/>
                <w:szCs w:val="22"/>
                <w:lang w:eastAsia="lt-LT"/>
              </w:rPr>
              <w:t xml:space="preserve"> </w:t>
            </w:r>
            <w:r w:rsidR="00BF61D4" w:rsidRPr="00BF61D4">
              <w:rPr>
                <w:color w:val="000000"/>
                <w:sz w:val="22"/>
                <w:szCs w:val="22"/>
                <w:lang w:eastAsia="lt-LT"/>
              </w:rPr>
              <w:t xml:space="preserve">pagal </w:t>
            </w:r>
            <w:r w:rsidR="00BF61D4">
              <w:rPr>
                <w:color w:val="000000"/>
                <w:sz w:val="22"/>
                <w:szCs w:val="22"/>
                <w:lang w:eastAsia="lt-LT"/>
              </w:rPr>
              <w:t>ž</w:t>
            </w:r>
            <w:r w:rsidR="00BF61D4" w:rsidRPr="00BF61D4">
              <w:rPr>
                <w:color w:val="000000"/>
                <w:sz w:val="22"/>
                <w:szCs w:val="22"/>
                <w:lang w:eastAsia="lt-LT"/>
              </w:rPr>
              <w:t>iniaraštį</w:t>
            </w:r>
            <w:r w:rsidR="00BF61D4" w:rsidRPr="002B4496">
              <w:rPr>
                <w:i/>
                <w:iCs/>
                <w:color w:val="000000"/>
                <w:sz w:val="22"/>
                <w:szCs w:val="22"/>
                <w:lang w:eastAsia="lt-LT"/>
              </w:rPr>
              <w:t xml:space="preserve"> (Įkainotos veiklos sąrašas</w:t>
            </w:r>
            <w:r w:rsidR="00BF61D4">
              <w:rPr>
                <w:i/>
                <w:iCs/>
                <w:color w:val="000000"/>
                <w:sz w:val="22"/>
                <w:szCs w:val="22"/>
                <w:lang w:eastAsia="lt-LT"/>
              </w:rPr>
              <w:t>)</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214BAD11" w:rsidR="00394FD0" w:rsidRPr="002B4496" w:rsidRDefault="00394FD0" w:rsidP="00591547">
            <w:pPr>
              <w:rPr>
                <w:i/>
                <w:iCs/>
                <w:color w:val="000000"/>
                <w:sz w:val="22"/>
                <w:szCs w:val="22"/>
                <w:lang w:eastAsia="lt-LT"/>
              </w:rPr>
            </w:pP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9C63" w14:textId="77777777" w:rsidR="00D46B97" w:rsidRDefault="00D46B97">
      <w:r>
        <w:separator/>
      </w:r>
    </w:p>
  </w:endnote>
  <w:endnote w:type="continuationSeparator" w:id="0">
    <w:p w14:paraId="2372A28A" w14:textId="77777777" w:rsidR="00D46B97" w:rsidRDefault="00D46B97">
      <w:r>
        <w:continuationSeparator/>
      </w:r>
    </w:p>
  </w:endnote>
  <w:endnote w:type="continuationNotice" w:id="1">
    <w:p w14:paraId="4498240B" w14:textId="77777777" w:rsidR="00D46B97" w:rsidRDefault="00D46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Porat"/>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D885" w14:textId="77777777" w:rsidR="00D46B97" w:rsidRDefault="00D46B97">
      <w:r>
        <w:separator/>
      </w:r>
    </w:p>
  </w:footnote>
  <w:footnote w:type="continuationSeparator" w:id="0">
    <w:p w14:paraId="5B22B50B" w14:textId="77777777" w:rsidR="00D46B97" w:rsidRDefault="00D46B97">
      <w:r>
        <w:continuationSeparator/>
      </w:r>
    </w:p>
  </w:footnote>
  <w:footnote w:type="continuationNotice" w:id="1">
    <w:p w14:paraId="51A486F6" w14:textId="77777777" w:rsidR="00D46B97" w:rsidRDefault="00D46B97"/>
  </w:footnote>
  <w:footnote w:id="2">
    <w:p w14:paraId="0CEC6BD3" w14:textId="77777777" w:rsidR="00DF4B6D" w:rsidRPr="00002E4E" w:rsidRDefault="00DF4B6D" w:rsidP="00DF4B6D">
      <w:pPr>
        <w:pStyle w:val="Puslapioinaostekstas"/>
        <w:jc w:val="both"/>
        <w:rPr>
          <w:lang w:val="lt-LT"/>
        </w:rPr>
      </w:pPr>
      <w:r>
        <w:rPr>
          <w:rStyle w:val="Puslapioinaosnuoroda"/>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Puslapioinaostekstas"/>
        <w:jc w:val="both"/>
        <w:rPr>
          <w:sz w:val="18"/>
          <w:szCs w:val="18"/>
          <w:lang w:val="lt-LT"/>
        </w:rPr>
      </w:pPr>
      <w:r>
        <w:rPr>
          <w:rStyle w:val="Puslapioinaosnuoroda"/>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Puslapioinaostekstas"/>
        <w:jc w:val="both"/>
        <w:rPr>
          <w:lang w:val="lt-LT"/>
        </w:rPr>
      </w:pPr>
      <w:r w:rsidRPr="003B0A14">
        <w:rPr>
          <w:rStyle w:val="Puslapioinaosnuoroda"/>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69DE"/>
    <w:rsid w:val="00007133"/>
    <w:rsid w:val="000077A6"/>
    <w:rsid w:val="00007886"/>
    <w:rsid w:val="00007C1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4EE6"/>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963"/>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8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98F"/>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2D4"/>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A40"/>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6F20"/>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869"/>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0A"/>
    <w:rsid w:val="001C329D"/>
    <w:rsid w:val="001C356C"/>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28A4"/>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5E96"/>
    <w:rsid w:val="00266DDC"/>
    <w:rsid w:val="00266EE6"/>
    <w:rsid w:val="00267782"/>
    <w:rsid w:val="002702EF"/>
    <w:rsid w:val="00270357"/>
    <w:rsid w:val="00270902"/>
    <w:rsid w:val="00270916"/>
    <w:rsid w:val="00270AA8"/>
    <w:rsid w:val="00270C2E"/>
    <w:rsid w:val="00271089"/>
    <w:rsid w:val="00273468"/>
    <w:rsid w:val="0027463E"/>
    <w:rsid w:val="00274A0E"/>
    <w:rsid w:val="00274F3B"/>
    <w:rsid w:val="0027505E"/>
    <w:rsid w:val="002753C7"/>
    <w:rsid w:val="0027567D"/>
    <w:rsid w:val="00275A3D"/>
    <w:rsid w:val="00275C05"/>
    <w:rsid w:val="00275FF3"/>
    <w:rsid w:val="002767D0"/>
    <w:rsid w:val="0027685A"/>
    <w:rsid w:val="00276891"/>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3E6"/>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1994"/>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D31"/>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3E9C"/>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42EF"/>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2D93"/>
    <w:rsid w:val="00473361"/>
    <w:rsid w:val="00473B37"/>
    <w:rsid w:val="00473BF0"/>
    <w:rsid w:val="00473D5D"/>
    <w:rsid w:val="00474852"/>
    <w:rsid w:val="00475844"/>
    <w:rsid w:val="00475BC4"/>
    <w:rsid w:val="00475E1A"/>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8D8"/>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B0E"/>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45"/>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BBA"/>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3E48"/>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AA6"/>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3DC7"/>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1F5"/>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3F94"/>
    <w:rsid w:val="007244DE"/>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A0C"/>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5DD9"/>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2DB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A76"/>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4D2A"/>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4C1"/>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301"/>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28E"/>
    <w:rsid w:val="009D4445"/>
    <w:rsid w:val="009D46BD"/>
    <w:rsid w:val="009D48E9"/>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4F4D"/>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6E0"/>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06"/>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6860"/>
    <w:rsid w:val="00B279E0"/>
    <w:rsid w:val="00B27D02"/>
    <w:rsid w:val="00B27D4A"/>
    <w:rsid w:val="00B30604"/>
    <w:rsid w:val="00B30B92"/>
    <w:rsid w:val="00B30C24"/>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57D0"/>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1D4"/>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0F91"/>
    <w:rsid w:val="00C211D9"/>
    <w:rsid w:val="00C21205"/>
    <w:rsid w:val="00C2133C"/>
    <w:rsid w:val="00C216C0"/>
    <w:rsid w:val="00C216F6"/>
    <w:rsid w:val="00C21E8C"/>
    <w:rsid w:val="00C22AAB"/>
    <w:rsid w:val="00C22C20"/>
    <w:rsid w:val="00C22E12"/>
    <w:rsid w:val="00C23057"/>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5FB5"/>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468"/>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453"/>
    <w:rsid w:val="00CF189A"/>
    <w:rsid w:val="00CF19C4"/>
    <w:rsid w:val="00CF1C1B"/>
    <w:rsid w:val="00CF2A3C"/>
    <w:rsid w:val="00CF3573"/>
    <w:rsid w:val="00CF3702"/>
    <w:rsid w:val="00CF41FE"/>
    <w:rsid w:val="00CF4790"/>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164"/>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6B97"/>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2D3"/>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EFB"/>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5C0F"/>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5B51"/>
    <w:rsid w:val="00E26784"/>
    <w:rsid w:val="00E26B57"/>
    <w:rsid w:val="00E26FCE"/>
    <w:rsid w:val="00E273E3"/>
    <w:rsid w:val="00E27401"/>
    <w:rsid w:val="00E277BF"/>
    <w:rsid w:val="00E307C5"/>
    <w:rsid w:val="00E307F8"/>
    <w:rsid w:val="00E30A71"/>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3506"/>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071"/>
    <w:rsid w:val="00EA5285"/>
    <w:rsid w:val="00EA5639"/>
    <w:rsid w:val="00EA5D76"/>
    <w:rsid w:val="00EA6C82"/>
    <w:rsid w:val="00EA6CFD"/>
    <w:rsid w:val="00EA7472"/>
    <w:rsid w:val="00EA7899"/>
    <w:rsid w:val="00EA7B66"/>
    <w:rsid w:val="00EA7DB2"/>
    <w:rsid w:val="00EB05E9"/>
    <w:rsid w:val="00EB0CE5"/>
    <w:rsid w:val="00EB1DCB"/>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1D0"/>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777"/>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24"/>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4D5B"/>
    <w:rPr>
      <w:sz w:val="24"/>
      <w:lang w:eastAsia="en-US"/>
    </w:rPr>
  </w:style>
  <w:style w:type="paragraph" w:styleId="Antrat1">
    <w:name w:val="heading 1"/>
    <w:aliases w:val="Appendix"/>
    <w:basedOn w:val="prastasis"/>
    <w:next w:val="prastasis"/>
    <w:uiPriority w:val="9"/>
    <w:qFormat/>
    <w:rsid w:val="002D099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2D099B"/>
    <w:pPr>
      <w:numPr>
        <w:ilvl w:val="1"/>
        <w:numId w:val="1"/>
      </w:numPr>
      <w:jc w:val="both"/>
      <w:outlineLvl w:val="1"/>
    </w:pPr>
    <w:rPr>
      <w:lang w:eastAsia="x-none"/>
    </w:rPr>
  </w:style>
  <w:style w:type="paragraph" w:styleId="Antrat3">
    <w:name w:val="heading 3"/>
    <w:aliases w:val="Section Header3,Sub-Clause Paragraph"/>
    <w:basedOn w:val="prastasis"/>
    <w:next w:val="prastasis"/>
    <w:uiPriority w:val="9"/>
    <w:qFormat/>
    <w:rsid w:val="002D099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2D099B"/>
    <w:pPr>
      <w:keepNext/>
      <w:numPr>
        <w:ilvl w:val="3"/>
        <w:numId w:val="1"/>
      </w:numPr>
      <w:outlineLvl w:val="3"/>
    </w:pPr>
    <w:rPr>
      <w:b/>
      <w:sz w:val="44"/>
    </w:rPr>
  </w:style>
  <w:style w:type="paragraph" w:styleId="Antrat5">
    <w:name w:val="heading 5"/>
    <w:basedOn w:val="prastasis"/>
    <w:next w:val="prastasis"/>
    <w:qFormat/>
    <w:rsid w:val="002D099B"/>
    <w:pPr>
      <w:keepNext/>
      <w:numPr>
        <w:ilvl w:val="4"/>
        <w:numId w:val="1"/>
      </w:numPr>
      <w:outlineLvl w:val="4"/>
    </w:pPr>
    <w:rPr>
      <w:b/>
      <w:sz w:val="40"/>
    </w:rPr>
  </w:style>
  <w:style w:type="paragraph" w:styleId="Antrat6">
    <w:name w:val="heading 6"/>
    <w:basedOn w:val="prastasis"/>
    <w:next w:val="prastasis"/>
    <w:qFormat/>
    <w:rsid w:val="002D099B"/>
    <w:pPr>
      <w:keepNext/>
      <w:numPr>
        <w:ilvl w:val="5"/>
        <w:numId w:val="1"/>
      </w:numPr>
      <w:outlineLvl w:val="5"/>
    </w:pPr>
    <w:rPr>
      <w:b/>
      <w:sz w:val="36"/>
    </w:rPr>
  </w:style>
  <w:style w:type="paragraph" w:styleId="Antrat7">
    <w:name w:val="heading 7"/>
    <w:basedOn w:val="prastasis"/>
    <w:next w:val="prastasis"/>
    <w:qFormat/>
    <w:rsid w:val="002D099B"/>
    <w:pPr>
      <w:keepNext/>
      <w:numPr>
        <w:ilvl w:val="6"/>
        <w:numId w:val="1"/>
      </w:numPr>
      <w:outlineLvl w:val="6"/>
    </w:pPr>
    <w:rPr>
      <w:sz w:val="48"/>
    </w:rPr>
  </w:style>
  <w:style w:type="paragraph" w:styleId="Antrat8">
    <w:name w:val="heading 8"/>
    <w:basedOn w:val="prastasis"/>
    <w:next w:val="prastasis"/>
    <w:qFormat/>
    <w:rsid w:val="002D099B"/>
    <w:pPr>
      <w:keepNext/>
      <w:numPr>
        <w:ilvl w:val="7"/>
        <w:numId w:val="1"/>
      </w:numPr>
      <w:outlineLvl w:val="7"/>
    </w:pPr>
    <w:rPr>
      <w:b/>
      <w:sz w:val="18"/>
    </w:rPr>
  </w:style>
  <w:style w:type="paragraph" w:styleId="Antrat9">
    <w:name w:val="heading 9"/>
    <w:basedOn w:val="prastasis"/>
    <w:next w:val="prastasis"/>
    <w:qFormat/>
    <w:rsid w:val="002D099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D099B"/>
    <w:rPr>
      <w:sz w:val="24"/>
      <w:lang w:eastAsia="x-none"/>
    </w:rPr>
  </w:style>
  <w:style w:type="character" w:styleId="Hipersaitas">
    <w:name w:val="Hyperlink"/>
    <w:uiPriority w:val="99"/>
    <w:rsid w:val="002D099B"/>
    <w:rPr>
      <w:color w:val="0000FF"/>
      <w:u w:val="single"/>
    </w:rPr>
  </w:style>
  <w:style w:type="paragraph" w:styleId="Antrats">
    <w:name w:val="header"/>
    <w:aliases w:val="Char Char Char"/>
    <w:basedOn w:val="prastasis"/>
    <w:link w:val="AntratsDiagrama"/>
    <w:uiPriority w:val="99"/>
    <w:rsid w:val="002D099B"/>
    <w:pPr>
      <w:widowControl w:val="0"/>
      <w:tabs>
        <w:tab w:val="center" w:pos="4153"/>
        <w:tab w:val="right" w:pos="8306"/>
      </w:tabs>
      <w:spacing w:after="20"/>
      <w:jc w:val="both"/>
    </w:pPr>
  </w:style>
  <w:style w:type="paragraph" w:customStyle="1" w:styleId="Point1">
    <w:name w:val="Point 1"/>
    <w:basedOn w:val="prastasis"/>
    <w:rsid w:val="002D099B"/>
    <w:pPr>
      <w:spacing w:before="120" w:after="120"/>
      <w:ind w:left="1418" w:hanging="567"/>
      <w:jc w:val="both"/>
    </w:pPr>
    <w:rPr>
      <w:lang w:val="en-GB"/>
    </w:rPr>
  </w:style>
  <w:style w:type="paragraph" w:styleId="Pagrindiniotekstotrauka3">
    <w:name w:val="Body Text Indent 3"/>
    <w:basedOn w:val="prastasis"/>
    <w:rsid w:val="002D099B"/>
    <w:pPr>
      <w:tabs>
        <w:tab w:val="left" w:pos="4536"/>
      </w:tabs>
      <w:ind w:firstLine="2268"/>
      <w:jc w:val="both"/>
    </w:pPr>
  </w:style>
  <w:style w:type="paragraph" w:styleId="Pagrindinistekstas3">
    <w:name w:val="Body Text 3"/>
    <w:basedOn w:val="prastasis"/>
    <w:rsid w:val="002D099B"/>
    <w:pPr>
      <w:jc w:val="both"/>
    </w:pPr>
  </w:style>
  <w:style w:type="paragraph" w:styleId="Porat">
    <w:name w:val="footer"/>
    <w:basedOn w:val="prastasis"/>
    <w:link w:val="PoratDiagrama"/>
    <w:uiPriority w:val="99"/>
    <w:rsid w:val="002D099B"/>
    <w:pPr>
      <w:tabs>
        <w:tab w:val="center" w:pos="4320"/>
        <w:tab w:val="right" w:pos="8640"/>
      </w:tabs>
    </w:pPr>
    <w:rPr>
      <w:lang w:eastAsia="x-none"/>
    </w:rPr>
  </w:style>
  <w:style w:type="paragraph" w:styleId="Pagrindiniotekstotrauka">
    <w:name w:val="Body Text Indent"/>
    <w:basedOn w:val="prastasis"/>
    <w:rsid w:val="002D099B"/>
    <w:pPr>
      <w:ind w:firstLine="720"/>
    </w:pPr>
    <w:rPr>
      <w:i/>
    </w:rPr>
  </w:style>
  <w:style w:type="character" w:styleId="Puslapionumeris">
    <w:name w:val="page number"/>
    <w:basedOn w:val="Numatytasispastraiposriftas"/>
    <w:rsid w:val="002D099B"/>
  </w:style>
  <w:style w:type="paragraph" w:styleId="Pagrindiniotekstotrauka2">
    <w:name w:val="Body Text Indent 2"/>
    <w:basedOn w:val="prastasis"/>
    <w:rsid w:val="002D099B"/>
    <w:pPr>
      <w:ind w:left="720"/>
    </w:pPr>
    <w:rPr>
      <w:i/>
    </w:rPr>
  </w:style>
  <w:style w:type="paragraph" w:styleId="Pavadinimas">
    <w:name w:val="Title"/>
    <w:basedOn w:val="prastasis"/>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prastasis"/>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Pagrindinistekstas">
    <w:name w:val="Body Text"/>
    <w:basedOn w:val="prastasis"/>
    <w:rsid w:val="002D099B"/>
    <w:pPr>
      <w:spacing w:after="120"/>
    </w:pPr>
  </w:style>
  <w:style w:type="paragraph" w:styleId="Puslapioinaostekstas">
    <w:name w:val="footnote text"/>
    <w:basedOn w:val="prastasis"/>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Puslapioinaosnuoroda">
    <w:name w:val="footnote reference"/>
    <w:uiPriority w:val="99"/>
    <w:semiHidden/>
    <w:rsid w:val="002D099B"/>
    <w:rPr>
      <w:vertAlign w:val="superscript"/>
    </w:rPr>
  </w:style>
  <w:style w:type="paragraph" w:customStyle="1" w:styleId="Sub-ClauseText">
    <w:name w:val="Sub-Clause Text"/>
    <w:basedOn w:val="prastasis"/>
    <w:rsid w:val="002D099B"/>
    <w:pPr>
      <w:overflowPunct w:val="0"/>
      <w:autoSpaceDE w:val="0"/>
      <w:autoSpaceDN w:val="0"/>
      <w:adjustRightInd w:val="0"/>
      <w:spacing w:before="120" w:after="120"/>
      <w:jc w:val="both"/>
      <w:textAlignment w:val="baseline"/>
    </w:pPr>
    <w:rPr>
      <w:spacing w:val="-4"/>
      <w:lang w:val="en-US"/>
    </w:rPr>
  </w:style>
  <w:style w:type="paragraph" w:styleId="Sraas">
    <w:name w:val="List"/>
    <w:basedOn w:val="prastasis"/>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rsid w:val="002D099B"/>
    <w:pPr>
      <w:keepNext/>
      <w:widowControl w:val="0"/>
      <w:tabs>
        <w:tab w:val="left" w:pos="567"/>
      </w:tabs>
      <w:spacing w:before="240" w:line="240" w:lineRule="exact"/>
    </w:pPr>
    <w:rPr>
      <w:rFonts w:ascii="Arial" w:hAnsi="Arial"/>
      <w:b/>
      <w:snapToGrid w:val="0"/>
      <w:lang w:val="cs-CZ"/>
    </w:rPr>
  </w:style>
  <w:style w:type="paragraph" w:styleId="Debesliotekstas">
    <w:name w:val="Balloon Text"/>
    <w:basedOn w:val="prastasis"/>
    <w:semiHidden/>
    <w:rsid w:val="002D099B"/>
    <w:rPr>
      <w:rFonts w:ascii="Tahoma" w:hAnsi="Tahoma" w:cs="Tahoma"/>
      <w:sz w:val="16"/>
      <w:szCs w:val="16"/>
    </w:rPr>
  </w:style>
  <w:style w:type="character" w:styleId="Komentaronuoroda">
    <w:name w:val="annotation reference"/>
    <w:uiPriority w:val="99"/>
    <w:qFormat/>
    <w:rsid w:val="002D099B"/>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Diagrama"/>
    <w:basedOn w:val="prastasis"/>
    <w:link w:val="KomentarotekstasDiagrama"/>
    <w:uiPriority w:val="99"/>
    <w:qFormat/>
    <w:rsid w:val="002D099B"/>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Literatrossraoantrat">
    <w:name w:val="toa heading"/>
    <w:basedOn w:val="prastasis"/>
    <w:next w:val="prastasis"/>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prastasiniatinklio">
    <w:name w:val="Normal (Web)"/>
    <w:basedOn w:val="prastasis"/>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resas">
    <w:name w:val="HTML Address"/>
    <w:basedOn w:val="prastasis"/>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rsid w:val="002D099B"/>
    <w:pPr>
      <w:widowControl w:val="0"/>
      <w:spacing w:before="120" w:line="240" w:lineRule="exact"/>
      <w:jc w:val="center"/>
    </w:pPr>
    <w:rPr>
      <w:rFonts w:ascii="Arial" w:hAnsi="Arial"/>
      <w:sz w:val="20"/>
      <w:lang w:val="cs-CZ"/>
    </w:rPr>
  </w:style>
  <w:style w:type="paragraph" w:styleId="HTMLiankstoformatuotas">
    <w:name w:val="HTML Preformatted"/>
    <w:basedOn w:val="prastasis"/>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Antrat5"/>
    <w:rsid w:val="002D099B"/>
    <w:pPr>
      <w:keepNext w:val="0"/>
      <w:numPr>
        <w:ilvl w:val="0"/>
        <w:numId w:val="2"/>
      </w:numPr>
      <w:spacing w:before="240" w:after="240"/>
    </w:pPr>
    <w:rPr>
      <w:rFonts w:ascii="Arial" w:hAnsi="Arial"/>
      <w:bCs/>
      <w:iCs/>
      <w:sz w:val="24"/>
      <w:szCs w:val="26"/>
    </w:rPr>
  </w:style>
  <w:style w:type="paragraph" w:styleId="Pagrindinistekstas2">
    <w:name w:val="Body Text 2"/>
    <w:basedOn w:val="prastasis"/>
    <w:rsid w:val="002D099B"/>
    <w:pPr>
      <w:spacing w:after="120" w:line="480" w:lineRule="auto"/>
    </w:pPr>
  </w:style>
  <w:style w:type="paragraph" w:customStyle="1" w:styleId="normaltableau">
    <w:name w:val="normal_tableau"/>
    <w:basedOn w:val="prastasis"/>
    <w:rsid w:val="002D099B"/>
    <w:pPr>
      <w:spacing w:before="120" w:after="120"/>
      <w:jc w:val="both"/>
    </w:pPr>
    <w:rPr>
      <w:rFonts w:ascii="Optima" w:hAnsi="Optima"/>
      <w:sz w:val="22"/>
      <w:lang w:val="en-GB"/>
    </w:rPr>
  </w:style>
  <w:style w:type="paragraph" w:customStyle="1" w:styleId="Stilius3">
    <w:name w:val="Stilius3"/>
    <w:basedOn w:val="prastasis"/>
    <w:qFormat/>
    <w:rsid w:val="002D099B"/>
    <w:pPr>
      <w:spacing w:before="200"/>
      <w:jc w:val="both"/>
    </w:pPr>
    <w:rPr>
      <w:sz w:val="22"/>
      <w:szCs w:val="22"/>
    </w:rPr>
  </w:style>
  <w:style w:type="paragraph" w:customStyle="1" w:styleId="Stilius5">
    <w:name w:val="Stilius5"/>
    <w:basedOn w:val="prastasis"/>
    <w:qFormat/>
    <w:rsid w:val="002D099B"/>
    <w:pPr>
      <w:spacing w:after="200" w:line="276" w:lineRule="auto"/>
      <w:jc w:val="center"/>
    </w:pPr>
    <w:rPr>
      <w:b/>
      <w:sz w:val="28"/>
      <w:szCs w:val="2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faz">
    <w:name w:val="Emphasis"/>
    <w:qFormat/>
    <w:rsid w:val="002D099B"/>
    <w:rPr>
      <w:i/>
      <w:iCs/>
    </w:rPr>
  </w:style>
  <w:style w:type="paragraph" w:customStyle="1" w:styleId="ATekstas">
    <w:name w:val="A Tekstas"/>
    <w:basedOn w:val="prastasis"/>
    <w:rsid w:val="004C24DB"/>
    <w:pPr>
      <w:spacing w:before="120" w:line="300" w:lineRule="auto"/>
      <w:jc w:val="both"/>
    </w:pPr>
    <w:rPr>
      <w:szCs w:val="24"/>
      <w:lang w:eastAsia="lt-LT"/>
    </w:rPr>
  </w:style>
  <w:style w:type="character" w:customStyle="1" w:styleId="PoratDiagrama">
    <w:name w:val="Poraštė Diagrama"/>
    <w:link w:val="Porat"/>
    <w:uiPriority w:val="99"/>
    <w:rsid w:val="00B30B92"/>
    <w:rPr>
      <w:sz w:val="24"/>
      <w:lang w:val="lt-LT"/>
    </w:rPr>
  </w:style>
  <w:style w:type="character" w:styleId="Grietas">
    <w:name w:val="Strong"/>
    <w:uiPriority w:val="22"/>
    <w:qFormat/>
    <w:rsid w:val="00C708C5"/>
    <w:rPr>
      <w:b/>
      <w:bCs/>
    </w:rPr>
  </w:style>
  <w:style w:type="paragraph" w:customStyle="1" w:styleId="text-3mezera">
    <w:name w:val="text - 3 mezera"/>
    <w:basedOn w:val="prastasis"/>
    <w:rsid w:val="00B955C4"/>
    <w:pPr>
      <w:widowControl w:val="0"/>
      <w:spacing w:before="60" w:line="240" w:lineRule="exact"/>
      <w:jc w:val="both"/>
    </w:pPr>
    <w:rPr>
      <w:rFonts w:ascii="Arial" w:hAnsi="Arial" w:cs="Arial"/>
      <w:szCs w:val="24"/>
      <w:lang w:val="cs-CZ" w:eastAsia="fi-FI"/>
    </w:rPr>
  </w:style>
  <w:style w:type="table" w:styleId="Lentelstinklelis">
    <w:name w:val="Table Grid"/>
    <w:basedOn w:val="prastojilente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CA7EB6"/>
    <w:rPr>
      <w:b/>
      <w:bCs/>
    </w:rPr>
  </w:style>
  <w:style w:type="character" w:customStyle="1" w:styleId="KomentarotemaDiagrama">
    <w:name w:val="Komentaro tema Diagrama"/>
    <w:link w:val="Komentarotema"/>
    <w:rsid w:val="00CA7EB6"/>
    <w:rPr>
      <w:b/>
      <w:bCs/>
      <w:lang w:val="lt-LT" w:eastAsia="en-US" w:bidi="ar-SA"/>
    </w:rPr>
  </w:style>
  <w:style w:type="character" w:customStyle="1" w:styleId="AntratsDiagrama">
    <w:name w:val="Antraštės Diagrama"/>
    <w:aliases w:val="Char Char Char Diagrama"/>
    <w:link w:val="Antrats"/>
    <w:uiPriority w:val="99"/>
    <w:locked/>
    <w:rsid w:val="000214D3"/>
    <w:rPr>
      <w:sz w:val="24"/>
      <w:lang w:val="lt-LT"/>
    </w:rPr>
  </w:style>
  <w:style w:type="paragraph" w:customStyle="1" w:styleId="Style4">
    <w:name w:val="Style4"/>
    <w:basedOn w:val="prastasis"/>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prastasis"/>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prastasis"/>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prastasis"/>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Betarp">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F255F"/>
    <w:rPr>
      <w:rFonts w:eastAsia="Calibri"/>
      <w:sz w:val="24"/>
      <w:szCs w:val="24"/>
      <w:lang w:eastAsia="en-US"/>
    </w:rPr>
  </w:style>
  <w:style w:type="paragraph" w:styleId="Sraassuenkleliais">
    <w:name w:val="List Bullet"/>
    <w:basedOn w:val="prastasis"/>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prastojilentel"/>
    <w:next w:val="Lentelstinklelis"/>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qFormat/>
    <w:locked/>
    <w:rsid w:val="00EA7B66"/>
    <w:rPr>
      <w:rFonts w:ascii="Calibri" w:hAnsi="Calibri"/>
    </w:rPr>
  </w:style>
  <w:style w:type="paragraph" w:styleId="Paprastasistekstas">
    <w:name w:val="Plain Text"/>
    <w:basedOn w:val="prastasis"/>
    <w:link w:val="PaprastasistekstasDiagrama"/>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prastasis"/>
    <w:qFormat/>
    <w:rsid w:val="001442FE"/>
    <w:pPr>
      <w:numPr>
        <w:numId w:val="7"/>
      </w:numPr>
      <w:jc w:val="both"/>
    </w:pPr>
    <w:rPr>
      <w:b/>
      <w:szCs w:val="24"/>
    </w:rPr>
  </w:style>
  <w:style w:type="paragraph" w:customStyle="1" w:styleId="2papunktis">
    <w:name w:val="2 papunktis"/>
    <w:basedOn w:val="Sraopastraipa"/>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Neapdorotaspaminjimas">
    <w:name w:val="Unresolved Mention"/>
    <w:basedOn w:val="Numatytasispastraiposriftas"/>
    <w:uiPriority w:val="99"/>
    <w:semiHidden/>
    <w:unhideWhenUsed/>
    <w:rPr>
      <w:color w:val="605E5C"/>
      <w:shd w:val="clear" w:color="auto" w:fill="E1DFDD"/>
    </w:rPr>
  </w:style>
  <w:style w:type="paragraph" w:styleId="Pataisymai">
    <w:name w:val="Revision"/>
    <w:hidden/>
    <w:uiPriority w:val="99"/>
    <w:semiHidden/>
    <w:rsid w:val="00591547"/>
    <w:rPr>
      <w:sz w:val="24"/>
      <w:lang w:eastAsia="en-US"/>
    </w:rPr>
  </w:style>
  <w:style w:type="character" w:customStyle="1" w:styleId="normaltextrun">
    <w:name w:val="normaltextrun"/>
    <w:basedOn w:val="Numatytasispastraiposriftas"/>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2.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D5E8-2054-4187-8520-698B4C512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64878</Words>
  <Characters>36981</Characters>
  <Application>Microsoft Office Word</Application>
  <DocSecurity>0</DocSecurity>
  <Lines>308</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Daiva Jankauskaitė</cp:lastModifiedBy>
  <cp:revision>4</cp:revision>
  <cp:lastPrinted>2023-06-19T05:56:00Z</cp:lastPrinted>
  <dcterms:created xsi:type="dcterms:W3CDTF">2025-09-24T13:53:00Z</dcterms:created>
  <dcterms:modified xsi:type="dcterms:W3CDTF">2025-10-01T06:09:00Z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