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6086" w14:textId="77777777" w:rsidR="009B1AAE" w:rsidRPr="009B1AAE" w:rsidRDefault="009B1AAE" w:rsidP="009B1AAE">
      <w:pPr>
        <w:pStyle w:val="Antrat11"/>
      </w:pPr>
      <w:r w:rsidRPr="009B1AAE">
        <w:t>TIEKĖJO KVALIFIKACIJOS REIKALAVIMAI</w:t>
      </w:r>
    </w:p>
    <w:tbl>
      <w:tblPr>
        <w:tblStyle w:val="TableGrid"/>
        <w:tblW w:w="9634" w:type="dxa"/>
        <w:tblLayout w:type="fixed"/>
        <w:tblLook w:val="04A0" w:firstRow="1" w:lastRow="0" w:firstColumn="1" w:lastColumn="0" w:noHBand="0" w:noVBand="1"/>
      </w:tblPr>
      <w:tblGrid>
        <w:gridCol w:w="715"/>
        <w:gridCol w:w="4459"/>
        <w:gridCol w:w="4460"/>
      </w:tblGrid>
      <w:tr w:rsidR="009B1AAE" w:rsidRPr="009B1AAE" w14:paraId="60E0231A" w14:textId="77777777" w:rsidTr="009B1AAE">
        <w:trPr>
          <w:tblHeader/>
        </w:trPr>
        <w:tc>
          <w:tcPr>
            <w:tcW w:w="715" w:type="dxa"/>
            <w:vAlign w:val="center"/>
          </w:tcPr>
          <w:p w14:paraId="3574DF27" w14:textId="77777777" w:rsidR="009B1AAE" w:rsidRPr="009B1AAE" w:rsidRDefault="009B1AAE" w:rsidP="009B1AAE">
            <w:pPr>
              <w:jc w:val="center"/>
              <w:rPr>
                <w:b/>
                <w:bCs/>
                <w:szCs w:val="24"/>
              </w:rPr>
            </w:pPr>
            <w:r w:rsidRPr="009B1AAE">
              <w:rPr>
                <w:b/>
                <w:bCs/>
                <w:szCs w:val="24"/>
              </w:rPr>
              <w:t>Eil. Nr.</w:t>
            </w:r>
          </w:p>
        </w:tc>
        <w:tc>
          <w:tcPr>
            <w:tcW w:w="4459" w:type="dxa"/>
            <w:vAlign w:val="center"/>
          </w:tcPr>
          <w:p w14:paraId="5FA1B95A" w14:textId="77777777" w:rsidR="009B1AAE" w:rsidRPr="009B1AAE" w:rsidRDefault="009B1AAE" w:rsidP="009B1AAE">
            <w:pPr>
              <w:jc w:val="center"/>
              <w:rPr>
                <w:b/>
                <w:bCs/>
                <w:szCs w:val="24"/>
              </w:rPr>
            </w:pPr>
            <w:r w:rsidRPr="009B1AAE">
              <w:rPr>
                <w:b/>
                <w:bCs/>
                <w:szCs w:val="24"/>
              </w:rPr>
              <w:t>Kvalifikacijos reikalavimas</w:t>
            </w:r>
          </w:p>
        </w:tc>
        <w:tc>
          <w:tcPr>
            <w:tcW w:w="4460" w:type="dxa"/>
            <w:vAlign w:val="center"/>
          </w:tcPr>
          <w:p w14:paraId="5A5097E5" w14:textId="77777777" w:rsidR="009B1AAE" w:rsidRPr="009B1AAE" w:rsidRDefault="009B1AAE" w:rsidP="009B1AAE">
            <w:pPr>
              <w:jc w:val="center"/>
              <w:rPr>
                <w:b/>
                <w:bCs/>
                <w:szCs w:val="24"/>
              </w:rPr>
            </w:pPr>
            <w:r w:rsidRPr="009B1AAE">
              <w:rPr>
                <w:b/>
                <w:bCs/>
                <w:szCs w:val="24"/>
              </w:rPr>
              <w:t>Atitiktį kvalifikacijos reikalavimui patvirtinantys dokumentai, duomenys ir informacija</w:t>
            </w:r>
          </w:p>
        </w:tc>
      </w:tr>
      <w:tr w:rsidR="009B1AAE" w:rsidRPr="009B1AAE" w14:paraId="56D658EE" w14:textId="77777777" w:rsidTr="009B1AAE">
        <w:tc>
          <w:tcPr>
            <w:tcW w:w="715" w:type="dxa"/>
          </w:tcPr>
          <w:p w14:paraId="11AF8067" w14:textId="77777777" w:rsidR="009B1AAE" w:rsidRPr="009B1AAE" w:rsidRDefault="009B1AAE" w:rsidP="009B1AAE">
            <w:pPr>
              <w:pStyle w:val="Antrat21"/>
              <w:rPr>
                <w:rFonts w:ascii="Times New Roman" w:hAnsi="Times New Roman"/>
              </w:rPr>
            </w:pPr>
            <w:bookmarkStart w:id="0" w:name="_Ref147618453"/>
          </w:p>
        </w:tc>
        <w:bookmarkEnd w:id="0"/>
        <w:tc>
          <w:tcPr>
            <w:tcW w:w="4459" w:type="dxa"/>
          </w:tcPr>
          <w:p w14:paraId="14DDAEBC" w14:textId="77777777" w:rsidR="009B1AAE" w:rsidRPr="009B1AAE" w:rsidRDefault="009B1AAE" w:rsidP="009B1AAE">
            <w:pPr>
              <w:ind w:left="57" w:right="57"/>
              <w:jc w:val="both"/>
              <w:rPr>
                <w:szCs w:val="24"/>
              </w:rPr>
            </w:pPr>
            <w:r w:rsidRPr="009B1AAE">
              <w:rPr>
                <w:szCs w:val="24"/>
              </w:rPr>
              <w:t>Tiekėjas per paskutinius 3 metus (arba per laiką nuo tiekėjo įregistravimo dienos, jeigu tiekėjas vykdė veiklą mažiau nei 3 metus) iki pasiūlymų pateikimo termino pabaigos yra pristatęs ir paruošęs naudoti (įdiegęs, pritaikęs ir (ar) individualizavęs, apmokęs dirbti su preke naudotojus arba atlikęs kitas, su prekėmis susijusias, paslaugas) panašias prekes, kurių bendra vertė yra ne mažesnė kaip 10 000 (dešimt tūkstančių) Eur be PVM.</w:t>
            </w:r>
          </w:p>
          <w:p w14:paraId="1785286F" w14:textId="77777777" w:rsidR="009B1AAE" w:rsidRPr="009B1AAE" w:rsidRDefault="009B1AAE" w:rsidP="009B1AAE">
            <w:pPr>
              <w:ind w:left="57" w:right="57"/>
              <w:jc w:val="both"/>
              <w:rPr>
                <w:szCs w:val="24"/>
              </w:rPr>
            </w:pPr>
            <w:r w:rsidRPr="009B1AAE">
              <w:rPr>
                <w:szCs w:val="24"/>
              </w:rPr>
              <w:t xml:space="preserve">Panašiomis prekėmis bus laikomos </w:t>
            </w:r>
            <w:r w:rsidRPr="009B1AAE">
              <w:rPr>
                <w:b/>
                <w:bCs/>
                <w:szCs w:val="24"/>
              </w:rPr>
              <w:t>mokomosios programinės įrangos paketai</w:t>
            </w:r>
            <w:r w:rsidRPr="009B1AAE">
              <w:rPr>
                <w:szCs w:val="24"/>
              </w:rPr>
              <w:t xml:space="preserve"> </w:t>
            </w:r>
            <w:r w:rsidRPr="009B1AAE">
              <w:rPr>
                <w:i/>
                <w:iCs/>
                <w:szCs w:val="24"/>
              </w:rPr>
              <w:t>arba</w:t>
            </w:r>
            <w:r w:rsidRPr="009B1AAE">
              <w:rPr>
                <w:b/>
                <w:bCs/>
                <w:szCs w:val="24"/>
              </w:rPr>
              <w:t xml:space="preserve"> mokymo programinės įrangos paketai</w:t>
            </w:r>
            <w:r w:rsidRPr="009B1AAE">
              <w:rPr>
                <w:szCs w:val="24"/>
              </w:rPr>
              <w:t xml:space="preserve">, </w:t>
            </w:r>
            <w:r w:rsidRPr="009B1AAE">
              <w:rPr>
                <w:i/>
                <w:iCs/>
                <w:szCs w:val="24"/>
              </w:rPr>
              <w:t>arba</w:t>
            </w:r>
            <w:r w:rsidRPr="009B1AAE">
              <w:rPr>
                <w:szCs w:val="24"/>
              </w:rPr>
              <w:t xml:space="preserve"> </w:t>
            </w:r>
            <w:r w:rsidRPr="009B1AAE">
              <w:rPr>
                <w:b/>
                <w:bCs/>
                <w:szCs w:val="24"/>
              </w:rPr>
              <w:t>sistemų, atmintinių ir turinio valdymo programinės įrangos paketai</w:t>
            </w:r>
            <w:r w:rsidRPr="009B1AAE">
              <w:rPr>
                <w:szCs w:val="24"/>
              </w:rPr>
              <w:t>, teikti kartu su jų įdiegimo, pritaikymo ir (ar) individualizavimo, naudotojų apmokymo dirbti su jais paslaugomis arba kitomis, su prekėmis susijusiomis, paslaugomis.</w:t>
            </w:r>
          </w:p>
          <w:p w14:paraId="6A6CDE66" w14:textId="77777777" w:rsidR="009B1AAE" w:rsidRPr="009B1AAE" w:rsidRDefault="009B1AAE" w:rsidP="009B1AAE">
            <w:pPr>
              <w:ind w:left="57" w:right="57"/>
              <w:jc w:val="both"/>
              <w:rPr>
                <w:szCs w:val="24"/>
              </w:rPr>
            </w:pPr>
            <w:r w:rsidRPr="009B1AAE">
              <w:rPr>
                <w:szCs w:val="24"/>
              </w:rPr>
              <w:t>Jei pateikiami duomenys apie vykdomą sutartį, vertinant šį kriterijų atsižvelgiama tik į tokios sutarties įvykdytą dalį.</w:t>
            </w:r>
          </w:p>
          <w:p w14:paraId="6D9CD21C" w14:textId="77777777" w:rsidR="009B1AAE" w:rsidRPr="009B1AAE" w:rsidRDefault="009B1AAE" w:rsidP="009B1AAE">
            <w:pPr>
              <w:ind w:left="57" w:right="57"/>
              <w:jc w:val="both"/>
              <w:rPr>
                <w:szCs w:val="24"/>
              </w:rPr>
            </w:pPr>
            <w:r w:rsidRPr="009B1AAE">
              <w:rPr>
                <w:szCs w:val="24"/>
              </w:rPr>
              <w:t>Tiekėjui nedraudžiama remtis sutartimi, kurią tiekėjas vykdė ne vienas, bet kartu su kitais ūkio subjektais. Tačiau tokiu atveju bus vertinami būtent konkretaus tiekėjo, dalyvaujančio viešajame pirkime, pristatytos prekės ir jų paruošimas naudoti paslaugos, jų apimtis, vertė, o ne visas vykdytos sutarties objektas.</w:t>
            </w:r>
          </w:p>
        </w:tc>
        <w:tc>
          <w:tcPr>
            <w:tcW w:w="4460" w:type="dxa"/>
          </w:tcPr>
          <w:p w14:paraId="34355AF5" w14:textId="77777777" w:rsidR="009B1AAE" w:rsidRPr="009B1AAE" w:rsidRDefault="009B1AAE" w:rsidP="009B1AAE">
            <w:pPr>
              <w:ind w:left="57" w:right="57"/>
              <w:jc w:val="both"/>
              <w:rPr>
                <w:szCs w:val="24"/>
              </w:rPr>
            </w:pPr>
            <w:r w:rsidRPr="009B1AAE">
              <w:rPr>
                <w:szCs w:val="24"/>
              </w:rPr>
              <w:t>Tiekėjo pateikiami dokumentai:</w:t>
            </w:r>
          </w:p>
          <w:p w14:paraId="7DEF3A4C" w14:textId="77777777" w:rsidR="009B1AAE" w:rsidRPr="009B1AAE" w:rsidRDefault="009B1AAE" w:rsidP="009B1AAE">
            <w:pPr>
              <w:pStyle w:val="ListParagraph"/>
              <w:numPr>
                <w:ilvl w:val="0"/>
                <w:numId w:val="3"/>
              </w:numPr>
              <w:spacing w:after="0"/>
              <w:ind w:right="57"/>
              <w:jc w:val="both"/>
              <w:rPr>
                <w:szCs w:val="24"/>
              </w:rPr>
            </w:pPr>
            <w:r w:rsidRPr="009B1AAE">
              <w:rPr>
                <w:szCs w:val="24"/>
              </w:rPr>
              <w:t xml:space="preserve">pagrindinių per paskutinius 3 metus patiektų </w:t>
            </w:r>
            <w:r w:rsidRPr="009B1AAE">
              <w:rPr>
                <w:b/>
                <w:bCs/>
                <w:szCs w:val="24"/>
              </w:rPr>
              <w:t>prekių sąrašas</w:t>
            </w:r>
            <w:r w:rsidRPr="009B1AAE">
              <w:rPr>
                <w:szCs w:val="24"/>
              </w:rPr>
              <w:t>, kuriame nurodytos prekių bendros sumos, datos ir prekių gavėjai (tiek viešieji, tiek privatieji).</w:t>
            </w:r>
          </w:p>
          <w:p w14:paraId="5D9C78E2" w14:textId="77777777" w:rsidR="009B1AAE" w:rsidRPr="009B1AAE" w:rsidRDefault="009B1AAE" w:rsidP="009B1AAE">
            <w:pPr>
              <w:pStyle w:val="ListParagraph"/>
              <w:numPr>
                <w:ilvl w:val="0"/>
                <w:numId w:val="3"/>
              </w:numPr>
              <w:spacing w:after="0"/>
              <w:ind w:right="57"/>
              <w:jc w:val="both"/>
              <w:rPr>
                <w:szCs w:val="24"/>
              </w:rPr>
            </w:pPr>
            <w:r w:rsidRPr="009B1AAE">
              <w:rPr>
                <w:b/>
                <w:bCs/>
                <w:szCs w:val="24"/>
              </w:rPr>
              <w:t>užsakovo pažyma</w:t>
            </w:r>
            <w:r w:rsidRPr="009B1AAE">
              <w:rPr>
                <w:szCs w:val="24"/>
              </w:rPr>
              <w:t>, kurioje turi būti nurodyta: prekių bendros sumos, jų tiekimo datos ir vieta, prekių gavėjas, ar prekės buvo pristatytos ir parengtos naudoti tinkamai.</w:t>
            </w:r>
          </w:p>
        </w:tc>
      </w:tr>
      <w:tr w:rsidR="009B1AAE" w:rsidRPr="009B1AAE" w14:paraId="097CB9C9" w14:textId="77777777" w:rsidTr="009B1AAE">
        <w:tc>
          <w:tcPr>
            <w:tcW w:w="715" w:type="dxa"/>
          </w:tcPr>
          <w:p w14:paraId="781E92B3" w14:textId="77777777" w:rsidR="009B1AAE" w:rsidRPr="009B1AAE" w:rsidRDefault="009B1AAE" w:rsidP="009B1AAE">
            <w:pPr>
              <w:pStyle w:val="Antrat21"/>
              <w:rPr>
                <w:rFonts w:ascii="Times New Roman" w:hAnsi="Times New Roman"/>
              </w:rPr>
            </w:pPr>
          </w:p>
        </w:tc>
        <w:tc>
          <w:tcPr>
            <w:tcW w:w="4459" w:type="dxa"/>
          </w:tcPr>
          <w:p w14:paraId="47EEE0FA" w14:textId="77777777" w:rsidR="009B1AAE" w:rsidRPr="009B1AAE" w:rsidRDefault="009B1AAE" w:rsidP="009B1AAE">
            <w:pPr>
              <w:ind w:left="57" w:right="57"/>
              <w:jc w:val="both"/>
              <w:rPr>
                <w:szCs w:val="24"/>
              </w:rPr>
            </w:pPr>
            <w:r w:rsidRPr="009B1AAE">
              <w:rPr>
                <w:szCs w:val="24"/>
              </w:rPr>
              <w:t>Tiekėjas yra oficialus jo siūlomos</w:t>
            </w:r>
            <w:r w:rsidRPr="009B1AAE">
              <w:rPr>
                <w:i/>
                <w:iCs/>
                <w:szCs w:val="24"/>
              </w:rPr>
              <w:t xml:space="preserve"> mokymų organizavimo ir valdymo programinė įrangos</w:t>
            </w:r>
            <w:r w:rsidRPr="009B1AAE">
              <w:rPr>
                <w:szCs w:val="24"/>
              </w:rPr>
              <w:t xml:space="preserve"> (toliau – PĮ) gamintojo atstovas ir (ar) partneris, turintis įgaliojimus parduoti PĮ, ją aptarnauti, prižiūrėti ir pritaikyti perkančiosios organizacijos poreikiams.</w:t>
            </w:r>
          </w:p>
        </w:tc>
        <w:tc>
          <w:tcPr>
            <w:tcW w:w="4460" w:type="dxa"/>
          </w:tcPr>
          <w:p w14:paraId="3239ABB7" w14:textId="77777777" w:rsidR="009B1AAE" w:rsidRPr="009B1AAE" w:rsidRDefault="009B1AAE" w:rsidP="009B1AAE">
            <w:pPr>
              <w:ind w:left="57" w:right="57"/>
              <w:jc w:val="both"/>
              <w:rPr>
                <w:szCs w:val="24"/>
              </w:rPr>
            </w:pPr>
            <w:r w:rsidRPr="009B1AAE">
              <w:rPr>
                <w:szCs w:val="24"/>
              </w:rPr>
              <w:t>Tiekėjo pateikiami dokumentai:</w:t>
            </w:r>
          </w:p>
          <w:p w14:paraId="697D5D9A" w14:textId="77777777" w:rsidR="009B1AAE" w:rsidRPr="009B1AAE" w:rsidRDefault="009B1AAE" w:rsidP="009B1AAE">
            <w:pPr>
              <w:ind w:left="57" w:right="57"/>
              <w:jc w:val="both"/>
              <w:rPr>
                <w:szCs w:val="24"/>
              </w:rPr>
            </w:pPr>
            <w:r w:rsidRPr="009B1AAE">
              <w:rPr>
                <w:szCs w:val="24"/>
              </w:rPr>
              <w:t>PĮ gamintojo raštas arba kitas lygiavertis įrodymas, kad tiekėjas yra PĮ gamintojo atstovas ir (ar) partneris, turintis įgaliojimus parduoti PĮ, ją aptarnauti, prižiūrėti ir pritaikyti perkančiosios organizacijos poreikiams.</w:t>
            </w:r>
          </w:p>
        </w:tc>
      </w:tr>
    </w:tbl>
    <w:p w14:paraId="10F00986" w14:textId="77777777" w:rsidR="009B1AAE" w:rsidRPr="009B1AAE" w:rsidRDefault="009B1AAE" w:rsidP="009B1AAE">
      <w:pPr>
        <w:jc w:val="center"/>
        <w:rPr>
          <w:sz w:val="48"/>
          <w:szCs w:val="48"/>
        </w:rPr>
      </w:pPr>
      <w:r w:rsidRPr="009B1AAE">
        <w:rPr>
          <w:sz w:val="48"/>
          <w:szCs w:val="48"/>
        </w:rPr>
        <w:t>_______</w:t>
      </w:r>
    </w:p>
    <w:p w14:paraId="5E70F81D" w14:textId="658A3C73" w:rsidR="00B86590" w:rsidRPr="009B1AAE" w:rsidRDefault="00B86590" w:rsidP="009B1AAE"/>
    <w:sectPr w:rsidR="00B86590" w:rsidRPr="009B1AAE" w:rsidSect="00010502">
      <w:headerReference w:type="default" r:id="rId11"/>
      <w:headerReference w:type="first" r:id="rId12"/>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0F59" w14:textId="77777777" w:rsidR="00C04451" w:rsidRDefault="00C04451" w:rsidP="000E451E">
      <w:pPr>
        <w:spacing w:after="0" w:line="240" w:lineRule="auto"/>
      </w:pPr>
      <w:r>
        <w:separator/>
      </w:r>
    </w:p>
  </w:endnote>
  <w:endnote w:type="continuationSeparator" w:id="0">
    <w:p w14:paraId="118B37FF" w14:textId="77777777" w:rsidR="00C04451" w:rsidRDefault="00C04451" w:rsidP="000E4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m">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E6DA" w14:textId="77777777" w:rsidR="00C04451" w:rsidRDefault="00C04451" w:rsidP="000E451E">
      <w:pPr>
        <w:spacing w:after="0" w:line="240" w:lineRule="auto"/>
      </w:pPr>
      <w:r>
        <w:separator/>
      </w:r>
    </w:p>
  </w:footnote>
  <w:footnote w:type="continuationSeparator" w:id="0">
    <w:p w14:paraId="7E31F2C9" w14:textId="77777777" w:rsidR="00C04451" w:rsidRDefault="00C04451" w:rsidP="000E4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tblGrid>
    <w:tr w:rsidR="009B1AAE" w14:paraId="7A908A8F" w14:textId="77777777" w:rsidTr="001A64D9">
      <w:tc>
        <w:tcPr>
          <w:tcW w:w="3320" w:type="dxa"/>
        </w:tcPr>
        <w:p w14:paraId="4A43B293" w14:textId="77777777" w:rsidR="009B1AAE" w:rsidRDefault="009B1AAE" w:rsidP="001A64D9">
          <w:pPr>
            <w:pStyle w:val="Header"/>
            <w:jc w:val="both"/>
          </w:pPr>
        </w:p>
      </w:tc>
    </w:tr>
  </w:tbl>
  <w:p w14:paraId="49E05DDD" w14:textId="77777777" w:rsidR="00262DFD" w:rsidRPr="001A64D9" w:rsidRDefault="00262DFD" w:rsidP="001A64D9">
    <w:pPr>
      <w:pStyle w:val="Header"/>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6E99" w14:textId="54B02490" w:rsidR="00BC06EC" w:rsidRDefault="00BC06EC" w:rsidP="00DA14B2">
    <w:pPr>
      <w:keepNext/>
      <w:keepLines/>
      <w:pBdr>
        <w:bottom w:val="single" w:sz="4" w:space="2" w:color="63A537" w:themeColor="accent2"/>
      </w:pBdr>
      <w:spacing w:after="0" w:line="240" w:lineRule="auto"/>
      <w:jc w:val="right"/>
      <w:outlineLvl w:val="0"/>
      <w:rPr>
        <w:rFonts w:eastAsiaTheme="majorEastAsia"/>
        <w:szCs w:val="24"/>
      </w:rPr>
    </w:pPr>
    <w:bookmarkStart w:id="1" w:name="_Toc124404956"/>
    <w:r>
      <w:t xml:space="preserve">                                                                                                            </w:t>
    </w:r>
    <w:r w:rsidR="00EE7074">
      <w:rPr>
        <w:rFonts w:eastAsiaTheme="majorEastAsia"/>
        <w:szCs w:val="24"/>
      </w:rPr>
      <w:t>Pirkimo</w:t>
    </w:r>
    <w:r>
      <w:rPr>
        <w:rFonts w:eastAsiaTheme="majorEastAsia"/>
        <w:szCs w:val="24"/>
      </w:rPr>
      <w:t xml:space="preserve"> sąlygų</w:t>
    </w:r>
  </w:p>
  <w:p w14:paraId="1F05D7E0" w14:textId="48B4D811" w:rsidR="00BC06EC" w:rsidRPr="00DA14B2" w:rsidRDefault="00BC06EC" w:rsidP="00DA14B2">
    <w:pPr>
      <w:keepNext/>
      <w:keepLines/>
      <w:pBdr>
        <w:bottom w:val="single" w:sz="4" w:space="2" w:color="63A537" w:themeColor="accent2"/>
      </w:pBdr>
      <w:spacing w:after="0" w:line="240" w:lineRule="auto"/>
      <w:jc w:val="right"/>
      <w:outlineLvl w:val="0"/>
    </w:pPr>
    <w:r w:rsidRPr="00A151FE">
      <w:rPr>
        <w:rFonts w:eastAsiaTheme="majorEastAsia"/>
        <w:szCs w:val="24"/>
      </w:rPr>
      <w:t xml:space="preserve"> </w:t>
    </w:r>
    <w:bookmarkEnd w:id="1"/>
    <w:r w:rsidRPr="00E06533">
      <w:t>4 priedas</w:t>
    </w:r>
    <w:r>
      <w:t xml:space="preserve"> </w:t>
    </w:r>
  </w:p>
  <w:p w14:paraId="04FB88EB" w14:textId="3E375C41" w:rsidR="00E06533" w:rsidRPr="00E06533" w:rsidRDefault="00E06533" w:rsidP="00E06533">
    <w:pPr>
      <w:pStyle w:val="Header"/>
    </w:pPr>
  </w:p>
  <w:p w14:paraId="30B4885A" w14:textId="7BD6639A" w:rsidR="00E06533" w:rsidRDefault="00E06533" w:rsidP="00E06533">
    <w:pPr>
      <w:pStyle w:val="Header"/>
    </w:pPr>
    <w:r w:rsidRPr="00E06533">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066E1"/>
    <w:multiLevelType w:val="multilevel"/>
    <w:tmpl w:val="692E78F0"/>
    <w:lvl w:ilvl="0">
      <w:start w:val="1"/>
      <w:numFmt w:val="none"/>
      <w:pStyle w:val="Antrat11"/>
      <w:suff w:val="nothing"/>
      <w:lvlText w:val="%1"/>
      <w:lvlJc w:val="left"/>
      <w:pPr>
        <w:ind w:left="0" w:firstLine="0"/>
      </w:pPr>
      <w:rPr>
        <w:rFonts w:hint="default"/>
      </w:rPr>
    </w:lvl>
    <w:lvl w:ilvl="1">
      <w:start w:val="1"/>
      <w:numFmt w:val="decimal"/>
      <w:pStyle w:val="Antrat21"/>
      <w:lvlText w:val="%1%2."/>
      <w:lvlJc w:val="left"/>
      <w:pPr>
        <w:ind w:left="576" w:hanging="576"/>
      </w:pPr>
      <w:rPr>
        <w:rFonts w:ascii="Times New Roman" w:hAnsi="Times New Roman" w:hint="default"/>
        <w:b w:val="0"/>
        <w:i w:val="0"/>
        <w:sz w:val="24"/>
      </w:rPr>
    </w:lvl>
    <w:lvl w:ilvl="2">
      <w:start w:val="1"/>
      <w:numFmt w:val="decimal"/>
      <w:pStyle w:val="Antrat31"/>
      <w:lvlText w:val="%1%2.%3."/>
      <w:lvlJc w:val="left"/>
      <w:pPr>
        <w:ind w:left="578" w:hanging="578"/>
      </w:pPr>
      <w:rPr>
        <w:rFonts w:hint="default"/>
      </w:rPr>
    </w:lvl>
    <w:lvl w:ilvl="3">
      <w:start w:val="1"/>
      <w:numFmt w:val="decimal"/>
      <w:pStyle w:val="Antrat41"/>
      <w:lvlText w:val="%1%2.%3.%4."/>
      <w:lvlJc w:val="left"/>
      <w:pPr>
        <w:ind w:left="864" w:hanging="864"/>
      </w:pPr>
      <w:rPr>
        <w:rFonts w:hint="default"/>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1" w15:restartNumberingAfterBreak="0">
    <w:nsid w:val="58FE5F05"/>
    <w:multiLevelType w:val="hybridMultilevel"/>
    <w:tmpl w:val="948C2AF2"/>
    <w:lvl w:ilvl="0" w:tplc="12AA55B0">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B9533F"/>
    <w:multiLevelType w:val="hybridMultilevel"/>
    <w:tmpl w:val="C64A9C70"/>
    <w:lvl w:ilvl="0" w:tplc="30BE478A">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num w:numId="1" w16cid:durableId="1473057409">
    <w:abstractNumId w:val="1"/>
  </w:num>
  <w:num w:numId="2" w16cid:durableId="1212962384">
    <w:abstractNumId w:val="0"/>
  </w:num>
  <w:num w:numId="3" w16cid:durableId="106583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81"/>
    <w:rsid w:val="00010502"/>
    <w:rsid w:val="00012E60"/>
    <w:rsid w:val="000131B7"/>
    <w:rsid w:val="00032E2F"/>
    <w:rsid w:val="0004235E"/>
    <w:rsid w:val="000517FD"/>
    <w:rsid w:val="00080C56"/>
    <w:rsid w:val="00094538"/>
    <w:rsid w:val="0009497F"/>
    <w:rsid w:val="000A18CA"/>
    <w:rsid w:val="000B0989"/>
    <w:rsid w:val="000B221C"/>
    <w:rsid w:val="000E150D"/>
    <w:rsid w:val="000E451E"/>
    <w:rsid w:val="000E554A"/>
    <w:rsid w:val="000F71A7"/>
    <w:rsid w:val="00111C81"/>
    <w:rsid w:val="00125EB0"/>
    <w:rsid w:val="00136DBC"/>
    <w:rsid w:val="001376FC"/>
    <w:rsid w:val="001620BD"/>
    <w:rsid w:val="00184F15"/>
    <w:rsid w:val="001A102D"/>
    <w:rsid w:val="001A1939"/>
    <w:rsid w:val="001A64D9"/>
    <w:rsid w:val="001C15C5"/>
    <w:rsid w:val="001D6700"/>
    <w:rsid w:val="00234908"/>
    <w:rsid w:val="00246C1A"/>
    <w:rsid w:val="00262DFD"/>
    <w:rsid w:val="002957EA"/>
    <w:rsid w:val="002E490C"/>
    <w:rsid w:val="00310B32"/>
    <w:rsid w:val="0039731E"/>
    <w:rsid w:val="003A00CA"/>
    <w:rsid w:val="003C4076"/>
    <w:rsid w:val="003D1C27"/>
    <w:rsid w:val="003E2CE4"/>
    <w:rsid w:val="003E541D"/>
    <w:rsid w:val="003F187E"/>
    <w:rsid w:val="004245FC"/>
    <w:rsid w:val="00431FB9"/>
    <w:rsid w:val="00435BFC"/>
    <w:rsid w:val="00462AAC"/>
    <w:rsid w:val="00467CB8"/>
    <w:rsid w:val="00471B88"/>
    <w:rsid w:val="00487B4A"/>
    <w:rsid w:val="004B50F0"/>
    <w:rsid w:val="004F42D4"/>
    <w:rsid w:val="00500283"/>
    <w:rsid w:val="0055776A"/>
    <w:rsid w:val="00563116"/>
    <w:rsid w:val="00570110"/>
    <w:rsid w:val="00581DA7"/>
    <w:rsid w:val="00587E29"/>
    <w:rsid w:val="005E2B5C"/>
    <w:rsid w:val="006046B2"/>
    <w:rsid w:val="00653D7A"/>
    <w:rsid w:val="00660844"/>
    <w:rsid w:val="00673087"/>
    <w:rsid w:val="00675D3E"/>
    <w:rsid w:val="006A2EC7"/>
    <w:rsid w:val="006C5351"/>
    <w:rsid w:val="006C5417"/>
    <w:rsid w:val="006E7AB6"/>
    <w:rsid w:val="00706FF2"/>
    <w:rsid w:val="00730B21"/>
    <w:rsid w:val="007D3011"/>
    <w:rsid w:val="008810D5"/>
    <w:rsid w:val="008905B8"/>
    <w:rsid w:val="00890AB6"/>
    <w:rsid w:val="008B44B3"/>
    <w:rsid w:val="008C56ED"/>
    <w:rsid w:val="008D775E"/>
    <w:rsid w:val="008E41D7"/>
    <w:rsid w:val="00903C89"/>
    <w:rsid w:val="009473D0"/>
    <w:rsid w:val="00984B3E"/>
    <w:rsid w:val="009851EA"/>
    <w:rsid w:val="009920A8"/>
    <w:rsid w:val="009A6367"/>
    <w:rsid w:val="009B1AAE"/>
    <w:rsid w:val="009F77DA"/>
    <w:rsid w:val="00A227F1"/>
    <w:rsid w:val="00A4232E"/>
    <w:rsid w:val="00A4645A"/>
    <w:rsid w:val="00A7022C"/>
    <w:rsid w:val="00A72289"/>
    <w:rsid w:val="00A72533"/>
    <w:rsid w:val="00A73BB5"/>
    <w:rsid w:val="00A7605B"/>
    <w:rsid w:val="00A93723"/>
    <w:rsid w:val="00AC6443"/>
    <w:rsid w:val="00AD2423"/>
    <w:rsid w:val="00AE31BC"/>
    <w:rsid w:val="00B260BF"/>
    <w:rsid w:val="00B578AE"/>
    <w:rsid w:val="00B81663"/>
    <w:rsid w:val="00B86590"/>
    <w:rsid w:val="00BA6B3E"/>
    <w:rsid w:val="00BC06EC"/>
    <w:rsid w:val="00BD414A"/>
    <w:rsid w:val="00C04451"/>
    <w:rsid w:val="00C13893"/>
    <w:rsid w:val="00C60483"/>
    <w:rsid w:val="00C72A9E"/>
    <w:rsid w:val="00C919C8"/>
    <w:rsid w:val="00CB3E37"/>
    <w:rsid w:val="00CE5DDD"/>
    <w:rsid w:val="00D06AA9"/>
    <w:rsid w:val="00D11245"/>
    <w:rsid w:val="00D7389D"/>
    <w:rsid w:val="00D86104"/>
    <w:rsid w:val="00DA14B2"/>
    <w:rsid w:val="00DA3C5F"/>
    <w:rsid w:val="00DD6329"/>
    <w:rsid w:val="00DF7341"/>
    <w:rsid w:val="00E00040"/>
    <w:rsid w:val="00E045AD"/>
    <w:rsid w:val="00E06533"/>
    <w:rsid w:val="00E21287"/>
    <w:rsid w:val="00E273A7"/>
    <w:rsid w:val="00E35E92"/>
    <w:rsid w:val="00E52B8F"/>
    <w:rsid w:val="00E64CDC"/>
    <w:rsid w:val="00E751AD"/>
    <w:rsid w:val="00ED1C2F"/>
    <w:rsid w:val="00ED2176"/>
    <w:rsid w:val="00EE7074"/>
    <w:rsid w:val="00EF2DF7"/>
    <w:rsid w:val="00F02C19"/>
    <w:rsid w:val="00F07054"/>
    <w:rsid w:val="00FB5D1A"/>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3625"/>
  <w15:chartTrackingRefBased/>
  <w15:docId w15:val="{5FED2EF8-D953-457C-B979-02F9FAB4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F1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2DF7"/>
    <w:rPr>
      <w:sz w:val="16"/>
      <w:szCs w:val="16"/>
    </w:rPr>
  </w:style>
  <w:style w:type="paragraph" w:styleId="CommentText">
    <w:name w:val="annotation text"/>
    <w:basedOn w:val="Normal"/>
    <w:link w:val="CommentTextChar"/>
    <w:uiPriority w:val="99"/>
    <w:unhideWhenUsed/>
    <w:rsid w:val="00EF2DF7"/>
    <w:pPr>
      <w:spacing w:line="240" w:lineRule="auto"/>
    </w:pPr>
    <w:rPr>
      <w:sz w:val="20"/>
      <w:szCs w:val="20"/>
    </w:rPr>
  </w:style>
  <w:style w:type="character" w:customStyle="1" w:styleId="CommentTextChar">
    <w:name w:val="Comment Text Char"/>
    <w:basedOn w:val="DefaultParagraphFont"/>
    <w:link w:val="CommentText"/>
    <w:uiPriority w:val="99"/>
    <w:rsid w:val="00EF2DF7"/>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F2DF7"/>
    <w:rPr>
      <w:b/>
      <w:bCs/>
    </w:rPr>
  </w:style>
  <w:style w:type="character" w:customStyle="1" w:styleId="CommentSubjectChar">
    <w:name w:val="Comment Subject Char"/>
    <w:basedOn w:val="CommentTextChar"/>
    <w:link w:val="CommentSubject"/>
    <w:uiPriority w:val="99"/>
    <w:semiHidden/>
    <w:rsid w:val="00EF2DF7"/>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EF2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DF7"/>
    <w:rPr>
      <w:rFonts w:ascii="Segoe UI" w:eastAsia="Calibri" w:hAnsi="Segoe UI" w:cs="Segoe UI"/>
      <w:sz w:val="18"/>
      <w:szCs w:val="18"/>
      <w:lang w:val="lt-LT"/>
    </w:rPr>
  </w:style>
  <w:style w:type="paragraph" w:styleId="FootnoteText">
    <w:name w:val="footnote text"/>
    <w:basedOn w:val="Normal"/>
    <w:link w:val="FootnoteTextChar"/>
    <w:uiPriority w:val="99"/>
    <w:semiHidden/>
    <w:unhideWhenUsed/>
    <w:rsid w:val="000E4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51E"/>
    <w:rPr>
      <w:rFonts w:ascii="Times New Roman" w:eastAsia="Calibri" w:hAnsi="Times New Roman" w:cs="Times New Roman"/>
      <w:sz w:val="20"/>
      <w:szCs w:val="20"/>
      <w:lang w:val="lt-LT"/>
    </w:rPr>
  </w:style>
  <w:style w:type="character" w:styleId="FootnoteReference">
    <w:name w:val="footnote reference"/>
    <w:basedOn w:val="DefaultParagraphFont"/>
    <w:rsid w:val="000E451E"/>
    <w:rPr>
      <w:position w:val="0"/>
      <w:vertAlign w:val="superscript"/>
    </w:rPr>
  </w:style>
  <w:style w:type="paragraph" w:styleId="Revision">
    <w:name w:val="Revision"/>
    <w:hidden/>
    <w:uiPriority w:val="99"/>
    <w:semiHidden/>
    <w:rsid w:val="007D3011"/>
    <w:pPr>
      <w:spacing w:after="0" w:line="240" w:lineRule="auto"/>
    </w:pPr>
    <w:rPr>
      <w:rFonts w:ascii="Times New Roman" w:eastAsia="Calibri" w:hAnsi="Times New Roman" w:cs="Times New Roman"/>
      <w:sz w:val="24"/>
      <w:lang w:val="lt-LT"/>
    </w:rPr>
  </w:style>
  <w:style w:type="paragraph" w:styleId="Header">
    <w:name w:val="header"/>
    <w:basedOn w:val="Normal"/>
    <w:link w:val="HeaderChar"/>
    <w:uiPriority w:val="99"/>
    <w:unhideWhenUsed/>
    <w:rsid w:val="006C5351"/>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6C5351"/>
    <w:rPr>
      <w:rFonts w:ascii="Times New Roman" w:eastAsia="Calibri" w:hAnsi="Times New Roman" w:cs="Times New Roman"/>
      <w:sz w:val="24"/>
      <w:lang w:val="lt-LT"/>
    </w:rPr>
  </w:style>
  <w:style w:type="paragraph" w:styleId="Footer">
    <w:name w:val="footer"/>
    <w:basedOn w:val="Normal"/>
    <w:link w:val="FooterChar"/>
    <w:uiPriority w:val="99"/>
    <w:unhideWhenUsed/>
    <w:rsid w:val="006C53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5351"/>
    <w:rPr>
      <w:rFonts w:ascii="Times New Roman" w:eastAsia="Calibri" w:hAnsi="Times New Roman" w:cs="Times New Roman"/>
      <w:sz w:val="24"/>
      <w:lang w:val="lt-LT"/>
    </w:rPr>
  </w:style>
  <w:style w:type="paragraph" w:styleId="ListParagraph">
    <w:name w:val="List Paragraph"/>
    <w:aliases w:val="ERP-List Paragraph,List Paragraph1,List Paragraph11,lp1,Bullet 1,Use Case List Paragraph,normal,NRD_Numbering,NRD_antraste_2,List Paragraph 1,List Paragraph Red,Buletai,Bullet EY,List Paragraph21,List Paragraph2,Numbering,Lentele"/>
    <w:basedOn w:val="Normal"/>
    <w:link w:val="ListParagraphChar"/>
    <w:uiPriority w:val="34"/>
    <w:qFormat/>
    <w:rsid w:val="006C5351"/>
    <w:pPr>
      <w:ind w:left="720"/>
      <w:contextualSpacing/>
    </w:pPr>
  </w:style>
  <w:style w:type="character" w:styleId="PlaceholderText">
    <w:name w:val="Placeholder Text"/>
    <w:basedOn w:val="DefaultParagraphFont"/>
    <w:uiPriority w:val="99"/>
    <w:semiHidden/>
    <w:qFormat/>
    <w:rsid w:val="001620BD"/>
    <w:rPr>
      <w:color w:val="808080"/>
    </w:rPr>
  </w:style>
  <w:style w:type="character" w:customStyle="1" w:styleId="Style1">
    <w:name w:val="Style1"/>
    <w:basedOn w:val="DefaultParagraphFont"/>
    <w:uiPriority w:val="1"/>
    <w:rsid w:val="001620BD"/>
    <w:rPr>
      <w:rFonts w:ascii="Times New Roman Bold" w:hAnsi="Times New Roman Bold"/>
      <w:b/>
      <w:sz w:val="24"/>
    </w:rPr>
  </w:style>
  <w:style w:type="table" w:styleId="TableGrid">
    <w:name w:val="Table Grid"/>
    <w:basedOn w:val="TableNormal"/>
    <w:uiPriority w:val="39"/>
    <w:rsid w:val="001A6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02C19"/>
    <w:rPr>
      <w:rFonts w:ascii="Cambria" w:hAnsi="Cambria"/>
      <w:color w:val="auto"/>
      <w:sz w:val="24"/>
    </w:rPr>
  </w:style>
  <w:style w:type="character" w:customStyle="1" w:styleId="Style2">
    <w:name w:val="Style2"/>
    <w:basedOn w:val="DefaultParagraphFont"/>
    <w:uiPriority w:val="1"/>
    <w:rsid w:val="006A2EC7"/>
    <w:rPr>
      <w:rFonts w:ascii="Cambria" w:hAnsi="Cambria"/>
      <w:b w:val="0"/>
      <w:i w:val="0"/>
      <w:color w:val="auto"/>
      <w:sz w:val="24"/>
    </w:rPr>
  </w:style>
  <w:style w:type="character" w:customStyle="1" w:styleId="Style7">
    <w:name w:val="Style7"/>
    <w:basedOn w:val="DefaultParagraphFont"/>
    <w:uiPriority w:val="1"/>
    <w:rsid w:val="0004235E"/>
    <w:rPr>
      <w:rFonts w:ascii="Cambria" w:hAnsi="Cambria"/>
      <w:b w:val="0"/>
      <w:i w:val="0"/>
      <w:color w:val="auto"/>
      <w:sz w:val="24"/>
    </w:rPr>
  </w:style>
  <w:style w:type="character" w:customStyle="1" w:styleId="Style4">
    <w:name w:val="Style4"/>
    <w:basedOn w:val="DefaultParagraphFont"/>
    <w:uiPriority w:val="1"/>
    <w:rsid w:val="0004235E"/>
    <w:rPr>
      <w:rFonts w:ascii="Cambria" w:hAnsi="Cambria"/>
      <w:i/>
      <w:color w:val="auto"/>
      <w:sz w:val="16"/>
    </w:rPr>
  </w:style>
  <w:style w:type="character" w:customStyle="1" w:styleId="ListParagraphChar">
    <w:name w:val="List Paragraph Char"/>
    <w:aliases w:val="ERP-List Paragraph Char,List Paragraph1 Char,List Paragraph11 Char,lp1 Char,Bullet 1 Char,Use Case List Paragraph Char,normal Char,NRD_Numbering Char,NRD_antraste_2 Char,List Paragraph 1 Char,List Paragraph Red Char,Buletai Char"/>
    <w:basedOn w:val="DefaultParagraphFont"/>
    <w:link w:val="ListParagraph"/>
    <w:uiPriority w:val="34"/>
    <w:qFormat/>
    <w:rsid w:val="009B1AAE"/>
    <w:rPr>
      <w:rFonts w:ascii="Times New Roman" w:eastAsia="Calibri" w:hAnsi="Times New Roman" w:cs="Times New Roman"/>
      <w:sz w:val="24"/>
      <w:lang w:val="lt-LT"/>
    </w:rPr>
  </w:style>
  <w:style w:type="paragraph" w:customStyle="1" w:styleId="Antrat11">
    <w:name w:val="Antraštė 11"/>
    <w:basedOn w:val="Normal"/>
    <w:autoRedefine/>
    <w:qFormat/>
    <w:rsid w:val="009B1AAE"/>
    <w:pPr>
      <w:numPr>
        <w:numId w:val="2"/>
      </w:numPr>
      <w:spacing w:after="240" w:line="252" w:lineRule="auto"/>
      <w:jc w:val="center"/>
    </w:pPr>
    <w:rPr>
      <w:rFonts w:ascii="cam" w:eastAsia="Times New Roman" w:hAnsi="cam"/>
      <w:b/>
      <w:caps/>
      <w:sz w:val="28"/>
      <w:szCs w:val="24"/>
    </w:rPr>
  </w:style>
  <w:style w:type="paragraph" w:customStyle="1" w:styleId="Antrat21">
    <w:name w:val="Antraštė 21"/>
    <w:basedOn w:val="Normal"/>
    <w:autoRedefine/>
    <w:qFormat/>
    <w:rsid w:val="009B1AAE"/>
    <w:pPr>
      <w:numPr>
        <w:ilvl w:val="1"/>
        <w:numId w:val="2"/>
      </w:numPr>
      <w:spacing w:after="0"/>
      <w:jc w:val="both"/>
    </w:pPr>
    <w:rPr>
      <w:rFonts w:ascii="cam" w:eastAsia="Times New Roman" w:hAnsi="cam"/>
      <w:szCs w:val="24"/>
    </w:rPr>
  </w:style>
  <w:style w:type="paragraph" w:customStyle="1" w:styleId="Antrat31">
    <w:name w:val="Antraštė 31"/>
    <w:basedOn w:val="Normal"/>
    <w:autoRedefine/>
    <w:qFormat/>
    <w:rsid w:val="009B1AAE"/>
    <w:pPr>
      <w:numPr>
        <w:ilvl w:val="2"/>
        <w:numId w:val="2"/>
      </w:numPr>
      <w:spacing w:after="0"/>
      <w:jc w:val="both"/>
    </w:pPr>
    <w:rPr>
      <w:rFonts w:ascii="cam" w:eastAsia="Times New Roman" w:hAnsi="cam"/>
      <w:szCs w:val="24"/>
    </w:rPr>
  </w:style>
  <w:style w:type="paragraph" w:customStyle="1" w:styleId="Antrat41">
    <w:name w:val="Antraštė 41"/>
    <w:basedOn w:val="Normal"/>
    <w:autoRedefine/>
    <w:qFormat/>
    <w:rsid w:val="009B1AAE"/>
    <w:pPr>
      <w:numPr>
        <w:ilvl w:val="3"/>
        <w:numId w:val="2"/>
      </w:numPr>
      <w:spacing w:after="0"/>
      <w:jc w:val="both"/>
    </w:pPr>
    <w:rPr>
      <w:rFonts w:ascii="cam" w:eastAsia="Times New Roman" w:hAnsi="cam"/>
      <w:szCs w:val="24"/>
    </w:rPr>
  </w:style>
  <w:style w:type="paragraph" w:customStyle="1" w:styleId="Antrat51">
    <w:name w:val="Antraštė 51"/>
    <w:basedOn w:val="Normal"/>
    <w:rsid w:val="009B1AAE"/>
    <w:pPr>
      <w:numPr>
        <w:ilvl w:val="4"/>
        <w:numId w:val="2"/>
      </w:numPr>
      <w:spacing w:after="0" w:line="240" w:lineRule="auto"/>
    </w:pPr>
    <w:rPr>
      <w:rFonts w:eastAsia="Times New Roman"/>
      <w:szCs w:val="24"/>
    </w:rPr>
  </w:style>
  <w:style w:type="paragraph" w:customStyle="1" w:styleId="Antrat61">
    <w:name w:val="Antraštė 61"/>
    <w:basedOn w:val="Normal"/>
    <w:rsid w:val="009B1AAE"/>
    <w:pPr>
      <w:numPr>
        <w:ilvl w:val="5"/>
        <w:numId w:val="2"/>
      </w:numPr>
      <w:spacing w:after="0" w:line="240" w:lineRule="auto"/>
    </w:pPr>
    <w:rPr>
      <w:rFonts w:eastAsia="Times New Roman"/>
      <w:szCs w:val="24"/>
    </w:rPr>
  </w:style>
  <w:style w:type="paragraph" w:customStyle="1" w:styleId="Antrat71">
    <w:name w:val="Antraštė 71"/>
    <w:basedOn w:val="Normal"/>
    <w:rsid w:val="009B1AAE"/>
    <w:pPr>
      <w:numPr>
        <w:ilvl w:val="6"/>
        <w:numId w:val="2"/>
      </w:numPr>
      <w:spacing w:after="0" w:line="240" w:lineRule="auto"/>
    </w:pPr>
    <w:rPr>
      <w:rFonts w:eastAsia="Times New Roman"/>
      <w:szCs w:val="24"/>
    </w:rPr>
  </w:style>
  <w:style w:type="paragraph" w:customStyle="1" w:styleId="Antrat81">
    <w:name w:val="Antraštė 81"/>
    <w:basedOn w:val="Normal"/>
    <w:rsid w:val="009B1AAE"/>
    <w:pPr>
      <w:numPr>
        <w:ilvl w:val="7"/>
        <w:numId w:val="2"/>
      </w:numPr>
      <w:spacing w:after="0" w:line="240" w:lineRule="auto"/>
    </w:pPr>
    <w:rPr>
      <w:rFonts w:eastAsia="Times New Roman"/>
      <w:szCs w:val="24"/>
    </w:rPr>
  </w:style>
  <w:style w:type="paragraph" w:customStyle="1" w:styleId="Antrat91">
    <w:name w:val="Antraštė 91"/>
    <w:basedOn w:val="Normal"/>
    <w:rsid w:val="009B1AAE"/>
    <w:pPr>
      <w:numPr>
        <w:ilvl w:val="8"/>
        <w:numId w:val="2"/>
      </w:numPr>
      <w:spacing w:after="0"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36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03F9B-5E98-48A0-A637-8E963AA8086A}">
  <ds:schemaRefs>
    <ds:schemaRef ds:uri="http://schemas.openxmlformats.org/officeDocument/2006/bibliography"/>
  </ds:schemaRefs>
</ds:datastoreItem>
</file>

<file path=customXml/itemProps2.xml><?xml version="1.0" encoding="utf-8"?>
<ds:datastoreItem xmlns:ds="http://schemas.openxmlformats.org/officeDocument/2006/customXml" ds:itemID="{F8536F07-C930-42F3-8332-6A3CE3218FE0}"/>
</file>

<file path=customXml/itemProps3.xml><?xml version="1.0" encoding="utf-8"?>
<ds:datastoreItem xmlns:ds="http://schemas.openxmlformats.org/officeDocument/2006/customXml" ds:itemID="{39B0DCCD-EB56-492B-89FF-13C9EC195663}">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AB3C09ED-4A7D-4EEF-8906-D2C7FD920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1443</Words>
  <Characters>824</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URM</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Jakubauskas</dc:creator>
  <cp:lastModifiedBy>Artūras Jakubauskas</cp:lastModifiedBy>
  <cp:revision>7</cp:revision>
  <dcterms:created xsi:type="dcterms:W3CDTF">2024-07-30T11:59:00Z</dcterms:created>
  <dcterms:modified xsi:type="dcterms:W3CDTF">2025-09-23T06:30:00Z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Order">
    <vt:r8>11207200</vt:r8>
  </property>
  <property fmtid="{D5CDD505-2E9C-101B-9397-08002B2CF9AE}" pid="6" name="docLang">
    <vt:lpwstr>lt</vt:lpwstr>
  </property>
</Properties>
</file>