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DF85C" w14:textId="0E064B46" w:rsidR="00ED7E80" w:rsidRPr="00D86516" w:rsidRDefault="00ED7E80" w:rsidP="00ED7E80">
      <w:pPr>
        <w:pStyle w:val="ListParagraph"/>
        <w:spacing w:after="0" w:line="240" w:lineRule="auto"/>
        <w:ind w:left="0"/>
        <w:jc w:val="both"/>
        <w:rPr>
          <w:rFonts w:eastAsia="Times New Roman" w:cstheme="minorHAnsi"/>
          <w:b/>
          <w:color w:val="000000" w:themeColor="text1"/>
          <w:spacing w:val="-8"/>
          <w:sz w:val="22"/>
          <w:szCs w:val="22"/>
          <w:lang w:eastAsia="en-US"/>
        </w:rPr>
      </w:pPr>
    </w:p>
    <w:tbl>
      <w:tblPr>
        <w:tblpPr w:leftFromText="180" w:rightFromText="180" w:bottomFromText="155" w:vertAnchor="text" w:tblpX="-577"/>
        <w:tblW w:w="5337" w:type="pct"/>
        <w:tblLayout w:type="fixed"/>
        <w:tblCellMar>
          <w:left w:w="0" w:type="dxa"/>
          <w:right w:w="0" w:type="dxa"/>
        </w:tblCellMar>
        <w:tblLook w:val="04A0" w:firstRow="1" w:lastRow="0" w:firstColumn="1" w:lastColumn="0" w:noHBand="0" w:noVBand="1"/>
      </w:tblPr>
      <w:tblGrid>
        <w:gridCol w:w="1046"/>
        <w:gridCol w:w="4418"/>
        <w:gridCol w:w="4802"/>
      </w:tblGrid>
      <w:tr w:rsidR="00ED7E80" w:rsidRPr="00D86516" w14:paraId="0C13E418" w14:textId="77777777" w:rsidTr="00D86516">
        <w:tc>
          <w:tcPr>
            <w:tcW w:w="509" w:type="pct"/>
            <w:tcBorders>
              <w:top w:val="single" w:sz="8" w:space="0" w:color="000000" w:themeColor="text1"/>
              <w:left w:val="single" w:sz="8" w:space="0" w:color="000000" w:themeColor="text1"/>
              <w:bottom w:val="single" w:sz="8" w:space="0" w:color="000000" w:themeColor="text1"/>
              <w:right w:val="nil"/>
            </w:tcBorders>
            <w:tcMar>
              <w:top w:w="0" w:type="dxa"/>
              <w:left w:w="108" w:type="dxa"/>
              <w:bottom w:w="0" w:type="dxa"/>
              <w:right w:w="108" w:type="dxa"/>
            </w:tcMar>
            <w:vAlign w:val="center"/>
            <w:hideMark/>
          </w:tcPr>
          <w:p w14:paraId="49DDB5B7" w14:textId="77777777" w:rsidR="00ED7E80" w:rsidRPr="00D86516" w:rsidRDefault="00ED7E80" w:rsidP="00B2566E">
            <w:pPr>
              <w:spacing w:after="0" w:line="240" w:lineRule="auto"/>
              <w:ind w:right="-107"/>
              <w:rPr>
                <w:rFonts w:eastAsia="Calibri" w:cstheme="minorHAnsi"/>
                <w:b/>
                <w:bCs/>
                <w:sz w:val="22"/>
                <w:szCs w:val="22"/>
              </w:rPr>
            </w:pPr>
            <w:r w:rsidRPr="00D86516">
              <w:rPr>
                <w:rFonts w:eastAsia="Calibri" w:cstheme="minorHAnsi"/>
                <w:b/>
                <w:bCs/>
                <w:sz w:val="22"/>
                <w:szCs w:val="22"/>
              </w:rPr>
              <w:t>Nr.</w:t>
            </w:r>
          </w:p>
        </w:tc>
        <w:tc>
          <w:tcPr>
            <w:tcW w:w="2152" w:type="pct"/>
            <w:tcBorders>
              <w:top w:val="single" w:sz="8" w:space="0" w:color="000000" w:themeColor="text1"/>
              <w:left w:val="single" w:sz="8" w:space="0" w:color="000000" w:themeColor="text1"/>
              <w:bottom w:val="single" w:sz="8" w:space="0" w:color="000000" w:themeColor="text1"/>
              <w:right w:val="nil"/>
            </w:tcBorders>
            <w:tcMar>
              <w:top w:w="0" w:type="dxa"/>
              <w:left w:w="108" w:type="dxa"/>
              <w:bottom w:w="0" w:type="dxa"/>
              <w:right w:w="108" w:type="dxa"/>
            </w:tcMar>
            <w:vAlign w:val="center"/>
            <w:hideMark/>
          </w:tcPr>
          <w:p w14:paraId="59911495" w14:textId="77777777" w:rsidR="00ED7E80" w:rsidRPr="00D86516" w:rsidRDefault="00ED7E80" w:rsidP="00B2566E">
            <w:pPr>
              <w:spacing w:after="0" w:line="240" w:lineRule="auto"/>
              <w:jc w:val="center"/>
              <w:rPr>
                <w:rFonts w:eastAsia="Calibri" w:cstheme="minorHAnsi"/>
                <w:b/>
                <w:bCs/>
                <w:sz w:val="22"/>
                <w:szCs w:val="22"/>
              </w:rPr>
            </w:pPr>
            <w:r w:rsidRPr="00D86516">
              <w:rPr>
                <w:rFonts w:eastAsia="Calibri" w:cstheme="minorHAnsi"/>
                <w:b/>
                <w:bCs/>
                <w:sz w:val="22"/>
                <w:szCs w:val="22"/>
              </w:rPr>
              <w:t xml:space="preserve">Kvalifikacijos reikalavimai </w:t>
            </w:r>
          </w:p>
        </w:tc>
        <w:tc>
          <w:tcPr>
            <w:tcW w:w="23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2DCF6F92" w14:textId="77777777" w:rsidR="00ED7E80" w:rsidRPr="00D86516" w:rsidRDefault="00ED7E80" w:rsidP="00B2566E">
            <w:pPr>
              <w:spacing w:after="0" w:line="240" w:lineRule="auto"/>
              <w:jc w:val="center"/>
              <w:rPr>
                <w:rFonts w:eastAsia="Calibri" w:cstheme="minorHAnsi"/>
                <w:b/>
                <w:bCs/>
                <w:sz w:val="22"/>
                <w:szCs w:val="22"/>
              </w:rPr>
            </w:pPr>
            <w:r w:rsidRPr="00D86516">
              <w:rPr>
                <w:rFonts w:eastAsia="Calibri" w:cstheme="minorHAnsi"/>
                <w:b/>
                <w:bCs/>
                <w:sz w:val="22"/>
                <w:szCs w:val="22"/>
              </w:rPr>
              <w:t xml:space="preserve">Patvirtinamieji dokumentai </w:t>
            </w:r>
          </w:p>
          <w:p w14:paraId="09F80CE8" w14:textId="50410373" w:rsidR="00ED7E80" w:rsidRPr="00D86516" w:rsidRDefault="00236570" w:rsidP="00B2566E">
            <w:pPr>
              <w:spacing w:after="0" w:line="240" w:lineRule="auto"/>
              <w:ind w:firstLine="34"/>
              <w:jc w:val="center"/>
              <w:rPr>
                <w:rFonts w:eastAsia="Calibri" w:cstheme="minorHAnsi"/>
                <w:b/>
                <w:bCs/>
                <w:sz w:val="22"/>
                <w:szCs w:val="22"/>
              </w:rPr>
            </w:pPr>
            <w:r w:rsidRPr="00414B48">
              <w:rPr>
                <w:rFonts w:eastAsia="Calibri" w:cstheme="minorHAnsi"/>
                <w:color w:val="000000" w:themeColor="text1"/>
                <w:spacing w:val="-8"/>
                <w:sz w:val="22"/>
                <w:szCs w:val="22"/>
                <w:lang w:eastAsia="en-US"/>
              </w:rPr>
              <w:t>(teikiami perkančiajai organizacijai paprašius)</w:t>
            </w:r>
          </w:p>
        </w:tc>
      </w:tr>
      <w:tr w:rsidR="00ED7E80" w:rsidRPr="00D86516" w14:paraId="2470365C" w14:textId="77777777" w:rsidTr="00D86516">
        <w:tc>
          <w:tcPr>
            <w:tcW w:w="5000" w:type="pct"/>
            <w:gridSpan w:val="3"/>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72222EF4" w14:textId="77777777" w:rsidR="00ED7E80" w:rsidRPr="00D86516" w:rsidRDefault="00ED7E80" w:rsidP="00B2566E">
            <w:pPr>
              <w:spacing w:after="120" w:line="240" w:lineRule="auto"/>
              <w:jc w:val="center"/>
              <w:rPr>
                <w:rFonts w:eastAsia="Calibri" w:cstheme="minorHAnsi"/>
                <w:b/>
                <w:bCs/>
                <w:sz w:val="22"/>
                <w:szCs w:val="22"/>
              </w:rPr>
            </w:pPr>
            <w:r w:rsidRPr="00D86516">
              <w:rPr>
                <w:rFonts w:eastAsia="Calibri" w:cstheme="minorHAnsi"/>
                <w:b/>
                <w:bCs/>
                <w:sz w:val="22"/>
                <w:szCs w:val="22"/>
              </w:rPr>
              <w:t>Techninė ir profesinė kompetencija</w:t>
            </w:r>
          </w:p>
        </w:tc>
      </w:tr>
      <w:tr w:rsidR="00ED7E80" w:rsidRPr="00D86516" w14:paraId="4D45452D" w14:textId="77777777" w:rsidTr="00D86516">
        <w:tc>
          <w:tcPr>
            <w:tcW w:w="509" w:type="pct"/>
            <w:tcBorders>
              <w:top w:val="nil"/>
              <w:left w:val="single" w:sz="8" w:space="0" w:color="000000" w:themeColor="text1"/>
              <w:bottom w:val="single" w:sz="8" w:space="0" w:color="000000" w:themeColor="text1"/>
              <w:right w:val="nil"/>
            </w:tcBorders>
            <w:tcMar>
              <w:top w:w="0" w:type="dxa"/>
              <w:left w:w="108" w:type="dxa"/>
              <w:bottom w:w="0" w:type="dxa"/>
              <w:right w:w="108" w:type="dxa"/>
            </w:tcMar>
            <w:hideMark/>
          </w:tcPr>
          <w:p w14:paraId="7FE23AAA" w14:textId="77777777" w:rsidR="00ED7E80" w:rsidRPr="00D86516" w:rsidRDefault="00ED7E80" w:rsidP="00B2566E">
            <w:pPr>
              <w:spacing w:after="0" w:line="240" w:lineRule="auto"/>
              <w:ind w:left="-118"/>
              <w:jc w:val="center"/>
              <w:rPr>
                <w:rFonts w:eastAsia="Calibri" w:cstheme="minorHAnsi"/>
                <w:sz w:val="22"/>
                <w:szCs w:val="22"/>
              </w:rPr>
            </w:pPr>
            <w:r w:rsidRPr="00D86516">
              <w:rPr>
                <w:rFonts w:eastAsia="Calibri" w:cstheme="minorHAnsi"/>
                <w:sz w:val="22"/>
                <w:szCs w:val="22"/>
              </w:rPr>
              <w:t>4.1.1</w:t>
            </w:r>
          </w:p>
        </w:tc>
        <w:tc>
          <w:tcPr>
            <w:tcW w:w="2152" w:type="pct"/>
            <w:tcBorders>
              <w:top w:val="nil"/>
              <w:left w:val="single" w:sz="8" w:space="0" w:color="000000" w:themeColor="text1"/>
              <w:bottom w:val="single" w:sz="8" w:space="0" w:color="000000" w:themeColor="text1"/>
              <w:right w:val="nil"/>
            </w:tcBorders>
            <w:tcMar>
              <w:top w:w="0" w:type="dxa"/>
              <w:left w:w="108" w:type="dxa"/>
              <w:bottom w:w="0" w:type="dxa"/>
              <w:right w:w="108" w:type="dxa"/>
            </w:tcMar>
          </w:tcPr>
          <w:p w14:paraId="24F18465" w14:textId="26F65186" w:rsidR="00ED7E80" w:rsidRPr="00D86516" w:rsidRDefault="00ED7E80" w:rsidP="00B2566E">
            <w:pPr>
              <w:snapToGrid w:val="0"/>
              <w:spacing w:after="0" w:line="240" w:lineRule="auto"/>
              <w:jc w:val="both"/>
              <w:rPr>
                <w:rFonts w:eastAsia="Calibri" w:cstheme="minorHAnsi"/>
                <w:sz w:val="22"/>
                <w:szCs w:val="22"/>
              </w:rPr>
            </w:pPr>
            <w:r w:rsidRPr="00D86516">
              <w:rPr>
                <w:rFonts w:eastAsia="Calibri" w:cstheme="minorHAnsi"/>
                <w:sz w:val="22"/>
                <w:szCs w:val="22"/>
              </w:rPr>
              <w:t xml:space="preserve">Tiekėjas  per paskutinius 3  metus ar laikotarpiu nuo tiekėjo registracijos datos (jeigu tiekėjas veiklą vykdė mažiau nei 3  metus)  iki pasiūlymų pateikimo termino pabaigos pagal vieną ar daugiau sutarčių (projektų) yra </w:t>
            </w:r>
            <w:r w:rsidR="00D86516" w:rsidRPr="00D86516">
              <w:rPr>
                <w:rFonts w:eastAsia="Calibri" w:cstheme="minorHAnsi"/>
                <w:sz w:val="22"/>
                <w:szCs w:val="22"/>
              </w:rPr>
              <w:t>tinkamai</w:t>
            </w:r>
            <w:r w:rsidR="00D86516">
              <w:rPr>
                <w:rFonts w:eastAsia="Calibri" w:cstheme="minorHAnsi"/>
                <w:sz w:val="22"/>
                <w:szCs w:val="22"/>
              </w:rPr>
              <w:t xml:space="preserve"> </w:t>
            </w:r>
            <w:r w:rsidRPr="00D86516">
              <w:rPr>
                <w:rFonts w:eastAsia="Calibri" w:cstheme="minorHAnsi"/>
                <w:sz w:val="22"/>
                <w:szCs w:val="22"/>
              </w:rPr>
              <w:t>suteikęs paslaugas:</w:t>
            </w:r>
          </w:p>
          <w:p w14:paraId="6070DB40" w14:textId="77777777" w:rsidR="00ED7E80" w:rsidRPr="00D86516" w:rsidRDefault="00ED7E80" w:rsidP="00ED7E80">
            <w:pPr>
              <w:pStyle w:val="ListParagraph"/>
              <w:numPr>
                <w:ilvl w:val="0"/>
                <w:numId w:val="2"/>
              </w:numPr>
              <w:snapToGrid w:val="0"/>
              <w:spacing w:after="0" w:line="240" w:lineRule="auto"/>
              <w:ind w:left="319" w:hanging="260"/>
              <w:jc w:val="both"/>
              <w:rPr>
                <w:rFonts w:cstheme="minorHAnsi"/>
                <w:sz w:val="22"/>
                <w:szCs w:val="22"/>
              </w:rPr>
            </w:pPr>
            <w:r w:rsidRPr="00D86516">
              <w:rPr>
                <w:rFonts w:cstheme="minorHAnsi"/>
                <w:sz w:val="22"/>
                <w:szCs w:val="22"/>
              </w:rPr>
              <w:t xml:space="preserve">kurių metu buvo vystyta (sukurta ir/arba tobulinta) </w:t>
            </w:r>
            <w:r w:rsidRPr="00D86516">
              <w:rPr>
                <w:rFonts w:cstheme="minorHAnsi"/>
                <w:i/>
                <w:sz w:val="22"/>
                <w:szCs w:val="22"/>
              </w:rPr>
              <w:t xml:space="preserve">(angl. </w:t>
            </w:r>
            <w:proofErr w:type="spellStart"/>
            <w:r w:rsidRPr="00D86516">
              <w:rPr>
                <w:rFonts w:cstheme="minorHAnsi"/>
                <w:i/>
                <w:sz w:val="22"/>
                <w:szCs w:val="22"/>
              </w:rPr>
              <w:t>Development</w:t>
            </w:r>
            <w:proofErr w:type="spellEnd"/>
            <w:r w:rsidRPr="00D86516">
              <w:rPr>
                <w:rFonts w:cstheme="minorHAnsi"/>
                <w:i/>
                <w:sz w:val="22"/>
                <w:szCs w:val="22"/>
              </w:rPr>
              <w:t>)</w:t>
            </w:r>
            <w:r w:rsidRPr="00D86516">
              <w:rPr>
                <w:rFonts w:cstheme="minorHAnsi"/>
                <w:sz w:val="22"/>
                <w:szCs w:val="22"/>
              </w:rPr>
              <w:t xml:space="preserve"> ir/ar modernizuota informacinė sistema (informacinės sistemos diegimo darbai baigti, sistema perduota gamybinei eksploatacijai),</w:t>
            </w:r>
          </w:p>
          <w:p w14:paraId="649807CE" w14:textId="02FF9F57" w:rsidR="00ED7E80" w:rsidRPr="00D86516" w:rsidRDefault="00ED7E80" w:rsidP="00ED7E80">
            <w:pPr>
              <w:pStyle w:val="ListParagraph"/>
              <w:numPr>
                <w:ilvl w:val="0"/>
                <w:numId w:val="2"/>
              </w:numPr>
              <w:snapToGrid w:val="0"/>
              <w:spacing w:after="0" w:line="240" w:lineRule="auto"/>
              <w:ind w:left="319" w:hanging="260"/>
              <w:jc w:val="both"/>
              <w:rPr>
                <w:rFonts w:cstheme="minorHAnsi"/>
                <w:sz w:val="22"/>
                <w:szCs w:val="22"/>
              </w:rPr>
            </w:pPr>
            <w:r w:rsidRPr="00D86516">
              <w:rPr>
                <w:rFonts w:cstheme="minorHAnsi"/>
                <w:sz w:val="22"/>
                <w:szCs w:val="22"/>
              </w:rPr>
              <w:t xml:space="preserve">ir kurių bendra vertė yra ne mažesnė kaip </w:t>
            </w:r>
            <w:r w:rsidR="004B1E39" w:rsidRPr="004B1E39">
              <w:rPr>
                <w:rFonts w:cstheme="minorHAnsi"/>
                <w:sz w:val="22"/>
                <w:szCs w:val="22"/>
              </w:rPr>
              <w:t>4</w:t>
            </w:r>
            <w:r w:rsidRPr="004B1E39">
              <w:rPr>
                <w:rFonts w:cstheme="minorHAnsi"/>
                <w:sz w:val="22"/>
                <w:szCs w:val="22"/>
              </w:rPr>
              <w:t>50</w:t>
            </w:r>
            <w:r w:rsidR="004B1E39">
              <w:rPr>
                <w:rFonts w:cstheme="minorHAnsi"/>
                <w:sz w:val="22"/>
                <w:szCs w:val="22"/>
              </w:rPr>
              <w:t xml:space="preserve"> </w:t>
            </w:r>
            <w:r w:rsidRPr="004B1E39">
              <w:rPr>
                <w:rFonts w:cstheme="minorHAnsi"/>
                <w:sz w:val="22"/>
                <w:szCs w:val="22"/>
              </w:rPr>
              <w:t>000,00</w:t>
            </w:r>
            <w:r w:rsidRPr="00D86516">
              <w:rPr>
                <w:rFonts w:cstheme="minorHAnsi"/>
                <w:sz w:val="22"/>
                <w:szCs w:val="22"/>
              </w:rPr>
              <w:t xml:space="preserve"> Eur </w:t>
            </w:r>
            <w:r w:rsidR="00FA3D89">
              <w:rPr>
                <w:rFonts w:cstheme="minorHAnsi"/>
                <w:sz w:val="22"/>
                <w:szCs w:val="22"/>
              </w:rPr>
              <w:t>be</w:t>
            </w:r>
            <w:r w:rsidRPr="00D86516">
              <w:rPr>
                <w:rFonts w:cstheme="minorHAnsi"/>
                <w:sz w:val="22"/>
                <w:szCs w:val="22"/>
              </w:rPr>
              <w:t xml:space="preserve"> PVM.</w:t>
            </w:r>
          </w:p>
          <w:p w14:paraId="377056B5" w14:textId="77777777" w:rsidR="00ED7E80" w:rsidRPr="00D86516" w:rsidRDefault="00ED7E80" w:rsidP="00B2566E">
            <w:pPr>
              <w:widowControl w:val="0"/>
              <w:tabs>
                <w:tab w:val="left" w:pos="1276"/>
              </w:tabs>
              <w:spacing w:after="0" w:line="240" w:lineRule="auto"/>
              <w:jc w:val="both"/>
              <w:outlineLvl w:val="1"/>
              <w:rPr>
                <w:rFonts w:eastAsia="Times New Roman" w:cstheme="minorHAnsi"/>
                <w:iCs/>
                <w:sz w:val="22"/>
                <w:szCs w:val="22"/>
                <w:lang w:eastAsia="en-US"/>
              </w:rPr>
            </w:pPr>
          </w:p>
          <w:p w14:paraId="6BBB34AB" w14:textId="77777777" w:rsidR="00ED7E80" w:rsidRPr="00D86516" w:rsidRDefault="00ED7E80" w:rsidP="00B2566E">
            <w:pPr>
              <w:widowControl w:val="0"/>
              <w:tabs>
                <w:tab w:val="left" w:pos="1276"/>
              </w:tabs>
              <w:spacing w:after="0" w:line="240" w:lineRule="auto"/>
              <w:jc w:val="both"/>
              <w:outlineLvl w:val="1"/>
              <w:rPr>
                <w:rFonts w:eastAsia="Times New Roman" w:cstheme="minorHAnsi"/>
                <w:iCs/>
                <w:sz w:val="22"/>
                <w:szCs w:val="22"/>
                <w:lang w:eastAsia="en-US"/>
              </w:rPr>
            </w:pPr>
            <w:r w:rsidRPr="00D86516">
              <w:rPr>
                <w:rFonts w:eastAsia="Times New Roman" w:cstheme="minorHAnsi"/>
                <w:iCs/>
                <w:sz w:val="22"/>
                <w:szCs w:val="22"/>
                <w:lang w:eastAsia="en-US"/>
              </w:rPr>
              <w:t>Tiekėjo kvalifikacija turi būti įgyta iki pasiūlymų pateikimo termino pabaigos. Pirkimo dokumentuose sąvokos „per paskutinius 3 metus”; “per pastaruosius 3 metus“ reiškia trejų metų laikotarpį iki pasiūlymų pateikimo termino pabaigos. Jei sutartis (projektas), kuri pradėta vykdyti anksčiau nei likus 3 metams iki pasiūlymų pateikimo termino pabaigos, bet užbaigta per vertinamus 3 metus, tokią sutartį (projektą) galima naudoti, jei ji atitinka kitus reikalavimus, kuriems pagrįsti ji pasitelkiama.</w:t>
            </w:r>
          </w:p>
          <w:p w14:paraId="07E078F0" w14:textId="77777777" w:rsidR="00ED7E80" w:rsidRPr="00D86516" w:rsidRDefault="00ED7E80" w:rsidP="00B2566E">
            <w:pPr>
              <w:snapToGrid w:val="0"/>
              <w:spacing w:after="0" w:line="240" w:lineRule="auto"/>
              <w:jc w:val="both"/>
              <w:rPr>
                <w:rFonts w:eastAsia="Calibri" w:cstheme="minorHAnsi"/>
                <w:sz w:val="22"/>
                <w:szCs w:val="22"/>
              </w:rPr>
            </w:pPr>
          </w:p>
          <w:p w14:paraId="498C498E" w14:textId="77777777" w:rsidR="00ED7E80" w:rsidRDefault="00ED7E80" w:rsidP="00B2566E">
            <w:pPr>
              <w:spacing w:after="0" w:line="240" w:lineRule="auto"/>
              <w:ind w:left="32"/>
              <w:contextualSpacing/>
              <w:jc w:val="both"/>
              <w:rPr>
                <w:rFonts w:eastAsia="Calibri" w:cstheme="minorHAnsi"/>
                <w:sz w:val="22"/>
                <w:szCs w:val="22"/>
              </w:rPr>
            </w:pPr>
            <w:r w:rsidRPr="00D86516">
              <w:rPr>
                <w:rFonts w:eastAsia="Calibri" w:cstheme="minorHAnsi"/>
                <w:sz w:val="22"/>
                <w:szCs w:val="22"/>
              </w:rPr>
              <w:t>Jeigu pasiūlymą teikia ūkio subjektų grupė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nekeliamas.</w:t>
            </w:r>
          </w:p>
          <w:p w14:paraId="0835457C" w14:textId="77777777" w:rsidR="00D86516" w:rsidRDefault="00D86516" w:rsidP="00D86516">
            <w:pPr>
              <w:spacing w:after="0" w:line="240" w:lineRule="auto"/>
              <w:ind w:left="32"/>
              <w:contextualSpacing/>
              <w:jc w:val="both"/>
              <w:rPr>
                <w:rFonts w:eastAsia="Calibri" w:cstheme="minorHAnsi"/>
                <w:sz w:val="22"/>
                <w:szCs w:val="22"/>
              </w:rPr>
            </w:pPr>
          </w:p>
          <w:p w14:paraId="25EEB989" w14:textId="56847F14" w:rsidR="00ED7E80" w:rsidRPr="00D86516" w:rsidRDefault="00ED7E80" w:rsidP="00D86516">
            <w:pPr>
              <w:spacing w:after="0" w:line="240" w:lineRule="auto"/>
              <w:ind w:left="32"/>
              <w:contextualSpacing/>
              <w:jc w:val="both"/>
              <w:rPr>
                <w:rFonts w:eastAsia="Calibri" w:cstheme="minorHAnsi"/>
                <w:sz w:val="22"/>
                <w:szCs w:val="22"/>
              </w:rPr>
            </w:pPr>
          </w:p>
        </w:tc>
        <w:tc>
          <w:tcPr>
            <w:tcW w:w="2339"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A28082B" w14:textId="77777777" w:rsidR="00D86516" w:rsidRPr="00D86516" w:rsidRDefault="00D86516" w:rsidP="00D86516">
            <w:pPr>
              <w:spacing w:after="0" w:line="240" w:lineRule="auto"/>
              <w:jc w:val="both"/>
              <w:rPr>
                <w:rFonts w:eastAsia="Calibri" w:cstheme="minorHAnsi"/>
                <w:b/>
                <w:bCs/>
                <w:sz w:val="22"/>
                <w:szCs w:val="22"/>
              </w:rPr>
            </w:pPr>
            <w:r w:rsidRPr="00D86516">
              <w:rPr>
                <w:rFonts w:eastAsia="Calibri" w:cstheme="minorHAnsi"/>
                <w:b/>
                <w:bCs/>
                <w:sz w:val="22"/>
                <w:szCs w:val="22"/>
              </w:rPr>
              <w:t>Tiekėjas, kuris pagal vertinimo rezultatus galės būti pripažintas laimėjusiu Perkančiajai organizacijai pareikalavus, turės pateikti:</w:t>
            </w:r>
          </w:p>
          <w:p w14:paraId="73768FDA" w14:textId="77777777" w:rsidR="00ED7E80" w:rsidRPr="00D86516" w:rsidRDefault="00ED7E80" w:rsidP="00B2566E">
            <w:pPr>
              <w:spacing w:after="0" w:line="240" w:lineRule="auto"/>
              <w:jc w:val="both"/>
              <w:rPr>
                <w:rFonts w:eastAsia="Calibri" w:cstheme="minorHAnsi"/>
                <w:sz w:val="22"/>
                <w:szCs w:val="22"/>
              </w:rPr>
            </w:pPr>
            <w:r w:rsidRPr="00D86516">
              <w:rPr>
                <w:rFonts w:eastAsia="Calibri" w:cstheme="minorHAnsi"/>
                <w:sz w:val="22"/>
                <w:szCs w:val="22"/>
              </w:rPr>
              <w:t>1) Tiekėjo per paskutinius 3  metus ar laikotarpiu nuo tiekėjo registracijos datos (jeigu tiekėjas veiklą vykdė mažiau nei 3  metus) suteiktų pagrindinių paslaugų sąrašas pagal  pirkimo dokumentų 6 priede  pateiktą formą.</w:t>
            </w:r>
          </w:p>
          <w:p w14:paraId="5049635E" w14:textId="280FBB1E" w:rsidR="002015E4" w:rsidRPr="002015E4" w:rsidRDefault="00ED7E80" w:rsidP="002015E4">
            <w:pPr>
              <w:spacing w:after="0" w:line="240" w:lineRule="auto"/>
              <w:jc w:val="both"/>
              <w:rPr>
                <w:rFonts w:eastAsia="Calibri" w:cstheme="minorHAnsi"/>
                <w:sz w:val="22"/>
                <w:szCs w:val="22"/>
              </w:rPr>
            </w:pPr>
            <w:r w:rsidRPr="00D86516">
              <w:rPr>
                <w:rFonts w:eastAsia="Calibri" w:cstheme="minorHAnsi"/>
                <w:sz w:val="22"/>
                <w:szCs w:val="22"/>
              </w:rPr>
              <w:t xml:space="preserve">2) </w:t>
            </w:r>
            <w:r w:rsidR="002015E4" w:rsidRPr="002015E4">
              <w:rPr>
                <w:rFonts w:ascii="Calibri" w:eastAsia="Calibri" w:hAnsi="Calibri" w:cs="Calibri"/>
                <w:color w:val="000000"/>
                <w:spacing w:val="-8"/>
                <w:sz w:val="22"/>
                <w:szCs w:val="22"/>
                <w:lang w:eastAsia="en-US"/>
              </w:rPr>
              <w:t xml:space="preserve"> </w:t>
            </w:r>
            <w:r w:rsidR="002015E4" w:rsidRPr="002015E4">
              <w:rPr>
                <w:rFonts w:eastAsia="Calibri" w:cstheme="minorHAnsi"/>
                <w:sz w:val="22"/>
                <w:szCs w:val="22"/>
              </w:rPr>
              <w:t>Tiekėjo sąraše nurodytų sutarčių</w:t>
            </w:r>
            <w:r w:rsidR="002015E4">
              <w:rPr>
                <w:rFonts w:eastAsia="Calibri" w:cstheme="minorHAnsi"/>
                <w:sz w:val="22"/>
                <w:szCs w:val="22"/>
              </w:rPr>
              <w:t xml:space="preserve"> (projektų)</w:t>
            </w:r>
            <w:r w:rsidR="002015E4" w:rsidRPr="002015E4">
              <w:rPr>
                <w:rFonts w:eastAsia="Calibri" w:cstheme="minorHAnsi"/>
                <w:sz w:val="22"/>
                <w:szCs w:val="22"/>
              </w:rPr>
              <w:t xml:space="preserve"> užsakovų pažymas apie </w:t>
            </w:r>
            <w:r w:rsidR="002015E4" w:rsidRPr="002015E4">
              <w:rPr>
                <w:rFonts w:eastAsia="Calibri" w:cstheme="minorHAnsi"/>
                <w:b/>
                <w:bCs/>
                <w:sz w:val="22"/>
                <w:szCs w:val="22"/>
              </w:rPr>
              <w:t>tinkamą</w:t>
            </w:r>
            <w:r w:rsidR="002015E4" w:rsidRPr="002015E4">
              <w:rPr>
                <w:rFonts w:eastAsia="Calibri" w:cstheme="minorHAnsi"/>
                <w:sz w:val="22"/>
                <w:szCs w:val="22"/>
              </w:rPr>
              <w:t xml:space="preserve"> sutarties įvykdymą ar kitus užsakovo ir/ar tiekėjo dokumentus, įrodančius </w:t>
            </w:r>
            <w:r w:rsidR="002015E4" w:rsidRPr="002015E4">
              <w:rPr>
                <w:rFonts w:eastAsia="Calibri" w:cstheme="minorHAnsi"/>
                <w:b/>
                <w:bCs/>
                <w:sz w:val="22"/>
                <w:szCs w:val="22"/>
              </w:rPr>
              <w:t>tinkamą</w:t>
            </w:r>
            <w:r w:rsidR="002015E4" w:rsidRPr="002015E4">
              <w:rPr>
                <w:rFonts w:eastAsia="Calibri" w:cstheme="minorHAnsi"/>
                <w:sz w:val="22"/>
                <w:szCs w:val="22"/>
              </w:rPr>
              <w:t xml:space="preserve"> sutarties įvykdymą. Tuo atveju, jei tinkamam sutarties įvykdymui pagrįsti tiekėjas pateikia ne užsakovo  dokumentus, jis kartu turi pateikti paaiškinimą, kaip tie dokumentai įrodo </w:t>
            </w:r>
            <w:r w:rsidR="002015E4" w:rsidRPr="002015E4">
              <w:rPr>
                <w:rFonts w:eastAsia="Calibri" w:cstheme="minorHAnsi"/>
                <w:b/>
                <w:bCs/>
                <w:sz w:val="22"/>
                <w:szCs w:val="22"/>
              </w:rPr>
              <w:t>tinkamą</w:t>
            </w:r>
            <w:r w:rsidR="002015E4" w:rsidRPr="002015E4">
              <w:rPr>
                <w:rFonts w:eastAsia="Calibri" w:cstheme="minorHAnsi"/>
                <w:sz w:val="22"/>
                <w:szCs w:val="22"/>
              </w:rPr>
              <w:t xml:space="preserve"> sutarties įvykdymą. </w:t>
            </w:r>
          </w:p>
          <w:p w14:paraId="2A75F36D" w14:textId="35971273" w:rsidR="002015E4" w:rsidRPr="002015E4" w:rsidRDefault="002015E4" w:rsidP="002015E4">
            <w:pPr>
              <w:spacing w:after="0" w:line="240" w:lineRule="auto"/>
              <w:jc w:val="both"/>
              <w:rPr>
                <w:rFonts w:eastAsia="Calibri" w:cstheme="minorHAnsi"/>
                <w:sz w:val="22"/>
                <w:szCs w:val="22"/>
              </w:rPr>
            </w:pPr>
            <w:r w:rsidRPr="002015E4">
              <w:rPr>
                <w:rFonts w:eastAsia="Calibri" w:cstheme="minorHAnsi"/>
                <w:sz w:val="22"/>
                <w:szCs w:val="22"/>
              </w:rPr>
              <w:t xml:space="preserve">Laikoma, kad tinkamas sutarties įvykdymas yra pagrindžiamas, jei  įrodančiuose dokumentuose (pažymose ar kt.) patvirtinama, kad tiekėjo sutartiniai įsipareigojimai buvo įvykdyti   tinkamai.   </w:t>
            </w:r>
          </w:p>
          <w:p w14:paraId="0F4EC6B0" w14:textId="0A08741E" w:rsidR="00ED7E80" w:rsidRPr="00D86516" w:rsidRDefault="00ED7E80" w:rsidP="00B2566E">
            <w:pPr>
              <w:spacing w:after="0" w:line="240" w:lineRule="auto"/>
              <w:jc w:val="both"/>
              <w:rPr>
                <w:rFonts w:eastAsia="Calibri" w:cstheme="minorHAnsi"/>
                <w:sz w:val="22"/>
                <w:szCs w:val="22"/>
              </w:rPr>
            </w:pPr>
            <w:r w:rsidRPr="00D86516">
              <w:rPr>
                <w:rFonts w:eastAsia="Calibri" w:cstheme="minorHAnsi"/>
                <w:sz w:val="22"/>
                <w:szCs w:val="22"/>
              </w:rPr>
              <w:t xml:space="preserve">3) Dokumentai patvirtinantys, kad paslaugos pagal tiekėjo nurodytas sutartis (projektus) buvo užbaigtos, </w:t>
            </w:r>
            <w:proofErr w:type="spellStart"/>
            <w:r w:rsidRPr="00D86516">
              <w:rPr>
                <w:rFonts w:eastAsia="Calibri" w:cstheme="minorHAnsi"/>
                <w:sz w:val="22"/>
                <w:szCs w:val="22"/>
              </w:rPr>
              <w:t>t.y</w:t>
            </w:r>
            <w:proofErr w:type="spellEnd"/>
            <w:r w:rsidRPr="00D86516">
              <w:rPr>
                <w:rFonts w:eastAsia="Calibri" w:cstheme="minorHAnsi"/>
                <w:sz w:val="22"/>
                <w:szCs w:val="22"/>
              </w:rPr>
              <w:t>. informacinės sistemos diegimo darbai baigti, sistema perduota gamybinei eksploatacijai. Pateikiami paslaugų priėmimo – perdavimo aktai, užsakovo pažymos ar kiti patvirtinantys dokumentai.</w:t>
            </w:r>
          </w:p>
          <w:p w14:paraId="5C28F892" w14:textId="77777777" w:rsidR="00ED7E80" w:rsidRPr="00D86516" w:rsidRDefault="00ED7E80" w:rsidP="00B2566E">
            <w:pPr>
              <w:spacing w:after="0" w:line="240" w:lineRule="auto"/>
              <w:jc w:val="both"/>
              <w:rPr>
                <w:rFonts w:eastAsia="Calibri" w:cstheme="minorHAnsi"/>
                <w:sz w:val="22"/>
                <w:szCs w:val="22"/>
              </w:rPr>
            </w:pPr>
          </w:p>
          <w:p w14:paraId="2AD4E071" w14:textId="77777777" w:rsidR="00ED7E80" w:rsidRPr="00D86516" w:rsidRDefault="00ED7E80" w:rsidP="00B2566E">
            <w:pPr>
              <w:spacing w:after="0" w:line="240" w:lineRule="auto"/>
              <w:jc w:val="both"/>
              <w:rPr>
                <w:rFonts w:eastAsia="Calibri" w:cstheme="minorHAnsi"/>
                <w:sz w:val="22"/>
                <w:szCs w:val="22"/>
              </w:rPr>
            </w:pPr>
            <w:r w:rsidRPr="00D86516">
              <w:rPr>
                <w:rFonts w:eastAsia="Calibri" w:cstheme="minorHAnsi"/>
                <w:sz w:val="22"/>
                <w:szCs w:val="22"/>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43B31C01" w14:textId="77777777" w:rsidR="00ED7E80" w:rsidRPr="00D86516" w:rsidRDefault="00ED7E80" w:rsidP="00B2566E">
            <w:pPr>
              <w:spacing w:after="0" w:line="240" w:lineRule="auto"/>
              <w:jc w:val="both"/>
              <w:rPr>
                <w:rFonts w:eastAsia="Calibri" w:cstheme="minorHAnsi"/>
                <w:sz w:val="22"/>
                <w:szCs w:val="22"/>
              </w:rPr>
            </w:pPr>
            <w:r w:rsidRPr="00D86516">
              <w:rPr>
                <w:rFonts w:eastAsia="Calibri" w:cstheme="minorHAnsi"/>
                <w:sz w:val="22"/>
                <w:szCs w:val="22"/>
              </w:rPr>
              <w:t>Perkančioji organizacija, siekdama patikslinti informaciją apie suteiktas paslaugas, pasilieka teisę be išankstinio įspėjimo susisiekti su tiekėjo nurodytu užsakovo kontaktiniu asmeniu.</w:t>
            </w:r>
          </w:p>
          <w:p w14:paraId="49461ABE" w14:textId="77777777" w:rsidR="00ED7E80" w:rsidRPr="00D86516" w:rsidRDefault="00ED7E80" w:rsidP="00B2566E">
            <w:pPr>
              <w:spacing w:after="0" w:line="240" w:lineRule="auto"/>
              <w:jc w:val="both"/>
              <w:rPr>
                <w:rFonts w:eastAsia="Calibri" w:cstheme="minorHAnsi"/>
                <w:sz w:val="22"/>
                <w:szCs w:val="22"/>
              </w:rPr>
            </w:pPr>
          </w:p>
          <w:p w14:paraId="217CD6B3" w14:textId="77777777" w:rsidR="00ED7E80" w:rsidRPr="00D86516" w:rsidRDefault="00ED7E80" w:rsidP="00B2566E">
            <w:pPr>
              <w:spacing w:after="0" w:line="240" w:lineRule="auto"/>
              <w:jc w:val="both"/>
              <w:rPr>
                <w:rFonts w:eastAsia="Calibri" w:cstheme="minorHAnsi"/>
                <w:i/>
                <w:sz w:val="22"/>
                <w:szCs w:val="22"/>
              </w:rPr>
            </w:pPr>
            <w:r w:rsidRPr="00D86516">
              <w:rPr>
                <w:rFonts w:eastAsia="Calibri" w:cstheme="minorHAnsi"/>
                <w:i/>
                <w:sz w:val="22"/>
                <w:szCs w:val="22"/>
              </w:rPr>
              <w:t>Pateikiamos skenuotos arba tiekėjo pasirašytos skaitmeninės dokumentų kopijos.</w:t>
            </w:r>
          </w:p>
        </w:tc>
      </w:tr>
      <w:tr w:rsidR="00ED7E80" w:rsidRPr="00D86516" w14:paraId="39352854" w14:textId="77777777" w:rsidTr="00D86516">
        <w:tc>
          <w:tcPr>
            <w:tcW w:w="509" w:type="pct"/>
            <w:tcBorders>
              <w:top w:val="nil"/>
              <w:left w:val="single" w:sz="8" w:space="0" w:color="000000" w:themeColor="text1"/>
              <w:bottom w:val="single" w:sz="8" w:space="0" w:color="000000" w:themeColor="text1"/>
              <w:right w:val="nil"/>
            </w:tcBorders>
            <w:tcMar>
              <w:top w:w="0" w:type="dxa"/>
              <w:left w:w="108" w:type="dxa"/>
              <w:bottom w:w="0" w:type="dxa"/>
              <w:right w:w="108" w:type="dxa"/>
            </w:tcMar>
            <w:hideMark/>
          </w:tcPr>
          <w:p w14:paraId="757BB95E" w14:textId="77777777" w:rsidR="00ED7E80" w:rsidRPr="00D86516" w:rsidRDefault="00ED7E80" w:rsidP="00B2566E">
            <w:pPr>
              <w:spacing w:after="0" w:line="240" w:lineRule="auto"/>
              <w:ind w:left="-118"/>
              <w:jc w:val="center"/>
              <w:rPr>
                <w:rFonts w:eastAsia="Calibri" w:cstheme="minorHAnsi"/>
                <w:sz w:val="22"/>
                <w:szCs w:val="22"/>
              </w:rPr>
            </w:pPr>
            <w:r w:rsidRPr="00D86516">
              <w:rPr>
                <w:rFonts w:eastAsia="Calibri" w:cstheme="minorHAnsi"/>
                <w:sz w:val="22"/>
                <w:szCs w:val="22"/>
              </w:rPr>
              <w:t>4.1.2.</w:t>
            </w:r>
          </w:p>
        </w:tc>
        <w:tc>
          <w:tcPr>
            <w:tcW w:w="2152" w:type="pct"/>
            <w:tcBorders>
              <w:top w:val="nil"/>
              <w:left w:val="single" w:sz="8" w:space="0" w:color="000000" w:themeColor="text1"/>
              <w:bottom w:val="single" w:sz="8" w:space="0" w:color="000000" w:themeColor="text1"/>
              <w:right w:val="nil"/>
            </w:tcBorders>
            <w:tcMar>
              <w:top w:w="0" w:type="dxa"/>
              <w:left w:w="108" w:type="dxa"/>
              <w:bottom w:w="0" w:type="dxa"/>
              <w:right w:w="108" w:type="dxa"/>
            </w:tcMar>
          </w:tcPr>
          <w:p w14:paraId="26834C2D" w14:textId="77777777" w:rsidR="00ED7E80" w:rsidRPr="00D86516" w:rsidRDefault="00ED7E80" w:rsidP="00B2566E">
            <w:pPr>
              <w:spacing w:after="0" w:line="240" w:lineRule="auto"/>
              <w:jc w:val="both"/>
              <w:rPr>
                <w:rFonts w:cstheme="minorHAnsi"/>
                <w:color w:val="000000"/>
                <w:sz w:val="22"/>
                <w:szCs w:val="22"/>
              </w:rPr>
            </w:pPr>
            <w:r w:rsidRPr="00D86516">
              <w:rPr>
                <w:rFonts w:cstheme="minorHAnsi"/>
                <w:color w:val="000000"/>
                <w:sz w:val="22"/>
                <w:szCs w:val="22"/>
              </w:rPr>
              <w:t>Tiekėjas turi turėti būtinas žinias, patirtį bei kvalifikuotą personalą, galintį suteikti reikalaujamas paslaugas.</w:t>
            </w:r>
            <w:r w:rsidRPr="00D86516">
              <w:rPr>
                <w:rFonts w:eastAsia="Calibri" w:cstheme="minorHAnsi"/>
                <w:sz w:val="22"/>
                <w:szCs w:val="22"/>
              </w:rPr>
              <w:t xml:space="preserve">  </w:t>
            </w:r>
            <w:r w:rsidRPr="00D86516">
              <w:rPr>
                <w:rFonts w:cstheme="minorHAnsi"/>
                <w:color w:val="000000"/>
                <w:sz w:val="22"/>
                <w:szCs w:val="22"/>
              </w:rPr>
              <w:t xml:space="preserve"> Sutartį galės </w:t>
            </w:r>
            <w:r w:rsidRPr="00D86516">
              <w:rPr>
                <w:rFonts w:cstheme="minorHAnsi"/>
                <w:color w:val="000000"/>
                <w:sz w:val="22"/>
                <w:szCs w:val="22"/>
              </w:rPr>
              <w:lastRenderedPageBreak/>
              <w:t>vykdyti tik nustatytus kvalifikacijos reikalavimus atitinkantys specialistai.</w:t>
            </w:r>
          </w:p>
          <w:p w14:paraId="160E2C19" w14:textId="77777777" w:rsidR="00ED7E80" w:rsidRPr="00D86516" w:rsidRDefault="00ED7E80" w:rsidP="00B2566E">
            <w:pPr>
              <w:spacing w:after="0" w:line="240" w:lineRule="auto"/>
              <w:jc w:val="both"/>
              <w:rPr>
                <w:rFonts w:eastAsia="Calibri" w:cstheme="minorHAnsi"/>
                <w:strike/>
                <w:sz w:val="22"/>
                <w:szCs w:val="22"/>
              </w:rPr>
            </w:pPr>
          </w:p>
          <w:p w14:paraId="38BE7514" w14:textId="024B302D" w:rsidR="00ED7E80" w:rsidRPr="00D86516" w:rsidRDefault="00ED7E80" w:rsidP="00B2566E">
            <w:pPr>
              <w:spacing w:after="0" w:line="240" w:lineRule="auto"/>
              <w:jc w:val="both"/>
              <w:rPr>
                <w:rFonts w:eastAsia="Calibri" w:cstheme="minorHAnsi"/>
                <w:sz w:val="22"/>
                <w:szCs w:val="22"/>
              </w:rPr>
            </w:pPr>
            <w:r w:rsidRPr="00D86516">
              <w:rPr>
                <w:rFonts w:cstheme="minorHAnsi"/>
                <w:color w:val="000000"/>
                <w:sz w:val="22"/>
                <w:szCs w:val="22"/>
              </w:rPr>
              <w:t>Tiekėjo siūlomi specialistai turi atitikti  šiuos žemiau nurodytus minimalius kvalifikacijos reikalavimus (vienas specialistas gali būti nurodomas į kelias pozicijas, jeigu jis turi reikiam</w:t>
            </w:r>
            <w:r w:rsidR="00B05A64">
              <w:rPr>
                <w:rFonts w:cstheme="minorHAnsi"/>
                <w:color w:val="000000"/>
                <w:sz w:val="22"/>
                <w:szCs w:val="22"/>
              </w:rPr>
              <w:t>as</w:t>
            </w:r>
            <w:r w:rsidRPr="00D86516">
              <w:rPr>
                <w:rFonts w:cstheme="minorHAnsi"/>
                <w:color w:val="000000"/>
                <w:sz w:val="22"/>
                <w:szCs w:val="22"/>
              </w:rPr>
              <w:t xml:space="preserve"> kvalifikacijas, atitinkanči</w:t>
            </w:r>
            <w:r w:rsidR="00B05A64">
              <w:rPr>
                <w:rFonts w:cstheme="minorHAnsi"/>
                <w:color w:val="000000"/>
                <w:sz w:val="22"/>
                <w:szCs w:val="22"/>
              </w:rPr>
              <w:t>as</w:t>
            </w:r>
            <w:r w:rsidRPr="00D86516">
              <w:rPr>
                <w:rFonts w:cstheme="minorHAnsi"/>
                <w:color w:val="000000"/>
                <w:sz w:val="22"/>
                <w:szCs w:val="22"/>
              </w:rPr>
              <w:t xml:space="preserve"> kelias pozicijas). </w:t>
            </w:r>
            <w:r w:rsidRPr="00D86516">
              <w:rPr>
                <w:rFonts w:eastAsia="Calibri" w:cstheme="minorHAnsi"/>
                <w:sz w:val="22"/>
                <w:szCs w:val="22"/>
              </w:rPr>
              <w:t xml:space="preserve"> Kiekvienai specialisto pozicijai turi būti pasiūlytas visus tai pozicijai keliamus reikalavimus atitinkantis specialistas (t. y. tiekėjas negali siūlyti kelių asmenų, kurie kartu atitinka </w:t>
            </w:r>
            <w:r w:rsidR="00B05A64">
              <w:rPr>
                <w:rFonts w:eastAsia="Calibri" w:cstheme="minorHAnsi"/>
                <w:sz w:val="22"/>
                <w:szCs w:val="22"/>
              </w:rPr>
              <w:t xml:space="preserve">vieno </w:t>
            </w:r>
            <w:r w:rsidRPr="00D86516">
              <w:rPr>
                <w:rFonts w:eastAsia="Calibri" w:cstheme="minorHAnsi"/>
                <w:sz w:val="22"/>
                <w:szCs w:val="22"/>
              </w:rPr>
              <w:t>specialisto reikalavimus).</w:t>
            </w:r>
          </w:p>
          <w:p w14:paraId="7D9E4A5E" w14:textId="77777777" w:rsidR="00ED7E80" w:rsidRPr="00D86516" w:rsidRDefault="00ED7E80" w:rsidP="00B2566E">
            <w:pPr>
              <w:spacing w:after="0" w:line="240" w:lineRule="auto"/>
              <w:jc w:val="both"/>
              <w:rPr>
                <w:rFonts w:eastAsia="Calibri" w:cstheme="minorHAnsi"/>
                <w:sz w:val="22"/>
                <w:szCs w:val="22"/>
              </w:rPr>
            </w:pPr>
          </w:p>
          <w:p w14:paraId="3C97EAA4" w14:textId="77777777" w:rsidR="00ED7E80" w:rsidRPr="00D86516" w:rsidRDefault="00ED7E80" w:rsidP="00B2566E">
            <w:pPr>
              <w:pStyle w:val="tajtin"/>
              <w:shd w:val="clear" w:color="auto" w:fill="FFFFFF"/>
              <w:tabs>
                <w:tab w:val="left" w:pos="222"/>
              </w:tabs>
              <w:spacing w:before="0" w:beforeAutospacing="0" w:after="0" w:afterAutospacing="0"/>
              <w:jc w:val="both"/>
              <w:rPr>
                <w:rFonts w:asciiTheme="minorHAnsi" w:hAnsiTheme="minorHAnsi" w:cstheme="minorHAnsi"/>
                <w:color w:val="000000"/>
                <w:sz w:val="22"/>
                <w:szCs w:val="22"/>
              </w:rPr>
            </w:pPr>
            <w:r w:rsidRPr="00D86516">
              <w:rPr>
                <w:rFonts w:asciiTheme="minorHAnsi" w:hAnsiTheme="minorHAnsi" w:cstheme="minorHAnsi"/>
                <w:color w:val="000000"/>
                <w:sz w:val="22"/>
                <w:szCs w:val="22"/>
              </w:rPr>
              <w:t>Jeigu pasiūlymą teikia ūkio subjektų grupė – reikalavimą turi atitikti ūkio subjektų grupės nario (-</w:t>
            </w:r>
            <w:proofErr w:type="spellStart"/>
            <w:r w:rsidRPr="00D86516">
              <w:rPr>
                <w:rFonts w:asciiTheme="minorHAnsi" w:hAnsiTheme="minorHAnsi" w:cstheme="minorHAnsi"/>
                <w:color w:val="000000"/>
                <w:sz w:val="22"/>
                <w:szCs w:val="22"/>
              </w:rPr>
              <w:t>ių</w:t>
            </w:r>
            <w:proofErr w:type="spellEnd"/>
            <w:r w:rsidRPr="00D86516">
              <w:rPr>
                <w:rFonts w:asciiTheme="minorHAnsi" w:hAnsiTheme="minorHAnsi" w:cstheme="minorHAnsi"/>
                <w:color w:val="000000"/>
                <w:sz w:val="22"/>
                <w:szCs w:val="22"/>
              </w:rPr>
              <w:t>)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2B115E09" w14:textId="77777777" w:rsidR="00ED7E80" w:rsidRPr="00D86516" w:rsidRDefault="00ED7E80" w:rsidP="00B2566E">
            <w:pPr>
              <w:spacing w:after="0" w:line="240" w:lineRule="auto"/>
              <w:jc w:val="both"/>
              <w:rPr>
                <w:rFonts w:eastAsia="Calibri" w:cstheme="minorHAnsi"/>
                <w:sz w:val="22"/>
                <w:szCs w:val="22"/>
              </w:rPr>
            </w:pPr>
          </w:p>
          <w:p w14:paraId="54514B8C" w14:textId="77777777" w:rsidR="00ED7E80" w:rsidRPr="00D86516" w:rsidRDefault="00ED7E80" w:rsidP="00B2566E">
            <w:pPr>
              <w:spacing w:after="0" w:line="240" w:lineRule="auto"/>
              <w:jc w:val="both"/>
              <w:rPr>
                <w:rFonts w:eastAsia="Calibri" w:cstheme="minorHAnsi"/>
                <w:sz w:val="22"/>
                <w:szCs w:val="22"/>
              </w:rPr>
            </w:pPr>
            <w:r w:rsidRPr="00D86516">
              <w:rPr>
                <w:rFonts w:eastAsia="Calibri" w:cstheme="minorHAnsi"/>
                <w:sz w:val="22"/>
                <w:szCs w:val="22"/>
              </w:rPr>
              <w:t>Tiekėjo siūlomi specialistai turi atitikti šiuos kvalifikacijos reikalavimus:</w:t>
            </w:r>
          </w:p>
        </w:tc>
        <w:tc>
          <w:tcPr>
            <w:tcW w:w="2339" w:type="pc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4DCC1040" w14:textId="77777777" w:rsidR="00ED7E80" w:rsidRPr="00D86516" w:rsidRDefault="00ED7E80" w:rsidP="00B2566E">
            <w:pPr>
              <w:spacing w:after="0" w:line="240" w:lineRule="auto"/>
              <w:jc w:val="both"/>
              <w:rPr>
                <w:rFonts w:eastAsia="Calibri" w:cstheme="minorHAnsi"/>
                <w:sz w:val="22"/>
                <w:szCs w:val="22"/>
              </w:rPr>
            </w:pPr>
            <w:r w:rsidRPr="00D86516">
              <w:rPr>
                <w:rFonts w:eastAsia="Calibri" w:cstheme="minorHAnsi"/>
                <w:sz w:val="22"/>
                <w:szCs w:val="22"/>
              </w:rPr>
              <w:lastRenderedPageBreak/>
              <w:t xml:space="preserve">Tiekėjo kvalifikacijai pagrįsti pateikiamas siūlomų specialistų sąrašas, pagal formą pateiktą pirkimo dokumentų 7 priede. </w:t>
            </w:r>
            <w:r w:rsidRPr="00D86516">
              <w:rPr>
                <w:rFonts w:eastAsia="Calibri" w:cstheme="minorHAnsi"/>
                <w:sz w:val="22"/>
                <w:szCs w:val="22"/>
              </w:rPr>
              <w:lastRenderedPageBreak/>
              <w:t>Specialistų sutikimai dalyvauti projekte pagal formą, pateiktą pirkimo dokumentų 8 priede.</w:t>
            </w:r>
          </w:p>
          <w:p w14:paraId="289851A6" w14:textId="77777777" w:rsidR="00ED7E80" w:rsidRPr="00D86516" w:rsidRDefault="00ED7E80" w:rsidP="00B2566E">
            <w:pPr>
              <w:spacing w:after="0" w:line="240" w:lineRule="auto"/>
              <w:jc w:val="both"/>
              <w:rPr>
                <w:rFonts w:eastAsia="Calibri" w:cstheme="minorHAnsi"/>
                <w:sz w:val="22"/>
                <w:szCs w:val="22"/>
              </w:rPr>
            </w:pPr>
          </w:p>
          <w:p w14:paraId="76812471" w14:textId="77777777" w:rsidR="00ED7E80" w:rsidRPr="00D86516" w:rsidRDefault="00ED7E80" w:rsidP="00B2566E">
            <w:pPr>
              <w:spacing w:after="0" w:line="240" w:lineRule="auto"/>
              <w:jc w:val="both"/>
              <w:rPr>
                <w:rFonts w:eastAsia="Calibri" w:cstheme="minorHAnsi"/>
                <w:sz w:val="22"/>
                <w:szCs w:val="22"/>
              </w:rPr>
            </w:pPr>
            <w:r w:rsidRPr="00D86516">
              <w:rPr>
                <w:rFonts w:eastAsia="Calibri" w:cstheme="minorHAnsi"/>
                <w:sz w:val="22"/>
                <w:szCs w:val="22"/>
              </w:rPr>
              <w:t>Perkančioji organizacija pasilieka teisę susisiekti su tiekėjo nurodytu užsakovo atstovu be išankstinio pranešimo, siekiant patikslinti informaciją apie suteiktas paslaugas ir specialisto vaidmenį jose.</w:t>
            </w:r>
          </w:p>
          <w:p w14:paraId="53600CC5" w14:textId="77777777" w:rsidR="00ED7E80" w:rsidRPr="00D86516" w:rsidRDefault="00ED7E80" w:rsidP="00B2566E">
            <w:pPr>
              <w:spacing w:after="0" w:line="240" w:lineRule="auto"/>
              <w:jc w:val="both"/>
              <w:rPr>
                <w:rFonts w:eastAsia="Calibri" w:cstheme="minorHAnsi"/>
                <w:sz w:val="22"/>
                <w:szCs w:val="22"/>
              </w:rPr>
            </w:pPr>
          </w:p>
          <w:p w14:paraId="26D6B603" w14:textId="77777777" w:rsidR="00ED7E80" w:rsidRPr="00D86516" w:rsidRDefault="00ED7E80" w:rsidP="00B2566E">
            <w:pPr>
              <w:spacing w:after="0" w:line="240" w:lineRule="auto"/>
              <w:jc w:val="both"/>
              <w:rPr>
                <w:rFonts w:eastAsia="Calibri" w:cstheme="minorHAnsi"/>
                <w:sz w:val="22"/>
                <w:szCs w:val="22"/>
              </w:rPr>
            </w:pPr>
            <w:r w:rsidRPr="00D86516">
              <w:rPr>
                <w:rFonts w:eastAsia="Calibri" w:cstheme="minorHAnsi"/>
                <w:sz w:val="22"/>
                <w:szCs w:val="22"/>
              </w:rPr>
              <w:t>Specialistų patirties termino apskaičiavimui taikomos taisyklės:</w:t>
            </w:r>
          </w:p>
          <w:p w14:paraId="16115FC4" w14:textId="2025A3BC" w:rsidR="00ED7E80" w:rsidRPr="00D86516" w:rsidRDefault="00ED7E80" w:rsidP="00B2566E">
            <w:pPr>
              <w:spacing w:after="0" w:line="240" w:lineRule="auto"/>
              <w:jc w:val="both"/>
              <w:rPr>
                <w:rFonts w:eastAsia="Calibri" w:cstheme="minorHAnsi"/>
                <w:sz w:val="22"/>
                <w:szCs w:val="22"/>
              </w:rPr>
            </w:pPr>
            <w:r w:rsidRPr="00D86516">
              <w:rPr>
                <w:rFonts w:eastAsia="Calibri" w:cstheme="minorHAnsi"/>
                <w:sz w:val="22"/>
                <w:szCs w:val="22"/>
              </w:rPr>
              <w:t>Patirtimi šio pirkimo apimtyje laikomas darbas konkrečiame projekte</w:t>
            </w:r>
            <w:r w:rsidR="008D1DCC">
              <w:rPr>
                <w:rFonts w:eastAsia="Calibri" w:cstheme="minorHAnsi"/>
                <w:sz w:val="22"/>
                <w:szCs w:val="22"/>
              </w:rPr>
              <w:t xml:space="preserve"> </w:t>
            </w:r>
            <w:r w:rsidR="008D1DCC">
              <w:rPr>
                <w:rFonts w:eastAsia="Calibri"/>
              </w:rPr>
              <w:t>(sutartyje)</w:t>
            </w:r>
            <w:r w:rsidRPr="00D86516">
              <w:rPr>
                <w:rFonts w:eastAsia="Calibri" w:cstheme="minorHAnsi"/>
                <w:sz w:val="22"/>
                <w:szCs w:val="22"/>
              </w:rPr>
              <w:t>, t. y. laikas, kurį specialistas nebuvo priskirtas dirbti konkrečiame projekte</w:t>
            </w:r>
            <w:r w:rsidR="008D1DCC">
              <w:rPr>
                <w:rFonts w:eastAsia="Calibri" w:cstheme="minorHAnsi"/>
                <w:sz w:val="22"/>
                <w:szCs w:val="22"/>
              </w:rPr>
              <w:t xml:space="preserve"> </w:t>
            </w:r>
            <w:r w:rsidR="008D1DCC">
              <w:rPr>
                <w:rFonts w:eastAsia="Calibri"/>
              </w:rPr>
              <w:t>(sutartyje)</w:t>
            </w:r>
            <w:r w:rsidRPr="00D86516">
              <w:rPr>
                <w:rFonts w:eastAsia="Calibri" w:cstheme="minorHAnsi"/>
                <w:sz w:val="22"/>
                <w:szCs w:val="22"/>
              </w:rPr>
              <w:t>, neįskaičiuojamas į specialisto patirtį. Tuo pačiu laikotarpiu einamos pareigos skirtinguose projektuose</w:t>
            </w:r>
            <w:r w:rsidR="008D1DCC">
              <w:rPr>
                <w:rFonts w:eastAsia="Calibri" w:cstheme="minorHAnsi"/>
                <w:sz w:val="22"/>
                <w:szCs w:val="22"/>
              </w:rPr>
              <w:t xml:space="preserve"> (sutartyse)</w:t>
            </w:r>
            <w:r w:rsidRPr="00D86516">
              <w:rPr>
                <w:rFonts w:eastAsia="Calibri" w:cstheme="minorHAnsi"/>
                <w:sz w:val="22"/>
                <w:szCs w:val="22"/>
              </w:rPr>
              <w:t xml:space="preserve"> („persidengiančios datos“) nėra sumuojamos. Patirtis dirbant skirtinguose projektuose</w:t>
            </w:r>
            <w:r w:rsidR="008D1DCC">
              <w:rPr>
                <w:rFonts w:eastAsia="Calibri" w:cstheme="minorHAnsi"/>
                <w:sz w:val="22"/>
                <w:szCs w:val="22"/>
              </w:rPr>
              <w:t xml:space="preserve"> (sutartyse)</w:t>
            </w:r>
            <w:r w:rsidRPr="00D86516">
              <w:rPr>
                <w:rFonts w:eastAsia="Calibri" w:cstheme="minorHAnsi"/>
                <w:sz w:val="22"/>
                <w:szCs w:val="22"/>
              </w:rPr>
              <w:t xml:space="preserve"> skirtingu laikotarpiu – sumuojamos. </w:t>
            </w:r>
          </w:p>
          <w:p w14:paraId="3393B167" w14:textId="2BEE14F5" w:rsidR="00ED7E80" w:rsidRPr="00D86516" w:rsidRDefault="00ED7E80" w:rsidP="00B2566E">
            <w:pPr>
              <w:spacing w:after="0" w:line="240" w:lineRule="auto"/>
              <w:jc w:val="both"/>
              <w:rPr>
                <w:rFonts w:eastAsia="Calibri" w:cstheme="minorHAnsi"/>
                <w:sz w:val="22"/>
                <w:szCs w:val="22"/>
              </w:rPr>
            </w:pPr>
            <w:r w:rsidRPr="00D86516">
              <w:rPr>
                <w:rFonts w:eastAsia="Calibri" w:cstheme="minorHAnsi"/>
                <w:sz w:val="22"/>
                <w:szCs w:val="22"/>
              </w:rPr>
              <w:t>Patirties skaičiavimo tikslais šio pirkimo apimtyje metais laikomos 365 dienos. Skirtumas tarp dviejų datų skaičiuojamas įskaitant pirmą termino datą, tačiau neįskaitant paskutinės. Pavyzdžiui, darbas projekte trukęs nuo 20</w:t>
            </w:r>
            <w:r w:rsidR="006E4A5C">
              <w:rPr>
                <w:rFonts w:eastAsia="Calibri" w:cstheme="minorHAnsi"/>
                <w:sz w:val="22"/>
                <w:szCs w:val="22"/>
              </w:rPr>
              <w:t>22</w:t>
            </w:r>
            <w:r w:rsidRPr="00D86516">
              <w:rPr>
                <w:rFonts w:eastAsia="Calibri" w:cstheme="minorHAnsi"/>
                <w:sz w:val="22"/>
                <w:szCs w:val="22"/>
              </w:rPr>
              <w:t xml:space="preserve"> m. sausio 2 d. iki 20</w:t>
            </w:r>
            <w:r w:rsidR="006E4A5C">
              <w:rPr>
                <w:rFonts w:eastAsia="Calibri" w:cstheme="minorHAnsi"/>
                <w:sz w:val="22"/>
                <w:szCs w:val="22"/>
              </w:rPr>
              <w:t>22</w:t>
            </w:r>
            <w:r w:rsidRPr="00D86516">
              <w:rPr>
                <w:rFonts w:eastAsia="Calibri" w:cstheme="minorHAnsi"/>
                <w:sz w:val="22"/>
                <w:szCs w:val="22"/>
              </w:rPr>
              <w:t xml:space="preserve"> kovo 13 d. įskaitomas kaip 70 dienų patirtis. </w:t>
            </w:r>
          </w:p>
          <w:p w14:paraId="44099608" w14:textId="77777777" w:rsidR="00ED7E80" w:rsidRPr="00D86516" w:rsidRDefault="00ED7E80" w:rsidP="00B2566E">
            <w:pPr>
              <w:spacing w:after="0" w:line="240" w:lineRule="auto"/>
              <w:jc w:val="both"/>
              <w:rPr>
                <w:rFonts w:eastAsia="Calibri" w:cstheme="minorHAnsi"/>
                <w:i/>
                <w:sz w:val="22"/>
                <w:szCs w:val="22"/>
              </w:rPr>
            </w:pPr>
          </w:p>
          <w:p w14:paraId="3ECD9409" w14:textId="77777777" w:rsidR="00ED7E80" w:rsidRPr="00D86516" w:rsidRDefault="00ED7E80" w:rsidP="00B2566E">
            <w:pPr>
              <w:spacing w:after="0" w:line="240" w:lineRule="auto"/>
              <w:jc w:val="both"/>
              <w:rPr>
                <w:rFonts w:eastAsia="Calibri" w:cstheme="minorHAnsi"/>
                <w:i/>
                <w:sz w:val="22"/>
                <w:szCs w:val="22"/>
              </w:rPr>
            </w:pPr>
          </w:p>
          <w:p w14:paraId="6FB50305" w14:textId="77777777" w:rsidR="00ED7E80" w:rsidRPr="00D86516" w:rsidRDefault="00ED7E80" w:rsidP="00B2566E">
            <w:pPr>
              <w:spacing w:after="0" w:line="240" w:lineRule="auto"/>
              <w:jc w:val="both"/>
              <w:rPr>
                <w:rFonts w:eastAsia="Calibri" w:cstheme="minorHAnsi"/>
                <w:i/>
                <w:sz w:val="22"/>
                <w:szCs w:val="22"/>
              </w:rPr>
            </w:pPr>
          </w:p>
          <w:p w14:paraId="0E41CA49" w14:textId="77777777" w:rsidR="00ED7E80" w:rsidRPr="00D86516" w:rsidRDefault="00ED7E80" w:rsidP="00B2566E">
            <w:pPr>
              <w:spacing w:after="0" w:line="240" w:lineRule="auto"/>
              <w:jc w:val="both"/>
              <w:rPr>
                <w:rFonts w:eastAsia="Calibri" w:cstheme="minorHAnsi"/>
                <w:i/>
                <w:sz w:val="22"/>
                <w:szCs w:val="22"/>
              </w:rPr>
            </w:pPr>
          </w:p>
          <w:p w14:paraId="0CFA028D" w14:textId="77777777" w:rsidR="00ED7E80" w:rsidRPr="00D86516" w:rsidRDefault="00ED7E80" w:rsidP="00B2566E">
            <w:pPr>
              <w:spacing w:after="0" w:line="240" w:lineRule="auto"/>
              <w:jc w:val="both"/>
              <w:rPr>
                <w:rFonts w:eastAsia="Calibri" w:cstheme="minorHAnsi"/>
                <w:i/>
                <w:sz w:val="22"/>
                <w:szCs w:val="22"/>
              </w:rPr>
            </w:pPr>
          </w:p>
          <w:p w14:paraId="6E409F41" w14:textId="77777777" w:rsidR="00ED7E80" w:rsidRPr="00D86516" w:rsidRDefault="00ED7E80" w:rsidP="00B2566E">
            <w:pPr>
              <w:spacing w:after="0" w:line="240" w:lineRule="auto"/>
              <w:jc w:val="both"/>
              <w:rPr>
                <w:rFonts w:eastAsia="Calibri" w:cstheme="minorHAnsi"/>
                <w:i/>
                <w:sz w:val="22"/>
                <w:szCs w:val="22"/>
              </w:rPr>
            </w:pPr>
          </w:p>
          <w:p w14:paraId="402A7E1E" w14:textId="77777777" w:rsidR="00ED7E80" w:rsidRPr="00D86516" w:rsidRDefault="00ED7E80" w:rsidP="00B2566E">
            <w:pPr>
              <w:spacing w:after="0" w:line="240" w:lineRule="auto"/>
              <w:jc w:val="both"/>
              <w:rPr>
                <w:rFonts w:eastAsia="Calibri" w:cstheme="minorHAnsi"/>
                <w:sz w:val="22"/>
                <w:szCs w:val="22"/>
              </w:rPr>
            </w:pPr>
            <w:r w:rsidRPr="00D86516">
              <w:rPr>
                <w:rFonts w:eastAsia="Calibri" w:cstheme="minorHAnsi"/>
                <w:i/>
                <w:sz w:val="22"/>
                <w:szCs w:val="22"/>
              </w:rPr>
              <w:t>Pateikiamos skenuotos arba tiekėjo pasirašytos skaitmeninės dokumentų kopijos.</w:t>
            </w:r>
          </w:p>
        </w:tc>
      </w:tr>
      <w:tr w:rsidR="00ED7E80" w:rsidRPr="00D86516" w14:paraId="10AC6C39" w14:textId="77777777" w:rsidTr="00D86516">
        <w:tc>
          <w:tcPr>
            <w:tcW w:w="509" w:type="pct"/>
            <w:tcBorders>
              <w:top w:val="nil"/>
              <w:left w:val="single" w:sz="8" w:space="0" w:color="000000" w:themeColor="text1"/>
              <w:bottom w:val="single" w:sz="8" w:space="0" w:color="000000" w:themeColor="text1"/>
              <w:right w:val="nil"/>
            </w:tcBorders>
            <w:tcMar>
              <w:top w:w="0" w:type="dxa"/>
              <w:left w:w="108" w:type="dxa"/>
              <w:bottom w:w="0" w:type="dxa"/>
              <w:right w:w="108" w:type="dxa"/>
            </w:tcMar>
            <w:hideMark/>
          </w:tcPr>
          <w:p w14:paraId="4758F9C7" w14:textId="77777777" w:rsidR="00ED7E80" w:rsidRPr="00D86516" w:rsidRDefault="00ED7E80" w:rsidP="00B2566E">
            <w:pPr>
              <w:spacing w:after="0" w:line="240" w:lineRule="auto"/>
              <w:ind w:left="-118"/>
              <w:jc w:val="center"/>
              <w:rPr>
                <w:rFonts w:eastAsia="Calibri" w:cstheme="minorHAnsi"/>
                <w:color w:val="000000"/>
                <w:sz w:val="22"/>
                <w:szCs w:val="22"/>
              </w:rPr>
            </w:pPr>
            <w:r w:rsidRPr="00D86516">
              <w:rPr>
                <w:rFonts w:eastAsia="Calibri" w:cstheme="minorHAnsi"/>
                <w:color w:val="000000"/>
                <w:sz w:val="22"/>
                <w:szCs w:val="22"/>
              </w:rPr>
              <w:lastRenderedPageBreak/>
              <w:t>4.1.2.1.</w:t>
            </w:r>
          </w:p>
        </w:tc>
        <w:tc>
          <w:tcPr>
            <w:tcW w:w="2152" w:type="pct"/>
            <w:tcBorders>
              <w:top w:val="nil"/>
              <w:left w:val="single" w:sz="8" w:space="0" w:color="000000" w:themeColor="text1"/>
              <w:bottom w:val="single" w:sz="8" w:space="0" w:color="000000" w:themeColor="text1"/>
              <w:right w:val="nil"/>
            </w:tcBorders>
            <w:tcMar>
              <w:top w:w="0" w:type="dxa"/>
              <w:left w:w="108" w:type="dxa"/>
              <w:bottom w:w="0" w:type="dxa"/>
              <w:right w:w="108" w:type="dxa"/>
            </w:tcMar>
          </w:tcPr>
          <w:p w14:paraId="3B732A46" w14:textId="77777777" w:rsidR="00ED7E80" w:rsidRPr="00D86516" w:rsidRDefault="00ED7E80" w:rsidP="00B2566E">
            <w:pPr>
              <w:spacing w:after="0" w:line="240" w:lineRule="auto"/>
              <w:jc w:val="both"/>
              <w:rPr>
                <w:rFonts w:eastAsia="Calibri" w:cstheme="minorHAnsi"/>
                <w:b/>
                <w:bCs/>
                <w:color w:val="000000"/>
                <w:sz w:val="22"/>
                <w:szCs w:val="22"/>
              </w:rPr>
            </w:pPr>
            <w:r w:rsidRPr="00D86516">
              <w:rPr>
                <w:rFonts w:eastAsia="Calibri" w:cstheme="minorHAnsi"/>
                <w:b/>
                <w:bCs/>
                <w:color w:val="000000"/>
                <w:sz w:val="22"/>
                <w:szCs w:val="22"/>
              </w:rPr>
              <w:t xml:space="preserve">Projekto vadovas (asmuo, atsakingas už projekto valdymą, </w:t>
            </w:r>
            <w:proofErr w:type="spellStart"/>
            <w:r w:rsidRPr="00D86516">
              <w:rPr>
                <w:rFonts w:eastAsia="Calibri" w:cstheme="minorHAnsi"/>
                <w:b/>
                <w:bCs/>
                <w:color w:val="000000"/>
                <w:sz w:val="22"/>
                <w:szCs w:val="22"/>
              </w:rPr>
              <w:t>t.y</w:t>
            </w:r>
            <w:proofErr w:type="spellEnd"/>
            <w:r w:rsidRPr="00D86516">
              <w:rPr>
                <w:rFonts w:eastAsia="Calibri" w:cstheme="minorHAnsi"/>
                <w:b/>
                <w:bCs/>
                <w:color w:val="000000"/>
                <w:sz w:val="22"/>
                <w:szCs w:val="22"/>
              </w:rPr>
              <w:t>. komandos valdymą, darbo planą ir kitas projekto valdymo procedūras):</w:t>
            </w:r>
          </w:p>
          <w:p w14:paraId="4C29973F" w14:textId="77777777" w:rsidR="00ED7E80" w:rsidRPr="00D86516" w:rsidRDefault="00ED7E80" w:rsidP="00B2566E">
            <w:pPr>
              <w:tabs>
                <w:tab w:val="left" w:pos="222"/>
              </w:tabs>
              <w:autoSpaceDN w:val="0"/>
              <w:spacing w:after="0" w:line="240" w:lineRule="auto"/>
              <w:jc w:val="both"/>
              <w:rPr>
                <w:rFonts w:eastAsia="Calibri" w:cstheme="minorHAnsi"/>
                <w:color w:val="000000"/>
                <w:sz w:val="22"/>
                <w:szCs w:val="22"/>
              </w:rPr>
            </w:pPr>
            <w:r w:rsidRPr="00D86516">
              <w:rPr>
                <w:rFonts w:eastAsia="Calibri" w:cstheme="minorHAnsi"/>
                <w:color w:val="000000"/>
                <w:sz w:val="22"/>
                <w:szCs w:val="22"/>
              </w:rPr>
              <w:t>a) turi ne mažesnę kaip 3  metų patirtį vadovaujant  informacinių sistemų paslaugų kūrimo ir (ar) modernizavimo ir (ar) vystymo sutartims (projektams);</w:t>
            </w:r>
          </w:p>
          <w:p w14:paraId="729C213A" w14:textId="77777777" w:rsidR="00ED7E80" w:rsidRPr="00D86516" w:rsidRDefault="00ED7E80" w:rsidP="00B2566E">
            <w:pPr>
              <w:tabs>
                <w:tab w:val="left" w:pos="222"/>
              </w:tabs>
              <w:autoSpaceDN w:val="0"/>
              <w:spacing w:after="0" w:line="240" w:lineRule="auto"/>
              <w:ind w:left="16"/>
              <w:jc w:val="both"/>
              <w:rPr>
                <w:rFonts w:eastAsia="Calibri" w:cstheme="minorHAnsi"/>
                <w:color w:val="000000"/>
                <w:sz w:val="22"/>
                <w:szCs w:val="22"/>
              </w:rPr>
            </w:pPr>
            <w:r w:rsidRPr="00D86516">
              <w:rPr>
                <w:rFonts w:eastAsia="Calibri" w:cstheme="minorHAnsi"/>
                <w:color w:val="000000"/>
                <w:sz w:val="22"/>
                <w:szCs w:val="22"/>
              </w:rPr>
              <w:t xml:space="preserve">b) per pastaruosius 3 metus vadovavo bent 1  informacinės sistemos </w:t>
            </w:r>
            <w:r w:rsidRPr="00D86516">
              <w:rPr>
                <w:rFonts w:cstheme="minorHAnsi"/>
                <w:sz w:val="22"/>
                <w:szCs w:val="22"/>
              </w:rPr>
              <w:t xml:space="preserve"> vystymo (kūrimo ir/arba tobulinimo) </w:t>
            </w:r>
            <w:r w:rsidRPr="00D86516">
              <w:rPr>
                <w:rFonts w:cstheme="minorHAnsi"/>
                <w:i/>
                <w:sz w:val="22"/>
                <w:szCs w:val="22"/>
              </w:rPr>
              <w:t xml:space="preserve">(angl. </w:t>
            </w:r>
            <w:proofErr w:type="spellStart"/>
            <w:r w:rsidRPr="00D86516">
              <w:rPr>
                <w:rFonts w:cstheme="minorHAnsi"/>
                <w:i/>
                <w:sz w:val="22"/>
                <w:szCs w:val="22"/>
              </w:rPr>
              <w:t>Development</w:t>
            </w:r>
            <w:proofErr w:type="spellEnd"/>
            <w:r w:rsidRPr="00D86516">
              <w:rPr>
                <w:rFonts w:cstheme="minorHAnsi"/>
                <w:i/>
                <w:sz w:val="22"/>
                <w:szCs w:val="22"/>
              </w:rPr>
              <w:t>)</w:t>
            </w:r>
            <w:r w:rsidRPr="00D86516">
              <w:rPr>
                <w:rFonts w:cstheme="minorHAnsi"/>
                <w:sz w:val="22"/>
                <w:szCs w:val="22"/>
              </w:rPr>
              <w:t xml:space="preserve"> </w:t>
            </w:r>
            <w:r w:rsidRPr="00D86516">
              <w:rPr>
                <w:rFonts w:eastAsia="Calibri" w:cstheme="minorHAnsi"/>
                <w:sz w:val="22"/>
                <w:szCs w:val="22"/>
              </w:rPr>
              <w:t>ir/ar modernizavimo</w:t>
            </w:r>
            <w:r w:rsidRPr="00D86516">
              <w:rPr>
                <w:rFonts w:eastAsia="Calibri" w:cstheme="minorHAnsi"/>
                <w:color w:val="000000"/>
                <w:sz w:val="22"/>
                <w:szCs w:val="22"/>
              </w:rPr>
              <w:t xml:space="preserve">  sutarčiai (projektui) </w:t>
            </w:r>
            <w:r w:rsidRPr="00D86516">
              <w:rPr>
                <w:rFonts w:cstheme="minorHAnsi"/>
                <w:sz w:val="22"/>
                <w:szCs w:val="22"/>
              </w:rPr>
              <w:t>(informacinės sistemos diegimo darbai baigti, sistema perduota gamybinei eksploatacijai)</w:t>
            </w:r>
            <w:r w:rsidRPr="00D86516">
              <w:rPr>
                <w:rFonts w:eastAsia="Calibri" w:cstheme="minorHAnsi"/>
                <w:color w:val="000000"/>
                <w:sz w:val="22"/>
                <w:szCs w:val="22"/>
              </w:rPr>
              <w:t>*.</w:t>
            </w:r>
          </w:p>
          <w:p w14:paraId="6AB3AA00" w14:textId="77777777" w:rsidR="00ED7E80" w:rsidRPr="00D86516" w:rsidRDefault="00ED7E80" w:rsidP="00B2566E">
            <w:pPr>
              <w:tabs>
                <w:tab w:val="left" w:pos="222"/>
              </w:tabs>
              <w:autoSpaceDN w:val="0"/>
              <w:spacing w:after="0" w:line="240" w:lineRule="auto"/>
              <w:ind w:left="16"/>
              <w:jc w:val="both"/>
              <w:rPr>
                <w:rFonts w:eastAsia="Calibri" w:cstheme="minorHAnsi"/>
                <w:color w:val="000000"/>
                <w:sz w:val="22"/>
                <w:szCs w:val="22"/>
              </w:rPr>
            </w:pPr>
          </w:p>
          <w:p w14:paraId="098DACA0" w14:textId="77777777" w:rsidR="00ED7E80" w:rsidRPr="00D86516" w:rsidRDefault="00ED7E80" w:rsidP="00B2566E">
            <w:pPr>
              <w:spacing w:before="100" w:beforeAutospacing="1" w:after="100" w:afterAutospacing="1" w:line="240" w:lineRule="auto"/>
              <w:jc w:val="both"/>
              <w:rPr>
                <w:rFonts w:eastAsia="Calibri" w:cstheme="minorHAnsi"/>
                <w:i/>
                <w:color w:val="000000"/>
                <w:sz w:val="22"/>
                <w:szCs w:val="22"/>
              </w:rPr>
            </w:pPr>
            <w:r w:rsidRPr="00D86516">
              <w:rPr>
                <w:rFonts w:eastAsia="Calibri" w:cstheme="minorHAnsi"/>
                <w:i/>
                <w:color w:val="000000"/>
                <w:sz w:val="22"/>
                <w:szCs w:val="22"/>
              </w:rPr>
              <w:t>* vadovavo mažiausiai 2/3 sutarties (projekto) įgyvendinimo laiko, įskaitant sutarties (projekto) įgyvendinimo pabaigą.</w:t>
            </w:r>
          </w:p>
        </w:tc>
        <w:tc>
          <w:tcPr>
            <w:tcW w:w="2339"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1B243BD0" w14:textId="77777777" w:rsidR="00ED7E80" w:rsidRPr="00D86516" w:rsidRDefault="00ED7E80" w:rsidP="00B2566E">
            <w:pPr>
              <w:spacing w:after="0" w:line="240" w:lineRule="auto"/>
              <w:jc w:val="both"/>
              <w:rPr>
                <w:rFonts w:eastAsia="Calibri" w:cstheme="minorHAnsi"/>
                <w:sz w:val="22"/>
                <w:szCs w:val="22"/>
              </w:rPr>
            </w:pPr>
            <w:r w:rsidRPr="00D86516">
              <w:rPr>
                <w:rFonts w:eastAsia="Calibri" w:cstheme="minorHAnsi"/>
                <w:sz w:val="22"/>
                <w:szCs w:val="22"/>
              </w:rPr>
              <w:lastRenderedPageBreak/>
              <w:t>Pateikiami šio kvalifikacijos reikalavimo 4.1.2 punkte nurodyti pagrindžiantys dokumentai.</w:t>
            </w:r>
          </w:p>
          <w:p w14:paraId="58174B31" w14:textId="77777777" w:rsidR="00ED7E80" w:rsidRPr="00D86516" w:rsidRDefault="00ED7E80" w:rsidP="00B2566E">
            <w:pPr>
              <w:spacing w:after="0" w:line="240" w:lineRule="auto"/>
              <w:jc w:val="both"/>
              <w:rPr>
                <w:rFonts w:eastAsia="Calibri" w:cstheme="minorHAnsi"/>
                <w:sz w:val="22"/>
                <w:szCs w:val="22"/>
              </w:rPr>
            </w:pPr>
          </w:p>
        </w:tc>
      </w:tr>
      <w:tr w:rsidR="00ED7E80" w:rsidRPr="00D86516" w14:paraId="383B2C8C" w14:textId="77777777" w:rsidTr="00D86516">
        <w:tc>
          <w:tcPr>
            <w:tcW w:w="509" w:type="pct"/>
            <w:tcBorders>
              <w:top w:val="nil"/>
              <w:left w:val="single" w:sz="8" w:space="0" w:color="000000" w:themeColor="text1"/>
              <w:bottom w:val="single" w:sz="8" w:space="0" w:color="000000" w:themeColor="text1"/>
              <w:right w:val="nil"/>
            </w:tcBorders>
            <w:tcMar>
              <w:top w:w="0" w:type="dxa"/>
              <w:left w:w="108" w:type="dxa"/>
              <w:bottom w:w="0" w:type="dxa"/>
              <w:right w:w="108" w:type="dxa"/>
            </w:tcMar>
            <w:hideMark/>
          </w:tcPr>
          <w:p w14:paraId="41C07CE1" w14:textId="77777777" w:rsidR="00ED7E80" w:rsidRPr="00D86516" w:rsidRDefault="00ED7E80" w:rsidP="00B2566E">
            <w:pPr>
              <w:spacing w:after="0" w:line="240" w:lineRule="auto"/>
              <w:ind w:left="-118"/>
              <w:jc w:val="center"/>
              <w:rPr>
                <w:rFonts w:eastAsia="Calibri" w:cstheme="minorHAnsi"/>
                <w:sz w:val="22"/>
                <w:szCs w:val="22"/>
              </w:rPr>
            </w:pPr>
            <w:bookmarkStart w:id="0" w:name="_Hlk27053091"/>
            <w:r w:rsidRPr="00D86516">
              <w:rPr>
                <w:rFonts w:eastAsia="Calibri" w:cstheme="minorHAnsi"/>
                <w:sz w:val="22"/>
                <w:szCs w:val="22"/>
              </w:rPr>
              <w:t>4.1.2.2.</w:t>
            </w:r>
          </w:p>
        </w:tc>
        <w:tc>
          <w:tcPr>
            <w:tcW w:w="2152" w:type="pct"/>
            <w:tcBorders>
              <w:top w:val="nil"/>
              <w:left w:val="single" w:sz="8" w:space="0" w:color="000000" w:themeColor="text1"/>
              <w:bottom w:val="single" w:sz="8" w:space="0" w:color="000000" w:themeColor="text1"/>
              <w:right w:val="nil"/>
            </w:tcBorders>
            <w:tcMar>
              <w:top w:w="0" w:type="dxa"/>
              <w:left w:w="108" w:type="dxa"/>
              <w:bottom w:w="0" w:type="dxa"/>
              <w:right w:w="108" w:type="dxa"/>
            </w:tcMar>
            <w:hideMark/>
          </w:tcPr>
          <w:p w14:paraId="1083AA18" w14:textId="77777777" w:rsidR="00ED7E80" w:rsidRPr="00D86516" w:rsidRDefault="00ED7E80" w:rsidP="00B2566E">
            <w:pPr>
              <w:spacing w:after="0" w:line="240" w:lineRule="auto"/>
              <w:jc w:val="both"/>
              <w:rPr>
                <w:rFonts w:eastAsia="Calibri" w:cstheme="minorHAnsi"/>
                <w:b/>
                <w:bCs/>
                <w:sz w:val="22"/>
                <w:szCs w:val="22"/>
              </w:rPr>
            </w:pPr>
            <w:r w:rsidRPr="00D86516">
              <w:rPr>
                <w:rFonts w:eastAsia="Calibri" w:cstheme="minorHAnsi"/>
                <w:b/>
                <w:bCs/>
                <w:sz w:val="22"/>
                <w:szCs w:val="22"/>
              </w:rPr>
              <w:t>Informacinių technologijų architektas (asmuo, galintis projektuoti informacinių sistemų architektūrą):</w:t>
            </w:r>
          </w:p>
          <w:p w14:paraId="262112D8" w14:textId="77777777" w:rsidR="00ED7E80" w:rsidRPr="00D86516" w:rsidRDefault="00ED7E80" w:rsidP="00B2566E">
            <w:pPr>
              <w:spacing w:after="0" w:line="240" w:lineRule="auto"/>
              <w:jc w:val="both"/>
              <w:rPr>
                <w:rFonts w:eastAsia="Calibri" w:cstheme="minorHAnsi"/>
                <w:sz w:val="22"/>
                <w:szCs w:val="22"/>
              </w:rPr>
            </w:pPr>
            <w:r w:rsidRPr="00D86516">
              <w:rPr>
                <w:rFonts w:eastAsia="Calibri" w:cstheme="minorHAnsi"/>
                <w:sz w:val="22"/>
                <w:szCs w:val="22"/>
              </w:rPr>
              <w:t>a) turi ne mažesnę kaip 3  metų patirtį informacinių sistemų architektūros projektavimo srityje;</w:t>
            </w:r>
          </w:p>
          <w:p w14:paraId="5DDC9DD1" w14:textId="77777777" w:rsidR="00ED7E80" w:rsidRPr="00D86516" w:rsidRDefault="00ED7E80" w:rsidP="00B2566E">
            <w:pPr>
              <w:spacing w:after="0" w:line="240" w:lineRule="auto"/>
              <w:jc w:val="both"/>
              <w:rPr>
                <w:rFonts w:eastAsia="Calibri" w:cstheme="minorHAnsi"/>
                <w:sz w:val="22"/>
                <w:szCs w:val="22"/>
              </w:rPr>
            </w:pPr>
            <w:r w:rsidRPr="00D86516">
              <w:rPr>
                <w:rFonts w:eastAsia="Calibri" w:cstheme="minorHAnsi"/>
                <w:sz w:val="22"/>
                <w:szCs w:val="22"/>
              </w:rPr>
              <w:t xml:space="preserve">b) turi architektūros projektavimo patirties  per paskutinius 5  metus bent 1 projekte, kurio vykdymo metu </w:t>
            </w:r>
            <w:r w:rsidRPr="00D86516">
              <w:rPr>
                <w:rFonts w:cstheme="minorHAnsi"/>
                <w:sz w:val="22"/>
                <w:szCs w:val="22"/>
              </w:rPr>
              <w:t xml:space="preserve"> </w:t>
            </w:r>
            <w:r w:rsidRPr="00D86516">
              <w:rPr>
                <w:rFonts w:eastAsia="Calibri" w:cstheme="minorHAnsi"/>
                <w:sz w:val="22"/>
                <w:szCs w:val="22"/>
              </w:rPr>
              <w:t xml:space="preserve">vystyta (sukurta ir/arba tobulinta) </w:t>
            </w:r>
            <w:r w:rsidRPr="00D86516">
              <w:rPr>
                <w:rFonts w:eastAsia="Calibri" w:cstheme="minorHAnsi"/>
                <w:i/>
                <w:iCs/>
                <w:sz w:val="22"/>
                <w:szCs w:val="22"/>
              </w:rPr>
              <w:t xml:space="preserve">(angl. </w:t>
            </w:r>
            <w:proofErr w:type="spellStart"/>
            <w:r w:rsidRPr="00D86516">
              <w:rPr>
                <w:rFonts w:eastAsia="Calibri" w:cstheme="minorHAnsi"/>
                <w:i/>
                <w:iCs/>
                <w:sz w:val="22"/>
                <w:szCs w:val="22"/>
              </w:rPr>
              <w:t>Development</w:t>
            </w:r>
            <w:proofErr w:type="spellEnd"/>
            <w:r w:rsidRPr="00D86516">
              <w:rPr>
                <w:rFonts w:eastAsia="Calibri" w:cstheme="minorHAnsi"/>
                <w:i/>
                <w:iCs/>
                <w:sz w:val="22"/>
                <w:szCs w:val="22"/>
              </w:rPr>
              <w:t>)</w:t>
            </w:r>
            <w:r w:rsidRPr="00D86516">
              <w:rPr>
                <w:rFonts w:eastAsia="Calibri" w:cstheme="minorHAnsi"/>
                <w:sz w:val="22"/>
                <w:szCs w:val="22"/>
              </w:rPr>
              <w:t xml:space="preserve"> ir/ar modernizuota informacinė sistema (informacinės sistemos diegimo darbai baigti, sistema priduota </w:t>
            </w:r>
            <w:r w:rsidRPr="00D86516">
              <w:rPr>
                <w:rFonts w:cstheme="minorHAnsi"/>
                <w:sz w:val="22"/>
                <w:szCs w:val="22"/>
              </w:rPr>
              <w:t xml:space="preserve"> </w:t>
            </w:r>
            <w:r w:rsidRPr="00D86516">
              <w:rPr>
                <w:rFonts w:eastAsia="Calibri" w:cstheme="minorHAnsi"/>
                <w:sz w:val="22"/>
                <w:szCs w:val="22"/>
              </w:rPr>
              <w:t xml:space="preserve">gamybinei eksploatacijai), ir kurio metu buvo naudojama </w:t>
            </w:r>
            <w:proofErr w:type="spellStart"/>
            <w:r w:rsidRPr="00D86516">
              <w:rPr>
                <w:rFonts w:eastAsia="Calibri" w:cstheme="minorHAnsi"/>
                <w:sz w:val="22"/>
                <w:szCs w:val="22"/>
              </w:rPr>
              <w:t>Oracle</w:t>
            </w:r>
            <w:proofErr w:type="spellEnd"/>
            <w:r w:rsidRPr="00D86516">
              <w:rPr>
                <w:rFonts w:eastAsia="Calibri" w:cstheme="minorHAnsi"/>
                <w:sz w:val="22"/>
                <w:szCs w:val="22"/>
              </w:rPr>
              <w:t xml:space="preserve"> ir/arba Microsoft SQL ar lygiavertė duomenų bazės valdymo sistema ir Java ir/arba </w:t>
            </w:r>
            <w:proofErr w:type="spellStart"/>
            <w:r w:rsidRPr="00D86516">
              <w:rPr>
                <w:rFonts w:eastAsia="Calibri" w:cstheme="minorHAnsi"/>
                <w:sz w:val="22"/>
                <w:szCs w:val="22"/>
              </w:rPr>
              <w:t>Python</w:t>
            </w:r>
            <w:proofErr w:type="spellEnd"/>
            <w:r w:rsidRPr="00D86516">
              <w:rPr>
                <w:rFonts w:eastAsia="Calibri" w:cstheme="minorHAnsi"/>
                <w:sz w:val="22"/>
                <w:szCs w:val="22"/>
              </w:rPr>
              <w:t xml:space="preserve"> ir/arba C</w:t>
            </w:r>
            <w:r w:rsidRPr="00437ACA">
              <w:rPr>
                <w:rFonts w:eastAsia="Calibri" w:cstheme="minorHAnsi"/>
                <w:sz w:val="22"/>
                <w:szCs w:val="22"/>
                <w:lang w:val="pt-PT"/>
              </w:rPr>
              <w:t>++</w:t>
            </w:r>
            <w:r w:rsidRPr="00D86516">
              <w:rPr>
                <w:rFonts w:eastAsia="Calibri" w:cstheme="minorHAnsi"/>
                <w:sz w:val="22"/>
                <w:szCs w:val="22"/>
              </w:rPr>
              <w:t xml:space="preserve">  ar lygiavertė programavimo kalba.</w:t>
            </w:r>
          </w:p>
        </w:tc>
        <w:tc>
          <w:tcPr>
            <w:tcW w:w="2339"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739F415A" w14:textId="77777777" w:rsidR="00ED7E80" w:rsidRPr="00D86516" w:rsidRDefault="00ED7E80" w:rsidP="00B2566E">
            <w:pPr>
              <w:pStyle w:val="NoSpacing"/>
              <w:jc w:val="both"/>
              <w:rPr>
                <w:rFonts w:cstheme="minorHAnsi"/>
                <w:color w:val="000000"/>
                <w:sz w:val="22"/>
                <w:szCs w:val="22"/>
              </w:rPr>
            </w:pPr>
            <w:r w:rsidRPr="00D86516">
              <w:rPr>
                <w:rFonts w:cstheme="minorHAnsi"/>
                <w:color w:val="000000"/>
                <w:sz w:val="22"/>
                <w:szCs w:val="22"/>
              </w:rPr>
              <w:t>Pateikiami šio kvalifikacijos reikalavimo 4.1.2 punkte nurodyti pagrindžiantys dokumentai.</w:t>
            </w:r>
          </w:p>
          <w:p w14:paraId="3F9AFF26" w14:textId="77777777" w:rsidR="00ED7E80" w:rsidRPr="00D86516" w:rsidRDefault="00ED7E80" w:rsidP="00B2566E">
            <w:pPr>
              <w:jc w:val="both"/>
              <w:rPr>
                <w:rFonts w:cstheme="minorHAnsi"/>
                <w:sz w:val="22"/>
                <w:szCs w:val="22"/>
              </w:rPr>
            </w:pPr>
          </w:p>
        </w:tc>
      </w:tr>
      <w:tr w:rsidR="00ED7E80" w:rsidRPr="00D86516" w14:paraId="323F6BFC" w14:textId="77777777" w:rsidTr="00D86516">
        <w:tc>
          <w:tcPr>
            <w:tcW w:w="509" w:type="pct"/>
            <w:tcBorders>
              <w:top w:val="nil"/>
              <w:left w:val="single" w:sz="8" w:space="0" w:color="000000" w:themeColor="text1"/>
              <w:bottom w:val="single" w:sz="8" w:space="0" w:color="000000" w:themeColor="text1"/>
              <w:right w:val="nil"/>
            </w:tcBorders>
            <w:tcMar>
              <w:top w:w="0" w:type="dxa"/>
              <w:left w:w="108" w:type="dxa"/>
              <w:bottom w:w="0" w:type="dxa"/>
              <w:right w:w="108" w:type="dxa"/>
            </w:tcMar>
            <w:hideMark/>
          </w:tcPr>
          <w:p w14:paraId="5128C53C" w14:textId="77777777" w:rsidR="00ED7E80" w:rsidRPr="00D86516" w:rsidRDefault="00ED7E80" w:rsidP="00B2566E">
            <w:pPr>
              <w:spacing w:after="0" w:line="240" w:lineRule="auto"/>
              <w:ind w:left="-118"/>
              <w:jc w:val="center"/>
              <w:rPr>
                <w:rFonts w:eastAsia="Calibri" w:cstheme="minorHAnsi"/>
                <w:sz w:val="22"/>
                <w:szCs w:val="22"/>
              </w:rPr>
            </w:pPr>
            <w:r w:rsidRPr="00D86516">
              <w:rPr>
                <w:rFonts w:eastAsia="Calibri" w:cstheme="minorHAnsi"/>
                <w:sz w:val="22"/>
                <w:szCs w:val="22"/>
              </w:rPr>
              <w:t>4.1.2.3.</w:t>
            </w:r>
          </w:p>
        </w:tc>
        <w:tc>
          <w:tcPr>
            <w:tcW w:w="2152" w:type="pct"/>
            <w:tcBorders>
              <w:top w:val="nil"/>
              <w:left w:val="single" w:sz="8" w:space="0" w:color="000000" w:themeColor="text1"/>
              <w:bottom w:val="single" w:sz="8" w:space="0" w:color="000000" w:themeColor="text1"/>
              <w:right w:val="nil"/>
            </w:tcBorders>
            <w:tcMar>
              <w:top w:w="0" w:type="dxa"/>
              <w:left w:w="108" w:type="dxa"/>
              <w:bottom w:w="0" w:type="dxa"/>
              <w:right w:w="108" w:type="dxa"/>
            </w:tcMar>
          </w:tcPr>
          <w:p w14:paraId="2423687D" w14:textId="77777777" w:rsidR="00ED7E80" w:rsidRPr="00D86516" w:rsidRDefault="00ED7E80" w:rsidP="00B2566E">
            <w:pPr>
              <w:spacing w:after="0" w:line="240" w:lineRule="auto"/>
              <w:jc w:val="both"/>
              <w:rPr>
                <w:rFonts w:eastAsia="Calibri" w:cstheme="minorHAnsi"/>
                <w:b/>
                <w:bCs/>
                <w:color w:val="000000"/>
                <w:sz w:val="22"/>
                <w:szCs w:val="22"/>
              </w:rPr>
            </w:pPr>
            <w:r w:rsidRPr="00D86516">
              <w:rPr>
                <w:rFonts w:eastAsia="Calibri" w:cstheme="minorHAnsi"/>
                <w:b/>
                <w:bCs/>
                <w:color w:val="000000"/>
                <w:sz w:val="22"/>
                <w:szCs w:val="22"/>
              </w:rPr>
              <w:t xml:space="preserve">Veiklos procesų analitikas (asmuo, kuris gali atlikti IS reikalavimų ir funkcionalumo analizę): </w:t>
            </w:r>
          </w:p>
          <w:p w14:paraId="7D6C4724" w14:textId="77777777" w:rsidR="00ED7E80" w:rsidRPr="00D86516" w:rsidRDefault="00ED7E80" w:rsidP="00B2566E">
            <w:pPr>
              <w:spacing w:after="0" w:line="240" w:lineRule="auto"/>
              <w:jc w:val="both"/>
              <w:rPr>
                <w:rFonts w:eastAsia="Calibri" w:cstheme="minorHAnsi"/>
                <w:color w:val="000000"/>
                <w:sz w:val="22"/>
                <w:szCs w:val="22"/>
              </w:rPr>
            </w:pPr>
            <w:r w:rsidRPr="00D86516">
              <w:rPr>
                <w:rFonts w:eastAsia="Calibri" w:cstheme="minorHAnsi"/>
                <w:color w:val="000000"/>
                <w:sz w:val="22"/>
                <w:szCs w:val="22"/>
              </w:rPr>
              <w:t xml:space="preserve">a) turi ne mažiau kaip 3  metų patirtį veiklos procesų </w:t>
            </w:r>
            <w:r w:rsidRPr="00D86516">
              <w:rPr>
                <w:rFonts w:cstheme="minorHAnsi"/>
                <w:sz w:val="22"/>
                <w:szCs w:val="22"/>
              </w:rPr>
              <w:t xml:space="preserve"> </w:t>
            </w:r>
            <w:r w:rsidRPr="00D86516">
              <w:rPr>
                <w:rFonts w:eastAsia="Calibri" w:cstheme="minorHAnsi"/>
                <w:i/>
                <w:color w:val="000000"/>
                <w:sz w:val="22"/>
                <w:szCs w:val="22"/>
              </w:rPr>
              <w:t xml:space="preserve">(angl. </w:t>
            </w:r>
            <w:proofErr w:type="spellStart"/>
            <w:r w:rsidRPr="00D86516">
              <w:rPr>
                <w:rFonts w:eastAsia="Calibri" w:cstheme="minorHAnsi"/>
                <w:i/>
                <w:color w:val="000000"/>
                <w:sz w:val="22"/>
                <w:szCs w:val="22"/>
              </w:rPr>
              <w:t>business</w:t>
            </w:r>
            <w:proofErr w:type="spellEnd"/>
            <w:r w:rsidRPr="00D86516">
              <w:rPr>
                <w:rFonts w:eastAsia="Calibri" w:cstheme="minorHAnsi"/>
                <w:i/>
                <w:color w:val="000000"/>
                <w:sz w:val="22"/>
                <w:szCs w:val="22"/>
              </w:rPr>
              <w:t xml:space="preserve"> </w:t>
            </w:r>
            <w:proofErr w:type="spellStart"/>
            <w:r w:rsidRPr="00D86516">
              <w:rPr>
                <w:rFonts w:eastAsia="Calibri" w:cstheme="minorHAnsi"/>
                <w:i/>
                <w:color w:val="000000"/>
                <w:sz w:val="22"/>
                <w:szCs w:val="22"/>
              </w:rPr>
              <w:t>process</w:t>
            </w:r>
            <w:proofErr w:type="spellEnd"/>
            <w:r w:rsidRPr="00D86516">
              <w:rPr>
                <w:rFonts w:eastAsia="Calibri" w:cstheme="minorHAnsi"/>
                <w:i/>
                <w:color w:val="000000"/>
                <w:sz w:val="22"/>
                <w:szCs w:val="22"/>
              </w:rPr>
              <w:t>)</w:t>
            </w:r>
            <w:r w:rsidRPr="00D86516">
              <w:rPr>
                <w:rFonts w:eastAsia="Calibri" w:cstheme="minorHAnsi"/>
                <w:color w:val="000000"/>
                <w:sz w:val="22"/>
                <w:szCs w:val="22"/>
              </w:rPr>
              <w:t xml:space="preserve"> analizės srityje;</w:t>
            </w:r>
          </w:p>
          <w:p w14:paraId="3DF23813" w14:textId="77777777" w:rsidR="00ED7E80" w:rsidRPr="00D86516" w:rsidRDefault="00ED7E80" w:rsidP="00B2566E">
            <w:pPr>
              <w:spacing w:after="0" w:line="240" w:lineRule="auto"/>
              <w:jc w:val="both"/>
              <w:rPr>
                <w:rFonts w:eastAsia="Calibri" w:cstheme="minorHAnsi"/>
                <w:sz w:val="22"/>
                <w:szCs w:val="22"/>
              </w:rPr>
            </w:pPr>
            <w:r w:rsidRPr="00D86516">
              <w:rPr>
                <w:rFonts w:eastAsia="Calibri" w:cstheme="minorHAnsi"/>
                <w:sz w:val="22"/>
                <w:szCs w:val="22"/>
              </w:rPr>
              <w:t>b) turi patirties NCTS (</w:t>
            </w:r>
            <w:proofErr w:type="spellStart"/>
            <w:r w:rsidRPr="00D86516">
              <w:rPr>
                <w:rFonts w:eastAsia="Calibri" w:cstheme="minorHAnsi"/>
                <w:sz w:val="22"/>
                <w:szCs w:val="22"/>
              </w:rPr>
              <w:t>New</w:t>
            </w:r>
            <w:proofErr w:type="spellEnd"/>
            <w:r w:rsidRPr="00D86516">
              <w:rPr>
                <w:rFonts w:eastAsia="Calibri" w:cstheme="minorHAnsi"/>
                <w:sz w:val="22"/>
                <w:szCs w:val="22"/>
              </w:rPr>
              <w:t xml:space="preserve"> </w:t>
            </w:r>
            <w:proofErr w:type="spellStart"/>
            <w:r w:rsidRPr="00D86516">
              <w:rPr>
                <w:rFonts w:eastAsia="Calibri" w:cstheme="minorHAnsi"/>
                <w:sz w:val="22"/>
                <w:szCs w:val="22"/>
              </w:rPr>
              <w:t>Computerised</w:t>
            </w:r>
            <w:proofErr w:type="spellEnd"/>
            <w:r w:rsidRPr="00D86516">
              <w:rPr>
                <w:rFonts w:eastAsia="Calibri" w:cstheme="minorHAnsi"/>
                <w:sz w:val="22"/>
                <w:szCs w:val="22"/>
              </w:rPr>
              <w:t xml:space="preserve"> </w:t>
            </w:r>
            <w:proofErr w:type="spellStart"/>
            <w:r w:rsidRPr="00D86516">
              <w:rPr>
                <w:rFonts w:eastAsia="Calibri" w:cstheme="minorHAnsi"/>
                <w:sz w:val="22"/>
                <w:szCs w:val="22"/>
              </w:rPr>
              <w:t>Transit</w:t>
            </w:r>
            <w:proofErr w:type="spellEnd"/>
            <w:r w:rsidRPr="00D86516">
              <w:rPr>
                <w:rFonts w:eastAsia="Calibri" w:cstheme="minorHAnsi"/>
                <w:sz w:val="22"/>
                <w:szCs w:val="22"/>
              </w:rPr>
              <w:t xml:space="preserve"> System) informacinės sistemos arba muitinės deklaracijų apdorojimo informacinės sistemos (</w:t>
            </w:r>
            <w:proofErr w:type="spellStart"/>
            <w:r w:rsidRPr="00D86516">
              <w:rPr>
                <w:rFonts w:eastAsia="Calibri" w:cstheme="minorHAnsi"/>
                <w:sz w:val="22"/>
                <w:szCs w:val="22"/>
              </w:rPr>
              <w:t>Customs</w:t>
            </w:r>
            <w:proofErr w:type="spellEnd"/>
            <w:r w:rsidRPr="00D86516">
              <w:rPr>
                <w:rFonts w:eastAsia="Calibri" w:cstheme="minorHAnsi"/>
                <w:sz w:val="22"/>
                <w:szCs w:val="22"/>
              </w:rPr>
              <w:t xml:space="preserve"> </w:t>
            </w:r>
            <w:proofErr w:type="spellStart"/>
            <w:r w:rsidRPr="00D86516">
              <w:rPr>
                <w:rFonts w:eastAsia="Calibri" w:cstheme="minorHAnsi"/>
                <w:sz w:val="22"/>
                <w:szCs w:val="22"/>
              </w:rPr>
              <w:t>Declaration</w:t>
            </w:r>
            <w:proofErr w:type="spellEnd"/>
            <w:r w:rsidRPr="00D86516">
              <w:rPr>
                <w:rFonts w:eastAsia="Calibri" w:cstheme="minorHAnsi"/>
                <w:sz w:val="22"/>
                <w:szCs w:val="22"/>
              </w:rPr>
              <w:t xml:space="preserve"> </w:t>
            </w:r>
            <w:proofErr w:type="spellStart"/>
            <w:r w:rsidRPr="00D86516">
              <w:rPr>
                <w:rFonts w:eastAsia="Calibri" w:cstheme="minorHAnsi"/>
                <w:sz w:val="22"/>
                <w:szCs w:val="22"/>
              </w:rPr>
              <w:t>Processing</w:t>
            </w:r>
            <w:proofErr w:type="spellEnd"/>
            <w:r w:rsidRPr="00D86516">
              <w:rPr>
                <w:rFonts w:eastAsia="Calibri" w:cstheme="minorHAnsi"/>
                <w:sz w:val="22"/>
                <w:szCs w:val="22"/>
              </w:rPr>
              <w:t xml:space="preserve"> System) arba lygiavertės informacinės sistemos </w:t>
            </w:r>
            <w:r w:rsidRPr="00D86516">
              <w:rPr>
                <w:sz w:val="22"/>
                <w:szCs w:val="22"/>
              </w:rPr>
              <w:t xml:space="preserve"> </w:t>
            </w:r>
            <w:r w:rsidRPr="00D86516">
              <w:rPr>
                <w:rFonts w:eastAsia="Calibri" w:cstheme="minorHAnsi"/>
                <w:sz w:val="22"/>
                <w:szCs w:val="22"/>
              </w:rPr>
              <w:t xml:space="preserve">kūrime ir (ar) modernizavime ir (ar) vystyme  bent 1 sutartyje (projekte) (informacinės sistemos diegimo darbai baigti, sistema priduota </w:t>
            </w:r>
            <w:r w:rsidRPr="00D86516">
              <w:rPr>
                <w:rFonts w:cstheme="minorHAnsi"/>
                <w:sz w:val="22"/>
                <w:szCs w:val="22"/>
              </w:rPr>
              <w:t xml:space="preserve"> </w:t>
            </w:r>
            <w:r w:rsidRPr="00D86516">
              <w:rPr>
                <w:rFonts w:eastAsia="Calibri" w:cstheme="minorHAnsi"/>
                <w:sz w:val="22"/>
                <w:szCs w:val="22"/>
              </w:rPr>
              <w:t>gamybinei eksploatacijai).</w:t>
            </w:r>
          </w:p>
        </w:tc>
        <w:tc>
          <w:tcPr>
            <w:tcW w:w="2339"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105DFE75" w14:textId="77777777" w:rsidR="00ED7E80" w:rsidRPr="00D86516" w:rsidRDefault="00ED7E80" w:rsidP="00B2566E">
            <w:pPr>
              <w:shd w:val="clear" w:color="auto" w:fill="FFFFFF"/>
              <w:spacing w:after="0" w:line="240" w:lineRule="auto"/>
              <w:jc w:val="both"/>
              <w:rPr>
                <w:rFonts w:eastAsia="Calibri" w:cstheme="minorHAnsi"/>
                <w:sz w:val="22"/>
                <w:szCs w:val="22"/>
              </w:rPr>
            </w:pPr>
            <w:r w:rsidRPr="00D86516">
              <w:rPr>
                <w:rFonts w:eastAsia="Calibri" w:cstheme="minorHAnsi"/>
                <w:sz w:val="22"/>
                <w:szCs w:val="22"/>
              </w:rPr>
              <w:t>Pateikiami šio kvalifikacijos reikalavimo 4.1.2 punkte nurodyti pagrindžiantys dokumentai.</w:t>
            </w:r>
          </w:p>
          <w:p w14:paraId="00F781E9" w14:textId="77777777" w:rsidR="00ED7E80" w:rsidRPr="00D86516" w:rsidRDefault="00ED7E80" w:rsidP="00B2566E">
            <w:pPr>
              <w:shd w:val="clear" w:color="auto" w:fill="FFFFFF"/>
              <w:spacing w:after="0" w:line="240" w:lineRule="auto"/>
              <w:jc w:val="both"/>
              <w:rPr>
                <w:rFonts w:eastAsia="Calibri" w:cstheme="minorHAnsi"/>
                <w:sz w:val="22"/>
                <w:szCs w:val="22"/>
              </w:rPr>
            </w:pPr>
          </w:p>
        </w:tc>
      </w:tr>
      <w:tr w:rsidR="00ED7E80" w:rsidRPr="00D86516" w14:paraId="48E6EF4E" w14:textId="77777777" w:rsidTr="00D86516">
        <w:tc>
          <w:tcPr>
            <w:tcW w:w="509" w:type="pct"/>
            <w:tcBorders>
              <w:top w:val="nil"/>
              <w:left w:val="single" w:sz="8" w:space="0" w:color="000000" w:themeColor="text1"/>
              <w:bottom w:val="single" w:sz="8" w:space="0" w:color="000000" w:themeColor="text1"/>
              <w:right w:val="nil"/>
            </w:tcBorders>
            <w:tcMar>
              <w:top w:w="0" w:type="dxa"/>
              <w:left w:w="108" w:type="dxa"/>
              <w:bottom w:w="0" w:type="dxa"/>
              <w:right w:w="108" w:type="dxa"/>
            </w:tcMar>
            <w:hideMark/>
          </w:tcPr>
          <w:p w14:paraId="461E800F" w14:textId="77777777" w:rsidR="00ED7E80" w:rsidRPr="00D86516" w:rsidRDefault="00ED7E80" w:rsidP="00B2566E">
            <w:pPr>
              <w:spacing w:after="0" w:line="240" w:lineRule="auto"/>
              <w:ind w:left="-118"/>
              <w:jc w:val="center"/>
              <w:rPr>
                <w:rFonts w:eastAsia="Calibri" w:cstheme="minorHAnsi"/>
                <w:sz w:val="22"/>
                <w:szCs w:val="22"/>
              </w:rPr>
            </w:pPr>
            <w:r w:rsidRPr="00D86516">
              <w:rPr>
                <w:rFonts w:eastAsia="Calibri" w:cstheme="minorHAnsi"/>
                <w:sz w:val="22"/>
                <w:szCs w:val="22"/>
              </w:rPr>
              <w:t>4.1.2.4.</w:t>
            </w:r>
          </w:p>
        </w:tc>
        <w:tc>
          <w:tcPr>
            <w:tcW w:w="2152" w:type="pct"/>
            <w:tcBorders>
              <w:top w:val="nil"/>
              <w:left w:val="single" w:sz="8" w:space="0" w:color="000000" w:themeColor="text1"/>
              <w:bottom w:val="single" w:sz="8" w:space="0" w:color="000000" w:themeColor="text1"/>
              <w:right w:val="nil"/>
            </w:tcBorders>
            <w:tcMar>
              <w:top w:w="0" w:type="dxa"/>
              <w:left w:w="108" w:type="dxa"/>
              <w:bottom w:w="0" w:type="dxa"/>
              <w:right w:w="108" w:type="dxa"/>
            </w:tcMar>
          </w:tcPr>
          <w:p w14:paraId="1B2398CE" w14:textId="77777777" w:rsidR="00ED7E80" w:rsidRPr="00D86516" w:rsidRDefault="00ED7E80" w:rsidP="00B2566E">
            <w:pPr>
              <w:spacing w:after="0" w:line="240" w:lineRule="auto"/>
              <w:jc w:val="both"/>
              <w:rPr>
                <w:rFonts w:eastAsia="Calibri" w:cstheme="minorHAnsi"/>
                <w:b/>
                <w:bCs/>
                <w:sz w:val="22"/>
                <w:szCs w:val="22"/>
              </w:rPr>
            </w:pPr>
            <w:r w:rsidRPr="00D86516">
              <w:rPr>
                <w:rFonts w:eastAsia="Calibri" w:cstheme="minorHAnsi"/>
                <w:b/>
                <w:bCs/>
                <w:sz w:val="22"/>
                <w:szCs w:val="22"/>
              </w:rPr>
              <w:t>Integracijos specialistas (asmuo, kuris geba projektuoti/programuoti sąsajas tarp skirtingų informacinių sistemų):</w:t>
            </w:r>
          </w:p>
          <w:p w14:paraId="3FA9CE6F" w14:textId="77777777" w:rsidR="00ED7E80" w:rsidRPr="00D86516" w:rsidRDefault="00ED7E80" w:rsidP="00B2566E">
            <w:pPr>
              <w:spacing w:after="0" w:line="240" w:lineRule="auto"/>
              <w:jc w:val="both"/>
              <w:rPr>
                <w:rFonts w:eastAsia="Calibri" w:cstheme="minorHAnsi"/>
                <w:sz w:val="22"/>
                <w:szCs w:val="22"/>
              </w:rPr>
            </w:pPr>
            <w:r w:rsidRPr="00D86516">
              <w:rPr>
                <w:rFonts w:eastAsia="Calibri" w:cstheme="minorHAnsi"/>
                <w:sz w:val="22"/>
                <w:szCs w:val="22"/>
              </w:rPr>
              <w:t>a) turi ne mažiau kaip 3  metų patirtį informacinių sistemų ir (arba) registrų, ir išorinių duomenų integracijos srityje;</w:t>
            </w:r>
          </w:p>
          <w:p w14:paraId="7061499E" w14:textId="77777777" w:rsidR="00ED7E80" w:rsidRPr="00D86516" w:rsidRDefault="00ED7E80" w:rsidP="00B2566E">
            <w:pPr>
              <w:spacing w:line="240" w:lineRule="auto"/>
              <w:contextualSpacing/>
              <w:jc w:val="both"/>
              <w:rPr>
                <w:rFonts w:eastAsia="Calibri" w:cstheme="minorHAnsi"/>
                <w:sz w:val="22"/>
                <w:szCs w:val="22"/>
              </w:rPr>
            </w:pPr>
            <w:r w:rsidRPr="00D86516">
              <w:rPr>
                <w:rFonts w:eastAsia="Calibri" w:cstheme="minorHAnsi"/>
                <w:sz w:val="22"/>
                <w:szCs w:val="22"/>
              </w:rPr>
              <w:t xml:space="preserve">b) per pastaruosius 3  metus vykdė sistemų integracijos specialisto funkcijas dalyvaujant bent 1  sutarties (projekto) įgyvendinime (informacinės sistemos diegimo darbai baigti, sistema priduota  gamybinei eksploatacijai), kurios (kurio) </w:t>
            </w:r>
            <w:r w:rsidRPr="00D86516">
              <w:rPr>
                <w:rFonts w:eastAsia="Calibri" w:cstheme="minorHAnsi"/>
                <w:sz w:val="22"/>
                <w:szCs w:val="22"/>
              </w:rPr>
              <w:lastRenderedPageBreak/>
              <w:t xml:space="preserve">metu buvo sukurta integracija su kita informacine sistema, naudojantis HTTP/HTTPS arba lygiaverčiu  protokolu. </w:t>
            </w:r>
          </w:p>
        </w:tc>
        <w:tc>
          <w:tcPr>
            <w:tcW w:w="2339"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F5235AC" w14:textId="77777777" w:rsidR="00ED7E80" w:rsidRPr="00D86516" w:rsidRDefault="00ED7E80" w:rsidP="00B2566E">
            <w:pPr>
              <w:pStyle w:val="NoSpacing"/>
              <w:jc w:val="both"/>
              <w:rPr>
                <w:rFonts w:cstheme="minorHAnsi"/>
                <w:color w:val="000000"/>
                <w:sz w:val="22"/>
                <w:szCs w:val="22"/>
              </w:rPr>
            </w:pPr>
            <w:r w:rsidRPr="00D86516">
              <w:rPr>
                <w:rFonts w:cstheme="minorHAnsi"/>
                <w:color w:val="000000"/>
                <w:sz w:val="22"/>
                <w:szCs w:val="22"/>
              </w:rPr>
              <w:lastRenderedPageBreak/>
              <w:t>Pateikiami šio kvalifikacijos reikalavimo 4.1.2 punkte nurodyti pagrindžiantys dokumentai.</w:t>
            </w:r>
          </w:p>
          <w:p w14:paraId="6FE1EA50" w14:textId="77777777" w:rsidR="00ED7E80" w:rsidRPr="00D86516" w:rsidRDefault="00ED7E80" w:rsidP="00B2566E">
            <w:pPr>
              <w:shd w:val="clear" w:color="auto" w:fill="FFFFFF"/>
              <w:spacing w:line="240" w:lineRule="auto"/>
              <w:jc w:val="both"/>
              <w:rPr>
                <w:rFonts w:cstheme="minorHAnsi"/>
                <w:sz w:val="22"/>
                <w:szCs w:val="22"/>
              </w:rPr>
            </w:pPr>
          </w:p>
        </w:tc>
      </w:tr>
      <w:tr w:rsidR="00ED7E80" w:rsidRPr="00D86516" w14:paraId="25C7D0AD" w14:textId="77777777" w:rsidTr="00D86516">
        <w:tc>
          <w:tcPr>
            <w:tcW w:w="509" w:type="pct"/>
            <w:tcBorders>
              <w:top w:val="nil"/>
              <w:left w:val="single" w:sz="8" w:space="0" w:color="000000" w:themeColor="text1"/>
              <w:bottom w:val="single" w:sz="8" w:space="0" w:color="000000" w:themeColor="text1"/>
              <w:right w:val="nil"/>
            </w:tcBorders>
            <w:tcMar>
              <w:top w:w="0" w:type="dxa"/>
              <w:left w:w="108" w:type="dxa"/>
              <w:bottom w:w="0" w:type="dxa"/>
              <w:right w:w="108" w:type="dxa"/>
            </w:tcMar>
            <w:hideMark/>
          </w:tcPr>
          <w:p w14:paraId="5E776112" w14:textId="77777777" w:rsidR="00ED7E80" w:rsidRPr="00D86516" w:rsidRDefault="00ED7E80" w:rsidP="00B2566E">
            <w:pPr>
              <w:spacing w:after="0" w:line="240" w:lineRule="auto"/>
              <w:ind w:left="-118"/>
              <w:jc w:val="center"/>
              <w:rPr>
                <w:rFonts w:eastAsia="Calibri" w:cstheme="minorHAnsi"/>
                <w:sz w:val="22"/>
                <w:szCs w:val="22"/>
              </w:rPr>
            </w:pPr>
            <w:r w:rsidRPr="00D86516">
              <w:rPr>
                <w:rFonts w:eastAsia="Calibri" w:cstheme="minorHAnsi"/>
                <w:sz w:val="22"/>
                <w:szCs w:val="22"/>
              </w:rPr>
              <w:t>4.1.2.5.</w:t>
            </w:r>
          </w:p>
        </w:tc>
        <w:tc>
          <w:tcPr>
            <w:tcW w:w="2152" w:type="pct"/>
            <w:tcBorders>
              <w:top w:val="nil"/>
              <w:left w:val="single" w:sz="8" w:space="0" w:color="000000" w:themeColor="text1"/>
              <w:bottom w:val="single" w:sz="8" w:space="0" w:color="000000" w:themeColor="text1"/>
              <w:right w:val="nil"/>
            </w:tcBorders>
            <w:tcMar>
              <w:top w:w="0" w:type="dxa"/>
              <w:left w:w="108" w:type="dxa"/>
              <w:bottom w:w="0" w:type="dxa"/>
              <w:right w:w="108" w:type="dxa"/>
            </w:tcMar>
          </w:tcPr>
          <w:p w14:paraId="24D3D24C" w14:textId="77777777" w:rsidR="00ED7E80" w:rsidRPr="00D86516" w:rsidRDefault="00ED7E80" w:rsidP="00B2566E">
            <w:pPr>
              <w:spacing w:after="0" w:line="240" w:lineRule="auto"/>
              <w:jc w:val="both"/>
              <w:rPr>
                <w:rFonts w:eastAsia="Calibri" w:cstheme="minorHAnsi"/>
                <w:b/>
                <w:bCs/>
                <w:color w:val="000000"/>
                <w:sz w:val="22"/>
                <w:szCs w:val="22"/>
              </w:rPr>
            </w:pPr>
            <w:r w:rsidRPr="00D86516">
              <w:rPr>
                <w:rFonts w:eastAsia="Calibri" w:cstheme="minorHAnsi"/>
                <w:b/>
                <w:bCs/>
                <w:color w:val="000000" w:themeColor="text1"/>
                <w:sz w:val="22"/>
                <w:szCs w:val="22"/>
              </w:rPr>
              <w:t>Programuotojas  (asmuo, kuris geba programuoti programinės įrangos komponentus ir juos integruoti į veikiančią programinę įrangą):</w:t>
            </w:r>
          </w:p>
          <w:p w14:paraId="6D377085" w14:textId="77777777" w:rsidR="00ED7E80" w:rsidRPr="00D86516" w:rsidRDefault="00ED7E80" w:rsidP="00B2566E">
            <w:pPr>
              <w:spacing w:after="0" w:line="240" w:lineRule="auto"/>
              <w:jc w:val="both"/>
              <w:rPr>
                <w:rFonts w:eastAsia="Calibri" w:cstheme="minorHAnsi"/>
                <w:color w:val="000000"/>
                <w:sz w:val="22"/>
                <w:szCs w:val="22"/>
              </w:rPr>
            </w:pPr>
            <w:r w:rsidRPr="00D86516">
              <w:rPr>
                <w:rFonts w:eastAsia="Calibri" w:cstheme="minorHAnsi"/>
                <w:color w:val="000000"/>
                <w:sz w:val="22"/>
                <w:szCs w:val="22"/>
              </w:rPr>
              <w:t>a) turi ne trumpesnę kaip 3  metų patirtį informacinių sistemų ir/ar registrų programavimo srityje;</w:t>
            </w:r>
          </w:p>
          <w:p w14:paraId="02E48007" w14:textId="77777777" w:rsidR="00ED7E80" w:rsidRPr="00D86516" w:rsidRDefault="00ED7E80" w:rsidP="00B2566E">
            <w:pPr>
              <w:spacing w:after="0" w:line="240" w:lineRule="auto"/>
              <w:jc w:val="both"/>
              <w:rPr>
                <w:rFonts w:eastAsia="Calibri" w:cstheme="minorHAnsi"/>
                <w:sz w:val="22"/>
                <w:szCs w:val="22"/>
              </w:rPr>
            </w:pPr>
            <w:r w:rsidRPr="00D86516">
              <w:rPr>
                <w:rFonts w:eastAsia="Calibri" w:cstheme="minorHAnsi"/>
                <w:color w:val="000000" w:themeColor="text1"/>
                <w:sz w:val="22"/>
                <w:szCs w:val="22"/>
              </w:rPr>
              <w:t xml:space="preserve">b) per pastaruosius 3  metus dalyvavo įgyvendinant bent 1  sutartį (projektą) </w:t>
            </w:r>
            <w:r w:rsidRPr="00D86516">
              <w:rPr>
                <w:rFonts w:eastAsia="Calibri" w:cstheme="minorHAnsi"/>
                <w:sz w:val="22"/>
                <w:szCs w:val="22"/>
              </w:rPr>
              <w:t xml:space="preserve">(informacinės sistemos diegimo darbai baigti, sistema priduota </w:t>
            </w:r>
            <w:r w:rsidRPr="00D86516">
              <w:rPr>
                <w:rFonts w:cstheme="minorHAnsi"/>
                <w:sz w:val="22"/>
                <w:szCs w:val="22"/>
              </w:rPr>
              <w:t xml:space="preserve"> </w:t>
            </w:r>
            <w:r w:rsidRPr="00D86516">
              <w:rPr>
                <w:rFonts w:eastAsia="Calibri" w:cstheme="minorHAnsi"/>
                <w:sz w:val="22"/>
                <w:szCs w:val="22"/>
              </w:rPr>
              <w:t>gamybinei eksploatacijai)</w:t>
            </w:r>
            <w:r w:rsidRPr="00D86516">
              <w:rPr>
                <w:rFonts w:eastAsia="Calibri" w:cstheme="minorHAnsi"/>
                <w:color w:val="000000" w:themeColor="text1"/>
                <w:sz w:val="22"/>
                <w:szCs w:val="22"/>
              </w:rPr>
              <w:t xml:space="preserve">, kurios (kurio) metu jis buvo atsakingas už programavimą, naudojant </w:t>
            </w:r>
            <w:r w:rsidRPr="00D86516">
              <w:rPr>
                <w:rFonts w:eastAsia="Calibri" w:cstheme="minorHAnsi"/>
                <w:sz w:val="22"/>
                <w:szCs w:val="22"/>
              </w:rPr>
              <w:t xml:space="preserve">Java ir/arba </w:t>
            </w:r>
            <w:proofErr w:type="spellStart"/>
            <w:r w:rsidRPr="00D86516">
              <w:rPr>
                <w:rFonts w:eastAsia="Calibri" w:cstheme="minorHAnsi"/>
                <w:sz w:val="22"/>
                <w:szCs w:val="22"/>
              </w:rPr>
              <w:t>Python</w:t>
            </w:r>
            <w:proofErr w:type="spellEnd"/>
            <w:r w:rsidRPr="00D86516">
              <w:rPr>
                <w:rFonts w:eastAsia="Calibri" w:cstheme="minorHAnsi"/>
                <w:sz w:val="22"/>
                <w:szCs w:val="22"/>
              </w:rPr>
              <w:t xml:space="preserve"> ir/arba C++</w:t>
            </w:r>
            <w:r w:rsidRPr="00D86516">
              <w:rPr>
                <w:rFonts w:eastAsia="Calibri" w:cstheme="minorHAnsi"/>
                <w:color w:val="000000" w:themeColor="text1"/>
                <w:sz w:val="22"/>
                <w:szCs w:val="22"/>
              </w:rPr>
              <w:t> ar lygiavertę taikomųjų programų kūrimo technologiją.</w:t>
            </w:r>
          </w:p>
        </w:tc>
        <w:tc>
          <w:tcPr>
            <w:tcW w:w="2339"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3103AA0" w14:textId="77777777" w:rsidR="00ED7E80" w:rsidRPr="00D86516" w:rsidRDefault="00ED7E80" w:rsidP="00B2566E">
            <w:pPr>
              <w:shd w:val="clear" w:color="auto" w:fill="FFFFFF"/>
              <w:spacing w:after="0" w:line="240" w:lineRule="auto"/>
              <w:jc w:val="both"/>
              <w:rPr>
                <w:rFonts w:eastAsia="Calibri" w:cstheme="minorHAnsi"/>
                <w:sz w:val="22"/>
                <w:szCs w:val="22"/>
              </w:rPr>
            </w:pPr>
            <w:r w:rsidRPr="00D86516">
              <w:rPr>
                <w:rFonts w:eastAsia="Calibri" w:cstheme="minorHAnsi"/>
                <w:sz w:val="22"/>
                <w:szCs w:val="22"/>
              </w:rPr>
              <w:t>Pateikiami šio kvalifikacijos reikalavimo 4.1.2 punkte nurodyti pagrindžiantys dokumentai.</w:t>
            </w:r>
          </w:p>
          <w:p w14:paraId="70A5DACD" w14:textId="77777777" w:rsidR="00ED7E80" w:rsidRPr="00D86516" w:rsidRDefault="00ED7E80" w:rsidP="00B2566E">
            <w:pPr>
              <w:shd w:val="clear" w:color="auto" w:fill="FFFFFF"/>
              <w:spacing w:after="0" w:line="240" w:lineRule="auto"/>
              <w:jc w:val="both"/>
              <w:rPr>
                <w:rFonts w:eastAsia="Calibri" w:cstheme="minorHAnsi"/>
                <w:sz w:val="22"/>
                <w:szCs w:val="22"/>
              </w:rPr>
            </w:pPr>
          </w:p>
        </w:tc>
      </w:tr>
      <w:tr w:rsidR="00ED7E80" w:rsidRPr="00D86516" w14:paraId="7F441B04" w14:textId="77777777" w:rsidTr="00D86516">
        <w:trPr>
          <w:trHeight w:val="4233"/>
        </w:trPr>
        <w:tc>
          <w:tcPr>
            <w:tcW w:w="509" w:type="pct"/>
            <w:tcBorders>
              <w:top w:val="nil"/>
              <w:left w:val="single" w:sz="8" w:space="0" w:color="000000" w:themeColor="text1"/>
              <w:bottom w:val="single" w:sz="8" w:space="0" w:color="000000" w:themeColor="text1"/>
              <w:right w:val="nil"/>
            </w:tcBorders>
            <w:tcMar>
              <w:top w:w="0" w:type="dxa"/>
              <w:left w:w="108" w:type="dxa"/>
              <w:bottom w:w="0" w:type="dxa"/>
              <w:right w:w="108" w:type="dxa"/>
            </w:tcMar>
            <w:hideMark/>
          </w:tcPr>
          <w:p w14:paraId="7D9D4D64" w14:textId="77777777" w:rsidR="00ED7E80" w:rsidRPr="00D86516" w:rsidRDefault="00ED7E80" w:rsidP="00B2566E">
            <w:pPr>
              <w:spacing w:after="0" w:line="240" w:lineRule="auto"/>
              <w:ind w:left="-118"/>
              <w:rPr>
                <w:rFonts w:eastAsia="Calibri" w:cstheme="minorHAnsi"/>
                <w:sz w:val="22"/>
                <w:szCs w:val="22"/>
              </w:rPr>
            </w:pPr>
            <w:r w:rsidRPr="00D86516">
              <w:rPr>
                <w:rFonts w:eastAsia="Calibri" w:cstheme="minorHAnsi"/>
                <w:sz w:val="22"/>
                <w:szCs w:val="22"/>
              </w:rPr>
              <w:t>4.1.2.6.</w:t>
            </w:r>
          </w:p>
        </w:tc>
        <w:tc>
          <w:tcPr>
            <w:tcW w:w="2152" w:type="pct"/>
            <w:tcBorders>
              <w:top w:val="nil"/>
              <w:left w:val="single" w:sz="8" w:space="0" w:color="000000" w:themeColor="text1"/>
              <w:bottom w:val="single" w:sz="8" w:space="0" w:color="000000" w:themeColor="text1"/>
              <w:right w:val="nil"/>
            </w:tcBorders>
            <w:tcMar>
              <w:top w:w="0" w:type="dxa"/>
              <w:left w:w="108" w:type="dxa"/>
              <w:bottom w:w="0" w:type="dxa"/>
              <w:right w:w="108" w:type="dxa"/>
            </w:tcMar>
          </w:tcPr>
          <w:p w14:paraId="16AEFFA6" w14:textId="77777777" w:rsidR="00ED7E80" w:rsidRPr="00D86516" w:rsidRDefault="00ED7E80" w:rsidP="00B2566E">
            <w:pPr>
              <w:spacing w:after="0" w:line="240" w:lineRule="auto"/>
              <w:jc w:val="both"/>
              <w:rPr>
                <w:rFonts w:eastAsia="Calibri" w:cstheme="minorHAnsi"/>
                <w:b/>
                <w:bCs/>
                <w:sz w:val="22"/>
                <w:szCs w:val="22"/>
              </w:rPr>
            </w:pPr>
            <w:r w:rsidRPr="00D86516">
              <w:rPr>
                <w:rFonts w:eastAsia="Calibri" w:cstheme="minorHAnsi"/>
                <w:b/>
                <w:bCs/>
                <w:sz w:val="22"/>
                <w:szCs w:val="22"/>
              </w:rPr>
              <w:t xml:space="preserve">Duomenų bazių projektuotojas / programuotojas </w:t>
            </w:r>
            <w:r w:rsidRPr="00D86516">
              <w:rPr>
                <w:rFonts w:eastAsia="Calibri" w:cstheme="minorHAnsi"/>
                <w:b/>
                <w:bCs/>
                <w:i/>
                <w:sz w:val="22"/>
                <w:szCs w:val="22"/>
              </w:rPr>
              <w:t xml:space="preserve">(angl. </w:t>
            </w:r>
            <w:proofErr w:type="spellStart"/>
            <w:r w:rsidRPr="00D86516">
              <w:rPr>
                <w:rFonts w:eastAsia="Calibri" w:cstheme="minorHAnsi"/>
                <w:b/>
                <w:bCs/>
                <w:i/>
                <w:sz w:val="22"/>
                <w:szCs w:val="22"/>
              </w:rPr>
              <w:t>designer</w:t>
            </w:r>
            <w:proofErr w:type="spellEnd"/>
            <w:r w:rsidRPr="00D86516">
              <w:rPr>
                <w:rFonts w:eastAsia="Calibri" w:cstheme="minorHAnsi"/>
                <w:b/>
                <w:bCs/>
                <w:i/>
                <w:sz w:val="22"/>
                <w:szCs w:val="22"/>
              </w:rPr>
              <w:t>)</w:t>
            </w:r>
            <w:r w:rsidRPr="00D86516">
              <w:rPr>
                <w:rFonts w:eastAsia="Calibri" w:cstheme="minorHAnsi"/>
                <w:b/>
                <w:bCs/>
                <w:sz w:val="22"/>
                <w:szCs w:val="22"/>
              </w:rPr>
              <w:t xml:space="preserve"> (asmuo, kuris geba integruoti duomenų bazės komponentus į visumą):</w:t>
            </w:r>
          </w:p>
          <w:p w14:paraId="529242C5" w14:textId="77777777" w:rsidR="00ED7E80" w:rsidRPr="00D86516" w:rsidRDefault="00ED7E80" w:rsidP="00B2566E">
            <w:pPr>
              <w:spacing w:after="0" w:line="240" w:lineRule="auto"/>
              <w:jc w:val="both"/>
              <w:rPr>
                <w:rFonts w:eastAsia="Calibri" w:cstheme="minorHAnsi"/>
                <w:sz w:val="22"/>
                <w:szCs w:val="22"/>
              </w:rPr>
            </w:pPr>
            <w:r w:rsidRPr="00D86516">
              <w:rPr>
                <w:rFonts w:eastAsia="Calibri" w:cstheme="minorHAnsi"/>
                <w:sz w:val="22"/>
                <w:szCs w:val="22"/>
              </w:rPr>
              <w:t>a) turi ne mažesnę kaip 3 metų duomenų bazių kūrimo / projektavimo / programavimo  patirtį;</w:t>
            </w:r>
          </w:p>
          <w:p w14:paraId="501853A3" w14:textId="77777777" w:rsidR="00ED7E80" w:rsidRPr="00D86516" w:rsidRDefault="00ED7E80" w:rsidP="00B2566E">
            <w:pPr>
              <w:spacing w:after="0" w:line="240" w:lineRule="auto"/>
              <w:jc w:val="both"/>
              <w:rPr>
                <w:rFonts w:eastAsia="Calibri" w:cstheme="minorHAnsi"/>
                <w:sz w:val="22"/>
                <w:szCs w:val="22"/>
              </w:rPr>
            </w:pPr>
            <w:r w:rsidRPr="00D86516">
              <w:rPr>
                <w:rFonts w:eastAsia="Calibri" w:cstheme="minorHAnsi"/>
                <w:sz w:val="22"/>
                <w:szCs w:val="22"/>
              </w:rPr>
              <w:t xml:space="preserve">b) turi patirties per pastaruosius 5  metus projektuojant/programuojant duomenų bazes bent 1  projekte, kurios (kurio) vykdymo metu  vystyta (sukurta ir/arba tobulinta) </w:t>
            </w:r>
            <w:r w:rsidRPr="00D86516">
              <w:rPr>
                <w:rFonts w:eastAsia="Calibri" w:cstheme="minorHAnsi"/>
                <w:i/>
                <w:iCs/>
                <w:sz w:val="22"/>
                <w:szCs w:val="22"/>
              </w:rPr>
              <w:t xml:space="preserve">(angl. </w:t>
            </w:r>
            <w:proofErr w:type="spellStart"/>
            <w:r w:rsidRPr="00D86516">
              <w:rPr>
                <w:rFonts w:eastAsia="Calibri" w:cstheme="minorHAnsi"/>
                <w:i/>
                <w:iCs/>
                <w:sz w:val="22"/>
                <w:szCs w:val="22"/>
              </w:rPr>
              <w:t>Development</w:t>
            </w:r>
            <w:proofErr w:type="spellEnd"/>
            <w:r w:rsidRPr="00D86516">
              <w:rPr>
                <w:rFonts w:eastAsia="Calibri" w:cstheme="minorHAnsi"/>
                <w:i/>
                <w:iCs/>
                <w:sz w:val="22"/>
                <w:szCs w:val="22"/>
              </w:rPr>
              <w:t>)</w:t>
            </w:r>
            <w:r w:rsidRPr="00D86516">
              <w:rPr>
                <w:rFonts w:eastAsia="Calibri" w:cstheme="minorHAnsi"/>
                <w:sz w:val="22"/>
                <w:szCs w:val="22"/>
              </w:rPr>
              <w:t xml:space="preserve"> ir/ar modernizuota informacinė sistema (informacinės sistemos diegimo darbai baigti, sistema priduota </w:t>
            </w:r>
            <w:r w:rsidRPr="00D86516">
              <w:rPr>
                <w:rFonts w:cstheme="minorHAnsi"/>
                <w:sz w:val="22"/>
                <w:szCs w:val="22"/>
              </w:rPr>
              <w:t xml:space="preserve"> </w:t>
            </w:r>
            <w:r w:rsidRPr="00D86516">
              <w:rPr>
                <w:rFonts w:eastAsia="Calibri" w:cstheme="minorHAnsi"/>
                <w:sz w:val="22"/>
                <w:szCs w:val="22"/>
              </w:rPr>
              <w:t xml:space="preserve">gamybinei eksploatacijai), naudojant  </w:t>
            </w:r>
            <w:proofErr w:type="spellStart"/>
            <w:r w:rsidRPr="00D86516">
              <w:rPr>
                <w:rFonts w:eastAsia="Calibri" w:cstheme="minorHAnsi"/>
                <w:sz w:val="22"/>
                <w:szCs w:val="22"/>
              </w:rPr>
              <w:t>Oracle</w:t>
            </w:r>
            <w:proofErr w:type="spellEnd"/>
            <w:r w:rsidRPr="00D86516">
              <w:rPr>
                <w:rFonts w:eastAsia="Calibri" w:cstheme="minorHAnsi"/>
                <w:sz w:val="22"/>
                <w:szCs w:val="22"/>
              </w:rPr>
              <w:t xml:space="preserve"> ir/arba Microsoft SQL ar lygiavertę  duomenų bazės valdymo sistemą.</w:t>
            </w:r>
          </w:p>
        </w:tc>
        <w:tc>
          <w:tcPr>
            <w:tcW w:w="2339"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04D6669" w14:textId="77777777" w:rsidR="00ED7E80" w:rsidRPr="00D86516" w:rsidRDefault="00ED7E80" w:rsidP="00B2566E">
            <w:pPr>
              <w:rPr>
                <w:rFonts w:eastAsia="Calibri" w:cstheme="minorHAnsi"/>
                <w:sz w:val="22"/>
                <w:szCs w:val="22"/>
              </w:rPr>
            </w:pPr>
            <w:r w:rsidRPr="00D86516">
              <w:rPr>
                <w:rFonts w:eastAsia="Calibri" w:cstheme="minorHAnsi"/>
                <w:sz w:val="22"/>
                <w:szCs w:val="22"/>
              </w:rPr>
              <w:t>Pateikiami šio kvalifikacijos reikalavimo 4.1.2 punkte nurodyti pagrindžiantys dokumentai.</w:t>
            </w:r>
          </w:p>
          <w:p w14:paraId="445EADF3" w14:textId="77777777" w:rsidR="00ED7E80" w:rsidRPr="00D86516" w:rsidRDefault="00ED7E80" w:rsidP="00B2566E">
            <w:pPr>
              <w:shd w:val="clear" w:color="auto" w:fill="FFFFFF"/>
              <w:spacing w:after="0" w:line="240" w:lineRule="auto"/>
              <w:jc w:val="both"/>
              <w:rPr>
                <w:rFonts w:eastAsia="Calibri" w:cstheme="minorHAnsi"/>
                <w:sz w:val="22"/>
                <w:szCs w:val="22"/>
              </w:rPr>
            </w:pPr>
          </w:p>
        </w:tc>
      </w:tr>
      <w:tr w:rsidR="00ED7E80" w:rsidRPr="00D86516" w14:paraId="4647052B" w14:textId="77777777" w:rsidTr="00D86516">
        <w:tc>
          <w:tcPr>
            <w:tcW w:w="509" w:type="pct"/>
            <w:tcBorders>
              <w:top w:val="nil"/>
              <w:left w:val="single" w:sz="8" w:space="0" w:color="000000" w:themeColor="text1"/>
              <w:bottom w:val="single" w:sz="8" w:space="0" w:color="000000" w:themeColor="text1"/>
              <w:right w:val="nil"/>
            </w:tcBorders>
            <w:tcMar>
              <w:top w:w="0" w:type="dxa"/>
              <w:left w:w="108" w:type="dxa"/>
              <w:bottom w:w="0" w:type="dxa"/>
              <w:right w:w="108" w:type="dxa"/>
            </w:tcMar>
            <w:hideMark/>
          </w:tcPr>
          <w:p w14:paraId="72CD5D30" w14:textId="77777777" w:rsidR="00ED7E80" w:rsidRPr="00D86516" w:rsidRDefault="00ED7E80" w:rsidP="00B2566E">
            <w:pPr>
              <w:spacing w:after="0" w:line="240" w:lineRule="auto"/>
              <w:ind w:left="-118"/>
              <w:jc w:val="center"/>
              <w:rPr>
                <w:rFonts w:eastAsia="Calibri" w:cstheme="minorHAnsi"/>
                <w:sz w:val="22"/>
                <w:szCs w:val="22"/>
              </w:rPr>
            </w:pPr>
            <w:r w:rsidRPr="00D86516">
              <w:rPr>
                <w:rFonts w:eastAsia="Calibri" w:cstheme="minorHAnsi"/>
                <w:sz w:val="22"/>
                <w:szCs w:val="22"/>
              </w:rPr>
              <w:t>4.1.2.7.</w:t>
            </w:r>
          </w:p>
        </w:tc>
        <w:tc>
          <w:tcPr>
            <w:tcW w:w="2152" w:type="pct"/>
            <w:tcBorders>
              <w:top w:val="nil"/>
              <w:left w:val="single" w:sz="8" w:space="0" w:color="000000" w:themeColor="text1"/>
              <w:bottom w:val="single" w:sz="8" w:space="0" w:color="000000" w:themeColor="text1"/>
              <w:right w:val="nil"/>
            </w:tcBorders>
            <w:tcMar>
              <w:top w:w="0" w:type="dxa"/>
              <w:left w:w="108" w:type="dxa"/>
              <w:bottom w:w="0" w:type="dxa"/>
              <w:right w:w="108" w:type="dxa"/>
            </w:tcMar>
          </w:tcPr>
          <w:p w14:paraId="4B7CFAA4" w14:textId="77777777" w:rsidR="00ED7E80" w:rsidRPr="00D86516" w:rsidRDefault="00ED7E80" w:rsidP="00B2566E">
            <w:pPr>
              <w:spacing w:after="0" w:line="240" w:lineRule="auto"/>
              <w:jc w:val="both"/>
              <w:rPr>
                <w:rFonts w:eastAsia="Calibri" w:cstheme="minorHAnsi"/>
                <w:b/>
                <w:bCs/>
                <w:sz w:val="22"/>
                <w:szCs w:val="22"/>
              </w:rPr>
            </w:pPr>
            <w:r w:rsidRPr="00D86516">
              <w:rPr>
                <w:rFonts w:eastAsia="Calibri" w:cstheme="minorHAnsi"/>
                <w:b/>
                <w:bCs/>
                <w:sz w:val="22"/>
                <w:szCs w:val="22"/>
              </w:rPr>
              <w:t>Testavimo specialistas (asmuo, kuris geba sukurti testavimo specifikacijas, testo priėmimo planus ir atlikti testavimą):</w:t>
            </w:r>
          </w:p>
          <w:p w14:paraId="14A83754" w14:textId="77777777" w:rsidR="00ED7E80" w:rsidRPr="00D86516" w:rsidRDefault="00ED7E80" w:rsidP="00B2566E">
            <w:pPr>
              <w:spacing w:after="0" w:line="240" w:lineRule="auto"/>
              <w:jc w:val="both"/>
              <w:rPr>
                <w:rFonts w:eastAsia="Calibri" w:cstheme="minorHAnsi"/>
                <w:sz w:val="22"/>
                <w:szCs w:val="22"/>
              </w:rPr>
            </w:pPr>
            <w:r w:rsidRPr="00D86516">
              <w:rPr>
                <w:rFonts w:eastAsia="Calibri" w:cstheme="minorHAnsi"/>
                <w:sz w:val="22"/>
                <w:szCs w:val="22"/>
              </w:rPr>
              <w:t>a) turi ne trumpesnę kaip 3 metų patirtį testuojant informacines sistemas ir/ar ruošiant testavimo scenarijus;</w:t>
            </w:r>
          </w:p>
          <w:p w14:paraId="145F4B83" w14:textId="77777777" w:rsidR="00ED7E80" w:rsidRPr="00D86516" w:rsidRDefault="00ED7E80" w:rsidP="00B2566E">
            <w:pPr>
              <w:spacing w:after="0" w:line="240" w:lineRule="auto"/>
              <w:jc w:val="both"/>
              <w:rPr>
                <w:rFonts w:eastAsia="Calibri" w:cstheme="minorHAnsi"/>
                <w:sz w:val="22"/>
                <w:szCs w:val="22"/>
              </w:rPr>
            </w:pPr>
            <w:r w:rsidRPr="00D86516">
              <w:rPr>
                <w:rFonts w:eastAsia="Calibri" w:cstheme="minorHAnsi"/>
                <w:sz w:val="22"/>
                <w:szCs w:val="22"/>
              </w:rPr>
              <w:t xml:space="preserve">b) per pastaruosius 3  metus įgijo patirties įgyvendinant ne mažiau kaip 1  įvykdytą sutartį (projektą) (informacinės sistemos diegimo darbai baigti, sistema priduota </w:t>
            </w:r>
            <w:r w:rsidRPr="00D86516">
              <w:rPr>
                <w:rFonts w:cstheme="minorHAnsi"/>
                <w:sz w:val="22"/>
                <w:szCs w:val="22"/>
              </w:rPr>
              <w:t xml:space="preserve"> </w:t>
            </w:r>
            <w:r w:rsidRPr="00D86516">
              <w:rPr>
                <w:rFonts w:eastAsia="Calibri" w:cstheme="minorHAnsi"/>
                <w:sz w:val="22"/>
                <w:szCs w:val="22"/>
              </w:rPr>
              <w:t xml:space="preserve">gamybinei eksploatacijai), kurios (kurio) apimtyje buvo testuojama informacinė sistema. Sutarties (projekto) vykdymo metu turėjo būti parengti sistemos testavimo planai, parengti testavimo scenarijai ir atlikti </w:t>
            </w:r>
            <w:r w:rsidRPr="00D86516">
              <w:rPr>
                <w:rFonts w:eastAsia="Calibri" w:cstheme="minorHAnsi"/>
                <w:sz w:val="22"/>
                <w:szCs w:val="22"/>
              </w:rPr>
              <w:lastRenderedPageBreak/>
              <w:t>testavimai bei parengtos testavimo ataskaitos.</w:t>
            </w:r>
          </w:p>
          <w:p w14:paraId="26E0AAB2" w14:textId="77777777" w:rsidR="00ED7E80" w:rsidRPr="00D86516" w:rsidRDefault="00ED7E80" w:rsidP="00B2566E">
            <w:pPr>
              <w:spacing w:after="0" w:line="240" w:lineRule="auto"/>
              <w:jc w:val="both"/>
              <w:rPr>
                <w:rFonts w:eastAsia="Calibri" w:cstheme="minorHAnsi"/>
                <w:b/>
                <w:bCs/>
                <w:sz w:val="22"/>
                <w:szCs w:val="22"/>
              </w:rPr>
            </w:pPr>
          </w:p>
        </w:tc>
        <w:tc>
          <w:tcPr>
            <w:tcW w:w="2339"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14013ACB" w14:textId="77777777" w:rsidR="00ED7E80" w:rsidRPr="00D86516" w:rsidRDefault="00ED7E80" w:rsidP="00B2566E">
            <w:pPr>
              <w:rPr>
                <w:rFonts w:eastAsia="Calibri" w:cstheme="minorHAnsi"/>
                <w:sz w:val="22"/>
                <w:szCs w:val="22"/>
              </w:rPr>
            </w:pPr>
            <w:r w:rsidRPr="00D86516">
              <w:rPr>
                <w:rFonts w:eastAsia="Calibri" w:cstheme="minorHAnsi"/>
                <w:sz w:val="22"/>
                <w:szCs w:val="22"/>
              </w:rPr>
              <w:lastRenderedPageBreak/>
              <w:t>Pateikiami šio kvalifikacijos reikalavimo 4.1.2 punkte nurodyti pagrindžiantys dokumentai.</w:t>
            </w:r>
          </w:p>
          <w:p w14:paraId="0E394635" w14:textId="77777777" w:rsidR="00ED7E80" w:rsidRPr="00D86516" w:rsidRDefault="00ED7E80" w:rsidP="00B2566E">
            <w:pPr>
              <w:shd w:val="clear" w:color="auto" w:fill="FFFFFF"/>
              <w:spacing w:after="0" w:line="240" w:lineRule="auto"/>
              <w:jc w:val="both"/>
              <w:rPr>
                <w:rFonts w:eastAsia="Calibri" w:cstheme="minorHAnsi"/>
                <w:sz w:val="22"/>
                <w:szCs w:val="22"/>
              </w:rPr>
            </w:pPr>
          </w:p>
        </w:tc>
      </w:tr>
      <w:tr w:rsidR="00ED7E80" w:rsidRPr="00D86516" w14:paraId="4AF728AA" w14:textId="77777777" w:rsidTr="00D86516">
        <w:tc>
          <w:tcPr>
            <w:tcW w:w="509" w:type="pct"/>
            <w:tcBorders>
              <w:top w:val="nil"/>
              <w:left w:val="single" w:sz="8" w:space="0" w:color="000000" w:themeColor="text1"/>
              <w:bottom w:val="single" w:sz="8" w:space="0" w:color="000000" w:themeColor="text1"/>
              <w:right w:val="nil"/>
            </w:tcBorders>
            <w:tcMar>
              <w:top w:w="0" w:type="dxa"/>
              <w:left w:w="108" w:type="dxa"/>
              <w:bottom w:w="0" w:type="dxa"/>
              <w:right w:w="108" w:type="dxa"/>
            </w:tcMar>
            <w:hideMark/>
          </w:tcPr>
          <w:p w14:paraId="2D9E1904" w14:textId="77777777" w:rsidR="00ED7E80" w:rsidRPr="00D86516" w:rsidRDefault="00ED7E80" w:rsidP="00B2566E">
            <w:pPr>
              <w:spacing w:after="0" w:line="240" w:lineRule="auto"/>
              <w:ind w:left="-118" w:right="-390"/>
              <w:jc w:val="center"/>
              <w:rPr>
                <w:rFonts w:eastAsia="Calibri" w:cstheme="minorHAnsi"/>
                <w:sz w:val="22"/>
                <w:szCs w:val="22"/>
              </w:rPr>
            </w:pPr>
            <w:r w:rsidRPr="00D86516">
              <w:rPr>
                <w:rFonts w:eastAsia="Calibri" w:cstheme="minorHAnsi"/>
                <w:sz w:val="22"/>
                <w:szCs w:val="22"/>
              </w:rPr>
              <w:t>4.1.2.8.</w:t>
            </w:r>
          </w:p>
        </w:tc>
        <w:tc>
          <w:tcPr>
            <w:tcW w:w="2152" w:type="pct"/>
            <w:tcBorders>
              <w:top w:val="nil"/>
              <w:left w:val="single" w:sz="8" w:space="0" w:color="000000" w:themeColor="text1"/>
              <w:bottom w:val="single" w:sz="8" w:space="0" w:color="000000" w:themeColor="text1"/>
              <w:right w:val="nil"/>
            </w:tcBorders>
            <w:tcMar>
              <w:top w:w="0" w:type="dxa"/>
              <w:left w:w="108" w:type="dxa"/>
              <w:bottom w:w="0" w:type="dxa"/>
              <w:right w:w="108" w:type="dxa"/>
            </w:tcMar>
            <w:hideMark/>
          </w:tcPr>
          <w:p w14:paraId="2532727D" w14:textId="77777777" w:rsidR="00ED7E80" w:rsidRPr="00D86516" w:rsidRDefault="00ED7E80" w:rsidP="00B2566E">
            <w:pPr>
              <w:spacing w:before="100" w:beforeAutospacing="1" w:after="0" w:line="240" w:lineRule="auto"/>
              <w:jc w:val="both"/>
              <w:rPr>
                <w:rFonts w:eastAsia="Calibri" w:cstheme="minorHAnsi"/>
                <w:b/>
                <w:bCs/>
                <w:sz w:val="22"/>
                <w:szCs w:val="22"/>
              </w:rPr>
            </w:pPr>
            <w:r w:rsidRPr="00D86516">
              <w:rPr>
                <w:rFonts w:eastAsia="Calibri" w:cstheme="minorHAnsi"/>
                <w:b/>
                <w:bCs/>
                <w:sz w:val="22"/>
                <w:szCs w:val="22"/>
              </w:rPr>
              <w:t>IT saugumo specialistas (asmuo, kuris geba sukurti IT saugumo testavimo specifikacijas, testavimo priėmimo planus ir atlikti saugumo testavimą):</w:t>
            </w:r>
          </w:p>
          <w:p w14:paraId="1B5EFC8E" w14:textId="77777777" w:rsidR="00ED7E80" w:rsidRPr="00D86516" w:rsidRDefault="00ED7E80" w:rsidP="00B2566E">
            <w:pPr>
              <w:spacing w:after="0" w:line="240" w:lineRule="auto"/>
              <w:jc w:val="both"/>
              <w:rPr>
                <w:rFonts w:eastAsia="Calibri" w:cstheme="minorHAnsi"/>
                <w:bCs/>
                <w:sz w:val="22"/>
                <w:szCs w:val="22"/>
              </w:rPr>
            </w:pPr>
            <w:r w:rsidRPr="00D86516">
              <w:rPr>
                <w:rFonts w:eastAsia="Calibri" w:cstheme="minorHAnsi"/>
                <w:bCs/>
                <w:sz w:val="22"/>
                <w:szCs w:val="22"/>
              </w:rPr>
              <w:t xml:space="preserve">a) </w:t>
            </w:r>
            <w:r w:rsidRPr="00D86516">
              <w:rPr>
                <w:rFonts w:eastAsia="Calibri" w:cstheme="minorHAnsi"/>
                <w:sz w:val="22"/>
                <w:szCs w:val="22"/>
              </w:rPr>
              <w:t xml:space="preserve"> turi ne trumpesnę kaip 3 metų patirtį saugumo testavimo  informacinėse sistemose ir/ar ruošiant testavimo scenarijus;</w:t>
            </w:r>
            <w:r w:rsidRPr="00D86516">
              <w:rPr>
                <w:sz w:val="22"/>
                <w:szCs w:val="22"/>
              </w:rPr>
              <w:t xml:space="preserve"> </w:t>
            </w:r>
          </w:p>
          <w:p w14:paraId="260B9094" w14:textId="77777777" w:rsidR="00ED7E80" w:rsidRPr="00D86516" w:rsidRDefault="00ED7E80" w:rsidP="00B2566E">
            <w:pPr>
              <w:autoSpaceDN w:val="0"/>
              <w:spacing w:after="100" w:afterAutospacing="1" w:line="240" w:lineRule="auto"/>
              <w:jc w:val="both"/>
              <w:rPr>
                <w:rFonts w:eastAsia="Calibri" w:cstheme="minorHAnsi"/>
                <w:b/>
                <w:bCs/>
                <w:sz w:val="22"/>
                <w:szCs w:val="22"/>
              </w:rPr>
            </w:pPr>
            <w:r w:rsidRPr="00D86516">
              <w:rPr>
                <w:rFonts w:eastAsia="Calibri" w:cstheme="minorHAnsi"/>
                <w:sz w:val="22"/>
                <w:szCs w:val="22"/>
              </w:rPr>
              <w:t xml:space="preserve">b) per pastaruosius 3  metus turi patirties įgyvendinant bent vieną informacinių sistemų </w:t>
            </w:r>
            <w:r w:rsidRPr="00D86516">
              <w:rPr>
                <w:rFonts w:cstheme="minorHAnsi"/>
                <w:sz w:val="22"/>
                <w:szCs w:val="22"/>
              </w:rPr>
              <w:t xml:space="preserve">vystymo (kūrimo ir/arba tobulinimo) </w:t>
            </w:r>
            <w:r w:rsidRPr="00D86516">
              <w:rPr>
                <w:rFonts w:cstheme="minorHAnsi"/>
                <w:i/>
                <w:iCs/>
                <w:sz w:val="22"/>
                <w:szCs w:val="22"/>
              </w:rPr>
              <w:t xml:space="preserve">(angl. </w:t>
            </w:r>
            <w:proofErr w:type="spellStart"/>
            <w:r w:rsidRPr="00D86516">
              <w:rPr>
                <w:rFonts w:cstheme="minorHAnsi"/>
                <w:i/>
                <w:iCs/>
                <w:sz w:val="22"/>
                <w:szCs w:val="22"/>
              </w:rPr>
              <w:t>Development</w:t>
            </w:r>
            <w:proofErr w:type="spellEnd"/>
            <w:r w:rsidRPr="00D86516">
              <w:rPr>
                <w:rFonts w:cstheme="minorHAnsi"/>
                <w:i/>
                <w:iCs/>
                <w:sz w:val="22"/>
                <w:szCs w:val="22"/>
              </w:rPr>
              <w:t>)</w:t>
            </w:r>
            <w:r w:rsidRPr="00D86516">
              <w:rPr>
                <w:rFonts w:cstheme="minorHAnsi"/>
                <w:sz w:val="22"/>
                <w:szCs w:val="22"/>
              </w:rPr>
              <w:t xml:space="preserve"> </w:t>
            </w:r>
            <w:r w:rsidRPr="00D86516">
              <w:rPr>
                <w:rFonts w:eastAsia="Calibri" w:cstheme="minorHAnsi"/>
                <w:sz w:val="22"/>
                <w:szCs w:val="22"/>
              </w:rPr>
              <w:t>ir/ar modernizavimo projektą (informacinių sistemų diegimo darbai baigti, sistemos priduotos gamybinei eksploatacijai), kurios (kurio) metu siūlomas specialistas buvo atsakingas už sistemos saugos reikalavimų nustatymą ir jų įgyvendinimo priežiūrą.</w:t>
            </w:r>
          </w:p>
        </w:tc>
        <w:tc>
          <w:tcPr>
            <w:tcW w:w="2339"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24B65210" w14:textId="77777777" w:rsidR="00ED7E80" w:rsidRPr="00D86516" w:rsidRDefault="00ED7E80" w:rsidP="00B2566E">
            <w:pPr>
              <w:rPr>
                <w:rFonts w:eastAsia="Calibri" w:cstheme="minorHAnsi"/>
                <w:sz w:val="22"/>
                <w:szCs w:val="22"/>
              </w:rPr>
            </w:pPr>
            <w:r w:rsidRPr="00D86516">
              <w:rPr>
                <w:rFonts w:eastAsia="Calibri" w:cstheme="minorHAnsi"/>
                <w:sz w:val="22"/>
                <w:szCs w:val="22"/>
              </w:rPr>
              <w:t>Pateikiami šio kvalifikacijos reikalavimo 4.1.2 punkte nurodyti pagrindžiantys dokumentai.</w:t>
            </w:r>
          </w:p>
          <w:p w14:paraId="0176F08E" w14:textId="77777777" w:rsidR="00ED7E80" w:rsidRPr="00D86516" w:rsidRDefault="00ED7E80" w:rsidP="00B2566E">
            <w:pPr>
              <w:shd w:val="clear" w:color="auto" w:fill="FFFFFF"/>
              <w:spacing w:line="240" w:lineRule="auto"/>
              <w:jc w:val="both"/>
              <w:rPr>
                <w:rFonts w:eastAsia="Calibri" w:cstheme="minorHAnsi"/>
                <w:sz w:val="22"/>
                <w:szCs w:val="22"/>
              </w:rPr>
            </w:pPr>
          </w:p>
        </w:tc>
        <w:bookmarkEnd w:id="0"/>
      </w:tr>
    </w:tbl>
    <w:p w14:paraId="4C9EBBD3" w14:textId="77777777" w:rsidR="00ED7E80" w:rsidRPr="00D86516" w:rsidRDefault="00ED7E80">
      <w:pPr>
        <w:rPr>
          <w:sz w:val="22"/>
          <w:szCs w:val="22"/>
        </w:rPr>
      </w:pPr>
    </w:p>
    <w:sectPr w:rsidR="00ED7E80" w:rsidRPr="00D8651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A27E8"/>
    <w:multiLevelType w:val="hybridMultilevel"/>
    <w:tmpl w:val="C346FA76"/>
    <w:lvl w:ilvl="0" w:tplc="99D28C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3892C59"/>
    <w:multiLevelType w:val="multilevel"/>
    <w:tmpl w:val="0EFE7E16"/>
    <w:lvl w:ilvl="0">
      <w:start w:val="1"/>
      <w:numFmt w:val="decimal"/>
      <w:lvlText w:val="%1."/>
      <w:lvlJc w:val="left"/>
      <w:pPr>
        <w:ind w:left="0" w:hanging="360"/>
      </w:pPr>
      <w:rPr>
        <w:rFonts w:ascii="Calibri Light" w:hAnsi="Calibri Light" w:cs="Calibri Light" w:hint="default"/>
        <w:color w:val="2C7FCE" w:themeColor="text2" w:themeTint="99"/>
        <w:sz w:val="24"/>
      </w:rPr>
    </w:lvl>
    <w:lvl w:ilvl="1">
      <w:start w:val="1"/>
      <w:numFmt w:val="decimal"/>
      <w:isLgl/>
      <w:lvlText w:val="%1.%2"/>
      <w:lvlJc w:val="left"/>
      <w:pPr>
        <w:ind w:left="360" w:hanging="360"/>
      </w:pPr>
      <w:rPr>
        <w:rFonts w:ascii="Calibri Light" w:hAnsi="Calibri Light" w:cs="Calibri Light" w:hint="default"/>
        <w:b w:val="0"/>
        <w:color w:val="auto"/>
        <w:sz w:val="22"/>
        <w:szCs w:val="22"/>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978794952">
    <w:abstractNumId w:val="1"/>
  </w:num>
  <w:num w:numId="2" w16cid:durableId="30987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80"/>
    <w:rsid w:val="002015E4"/>
    <w:rsid w:val="0022435A"/>
    <w:rsid w:val="00236570"/>
    <w:rsid w:val="002C6C39"/>
    <w:rsid w:val="002F35D4"/>
    <w:rsid w:val="00437ACA"/>
    <w:rsid w:val="004B1E39"/>
    <w:rsid w:val="005F67C2"/>
    <w:rsid w:val="00643335"/>
    <w:rsid w:val="006E4A5C"/>
    <w:rsid w:val="00712547"/>
    <w:rsid w:val="007C46E4"/>
    <w:rsid w:val="008D1DCC"/>
    <w:rsid w:val="00B05A64"/>
    <w:rsid w:val="00B335D9"/>
    <w:rsid w:val="00D86516"/>
    <w:rsid w:val="00E427B5"/>
    <w:rsid w:val="00ED7E80"/>
    <w:rsid w:val="00FA3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FB39"/>
  <w15:chartTrackingRefBased/>
  <w15:docId w15:val="{95F4C2CB-CAED-428F-B1D5-CF9BC235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E80"/>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ED7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E80"/>
    <w:rPr>
      <w:rFonts w:eastAsiaTheme="majorEastAsia" w:cstheme="majorBidi"/>
      <w:color w:val="272727" w:themeColor="text1" w:themeTint="D8"/>
    </w:rPr>
  </w:style>
  <w:style w:type="paragraph" w:styleId="Title">
    <w:name w:val="Title"/>
    <w:basedOn w:val="Normal"/>
    <w:next w:val="Normal"/>
    <w:link w:val="TitleChar"/>
    <w:uiPriority w:val="10"/>
    <w:qFormat/>
    <w:rsid w:val="00ED7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E80"/>
    <w:pPr>
      <w:spacing w:before="160"/>
      <w:jc w:val="center"/>
    </w:pPr>
    <w:rPr>
      <w:i/>
      <w:iCs/>
      <w:color w:val="404040" w:themeColor="text1" w:themeTint="BF"/>
    </w:rPr>
  </w:style>
  <w:style w:type="character" w:customStyle="1" w:styleId="QuoteChar">
    <w:name w:val="Quote Char"/>
    <w:basedOn w:val="DefaultParagraphFont"/>
    <w:link w:val="Quote"/>
    <w:uiPriority w:val="29"/>
    <w:rsid w:val="00ED7E8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ED7E80"/>
    <w:pPr>
      <w:ind w:left="720"/>
      <w:contextualSpacing/>
    </w:pPr>
  </w:style>
  <w:style w:type="character" w:styleId="IntenseEmphasis">
    <w:name w:val="Intense Emphasis"/>
    <w:basedOn w:val="DefaultParagraphFont"/>
    <w:uiPriority w:val="21"/>
    <w:qFormat/>
    <w:rsid w:val="00ED7E80"/>
    <w:rPr>
      <w:i/>
      <w:iCs/>
      <w:color w:val="0F4761" w:themeColor="accent1" w:themeShade="BF"/>
    </w:rPr>
  </w:style>
  <w:style w:type="paragraph" w:styleId="IntenseQuote">
    <w:name w:val="Intense Quote"/>
    <w:basedOn w:val="Normal"/>
    <w:next w:val="Normal"/>
    <w:link w:val="IntenseQuoteChar"/>
    <w:uiPriority w:val="30"/>
    <w:qFormat/>
    <w:rsid w:val="00ED7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E80"/>
    <w:rPr>
      <w:i/>
      <w:iCs/>
      <w:color w:val="0F4761" w:themeColor="accent1" w:themeShade="BF"/>
    </w:rPr>
  </w:style>
  <w:style w:type="character" w:styleId="IntenseReference">
    <w:name w:val="Intense Reference"/>
    <w:basedOn w:val="DefaultParagraphFont"/>
    <w:uiPriority w:val="32"/>
    <w:qFormat/>
    <w:rsid w:val="00ED7E80"/>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D7E80"/>
  </w:style>
  <w:style w:type="paragraph" w:styleId="NoSpacing">
    <w:name w:val="No Spacing"/>
    <w:link w:val="NoSpacingChar"/>
    <w:uiPriority w:val="1"/>
    <w:qFormat/>
    <w:rsid w:val="00ED7E80"/>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ED7E80"/>
    <w:rPr>
      <w:rFonts w:eastAsiaTheme="minorEastAsia"/>
      <w:kern w:val="0"/>
      <w:sz w:val="21"/>
      <w:szCs w:val="21"/>
      <w:lang w:eastAsia="lt-LT"/>
      <w14:ligatures w14:val="none"/>
    </w:rPr>
  </w:style>
  <w:style w:type="paragraph" w:customStyle="1" w:styleId="tajtin">
    <w:name w:val="tajtin"/>
    <w:basedOn w:val="Normal"/>
    <w:rsid w:val="00ED7E8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37ACA"/>
    <w:rPr>
      <w:sz w:val="16"/>
      <w:szCs w:val="16"/>
    </w:rPr>
  </w:style>
  <w:style w:type="paragraph" w:styleId="CommentText">
    <w:name w:val="annotation text"/>
    <w:basedOn w:val="Normal"/>
    <w:link w:val="CommentTextChar"/>
    <w:uiPriority w:val="99"/>
    <w:unhideWhenUsed/>
    <w:rsid w:val="00437ACA"/>
    <w:pPr>
      <w:spacing w:line="240" w:lineRule="auto"/>
    </w:pPr>
    <w:rPr>
      <w:sz w:val="20"/>
      <w:szCs w:val="20"/>
    </w:rPr>
  </w:style>
  <w:style w:type="character" w:customStyle="1" w:styleId="CommentTextChar">
    <w:name w:val="Comment Text Char"/>
    <w:basedOn w:val="DefaultParagraphFont"/>
    <w:link w:val="CommentText"/>
    <w:uiPriority w:val="99"/>
    <w:rsid w:val="00437ACA"/>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437ACA"/>
    <w:rPr>
      <w:b/>
      <w:bCs/>
    </w:rPr>
  </w:style>
  <w:style w:type="character" w:customStyle="1" w:styleId="CommentSubjectChar">
    <w:name w:val="Comment Subject Char"/>
    <w:basedOn w:val="CommentTextChar"/>
    <w:link w:val="CommentSubject"/>
    <w:uiPriority w:val="99"/>
    <w:semiHidden/>
    <w:rsid w:val="00437ACA"/>
    <w:rPr>
      <w:rFonts w:eastAsiaTheme="minorEastAsia"/>
      <w:b/>
      <w:bCs/>
      <w:kern w:val="0"/>
      <w:sz w:val="20"/>
      <w:szCs w:val="20"/>
      <w:lang w:eastAsia="lt-LT"/>
      <w14:ligatures w14:val="none"/>
    </w:rPr>
  </w:style>
  <w:style w:type="paragraph" w:styleId="Revision">
    <w:name w:val="Revision"/>
    <w:hidden/>
    <w:uiPriority w:val="99"/>
    <w:semiHidden/>
    <w:rsid w:val="00B05A6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40BFC-A1FF-4B35-93EA-A6B39E110BF8}">
  <ds:schemaRefs>
    <ds:schemaRef ds:uri="http://purl.org/dc/dcmitype/"/>
    <ds:schemaRef ds:uri="http://schemas.microsoft.com/office/infopath/2007/PartnerControls"/>
    <ds:schemaRef ds:uri="a843bbba-5665-4b5f-aacc-cdcb1c804839"/>
    <ds:schemaRef ds:uri="4b2e9d09-07c5-42d4-ad0a-92e216c40b99"/>
    <ds:schemaRef ds:uri="http://schemas.microsoft.com/office/2006/documentManagement/types"/>
    <ds:schemaRef ds:uri="http://purl.org/dc/elements/1.1/"/>
    <ds:schemaRef ds:uri="http://schemas.openxmlformats.org/package/2006/metadata/core-properties"/>
    <ds:schemaRef ds:uri="028236e2-f653-4d19-ab67-4d06a9145e0c"/>
    <ds:schemaRef ds:uri="http://www.w3.org/XML/1998/namespace"/>
    <ds:schemaRef ds:uri="f5ebda27-b626-448f-a7d1-d1cf5ad133f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56A7D0A-80CE-4CD3-80CD-B654D34D917D}">
  <ds:schemaRefs>
    <ds:schemaRef ds:uri="http://schemas.openxmlformats.org/officeDocument/2006/bibliography"/>
  </ds:schemaRefs>
</ds:datastoreItem>
</file>

<file path=customXml/itemProps3.xml><?xml version="1.0" encoding="utf-8"?>
<ds:datastoreItem xmlns:ds="http://schemas.openxmlformats.org/officeDocument/2006/customXml" ds:itemID="{37DA4EF5-2A2A-4F6A-ABBB-FC02AB373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AC58C0-D349-47AF-894E-993FE67DC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7588</Words>
  <Characters>4326</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2 priedas_Kvalifikacijos reikalavimai_LT</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priedas_Kvalifikacijos reikalavimai_LT</dc:title>
  <dc:subject/>
  <dc:creator>Justas Šakočius</dc:creator>
  <cp:keywords/>
  <dc:description/>
  <cp:lastModifiedBy>Justas Šakočius</cp:lastModifiedBy>
  <cp:revision>2</cp:revision>
  <dcterms:created xsi:type="dcterms:W3CDTF">2024-12-13T08:17:00Z</dcterms:created>
  <dcterms:modified xsi:type="dcterms:W3CDTF">2024-12-13T08:17:00Z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393;#Justas Šakočius;#1197;#Agnė Juršėnaitė-Skovorodko;#1283;#Laura Sungailaitė-Jurčė;#93;#Viktor Jurkianec</vt:lpwstr>
  </property>
  <property fmtid="{D5CDD505-2E9C-101B-9397-08002B2CF9AE}" pid="5" name="DmsPermissionsDivisions">
    <vt:lpwstr/>
  </property>
  <property fmtid="{D5CDD505-2E9C-101B-9397-08002B2CF9AE}" pid="6" name="TaxCatchAll">
    <vt:lpwstr/>
  </property>
  <property fmtid="{D5CDD505-2E9C-101B-9397-08002B2CF9AE}" pid="7" name="DmsPermissionsConfid">
    <vt:bool>false</vt:bool>
  </property>
</Properties>
</file>