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0A04" w14:textId="77777777" w:rsidR="00FB49DE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</w:pPr>
    </w:p>
    <w:p w14:paraId="20A619B0" w14:textId="77777777" w:rsidR="0085369B" w:rsidRPr="0085369B" w:rsidRDefault="0085369B" w:rsidP="0085369B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val="lt-LT"/>
        </w:rPr>
      </w:pPr>
      <w:r w:rsidRPr="0085369B">
        <w:rPr>
          <w:rFonts w:ascii="Times New Roman" w:eastAsia="Calibri" w:hAnsi="Times New Roman" w:cs="Times New Roman"/>
          <w:color w:val="auto"/>
          <w:sz w:val="24"/>
          <w:szCs w:val="24"/>
          <w:lang w:val="lt-LT"/>
        </w:rPr>
        <w:t>Pirkimo sąlygų 8 priedas „Pasiūlymų vertinimo kriterijai ir sąlygos“</w:t>
      </w:r>
    </w:p>
    <w:p w14:paraId="4DED7DB2" w14:textId="77777777" w:rsidR="0085369B" w:rsidRPr="00D4326B" w:rsidRDefault="0085369B" w:rsidP="0085369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right"/>
      </w:pPr>
    </w:p>
    <w:p w14:paraId="1C87CBE7" w14:textId="77777777" w:rsidR="0085369B" w:rsidRPr="00D4326B" w:rsidRDefault="0085369B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</w:pPr>
    </w:p>
    <w:p w14:paraId="257A93EE" w14:textId="510B3FF4" w:rsidR="00FB49DE" w:rsidRPr="00D4326B" w:rsidRDefault="00C23A1F" w:rsidP="00FB49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326B">
        <w:rPr>
          <w:rFonts w:ascii="Times New Roman" w:eastAsia="Times New Roman" w:hAnsi="Times New Roman" w:cs="Times New Roman"/>
          <w:sz w:val="24"/>
          <w:szCs w:val="24"/>
        </w:rPr>
        <w:t xml:space="preserve">EDUKACINĖS INICIATYVOS 5–12 KLASIŲ MOKSLEIVIAMS ORGANIZAVIMO </w:t>
      </w:r>
      <w:r w:rsidR="00FB49DE" w:rsidRPr="00D4326B">
        <w:rPr>
          <w:rFonts w:ascii="Times New Roman" w:eastAsia="Times New Roman" w:hAnsi="Times New Roman" w:cs="Times New Roman"/>
          <w:sz w:val="24"/>
          <w:szCs w:val="24"/>
        </w:rPr>
        <w:t>PASLAUGOS</w:t>
      </w:r>
    </w:p>
    <w:p w14:paraId="568212A2" w14:textId="77777777" w:rsidR="00FB49DE" w:rsidRPr="00D4326B" w:rsidRDefault="00FB49DE" w:rsidP="00FB49DE">
      <w:pPr>
        <w:tabs>
          <w:tab w:val="right" w:leader="underscore" w:pos="9720"/>
        </w:tabs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806E58" w14:textId="07D21813" w:rsidR="00FB49DE" w:rsidRPr="004D0EBD" w:rsidRDefault="00FB49DE" w:rsidP="00285A8E">
      <w:pPr>
        <w:pStyle w:val="Body2"/>
        <w:tabs>
          <w:tab w:val="left" w:pos="993"/>
        </w:tabs>
        <w:ind w:firstLine="709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Įvertinimui, kuris atliekamas vadovaujantis konkurso sąlygų</w:t>
      </w:r>
      <w:r w:rsidR="007E598E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D76A62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8</w:t>
      </w:r>
      <w:r w:rsidRPr="004D0EBD">
        <w:rPr>
          <w:rFonts w:eastAsia="Times New Roman" w:cs="Times New Roman"/>
          <w:bCs/>
          <w:i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 skyriuje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pateikta pasiūlymų ekonominio vertinimo metodika, tiekėjas turi pateikti:</w:t>
      </w:r>
    </w:p>
    <w:p w14:paraId="18160C8C" w14:textId="416CC9BD" w:rsidR="00FB49DE" w:rsidRPr="00E64A88" w:rsidRDefault="00FB49DE" w:rsidP="00285A8E">
      <w:pPr>
        <w:pStyle w:val="Body2"/>
        <w:tabs>
          <w:tab w:val="left" w:pos="993"/>
        </w:tabs>
        <w:ind w:firstLine="709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1.</w:t>
      </w: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ab/>
      </w:r>
      <w:bookmarkStart w:id="0" w:name="_Hlk187652329"/>
      <w:r w:rsidR="00C23A1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edukacinės iniciatyvos 5-12 klasių mokiniams</w:t>
      </w:r>
      <w:bookmarkEnd w:id="0"/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koncepciją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,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apimančią </w:t>
      </w:r>
      <w:r w:rsidR="00B7491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preliminarų </w:t>
      </w:r>
      <w:r w:rsidR="00C23A1F" w:rsidRPr="00C23A1F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edukacinės iniciatyvos </w:t>
      </w:r>
      <w:r w:rsidR="001A4C46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organizavimo ir </w:t>
      </w:r>
      <w:r w:rsidR="00B7491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įgyvendinimo (veiksmų plano) aprašymą,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siūlomo</w:t>
      </w:r>
      <w:r w:rsidR="00C23A1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s</w:t>
      </w:r>
      <w:r w:rsidR="00645DBB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C23A1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edukacinės iniciatyvos</w:t>
      </w:r>
      <w:r w:rsidR="008A47DF" w:rsidRPr="008A47D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C23A1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koncepcijos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aprašymą su pagrindimu</w:t>
      </w:r>
      <w:r w:rsidR="00C23A1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.</w:t>
      </w:r>
    </w:p>
    <w:p w14:paraId="20EC23E3" w14:textId="0D988C00" w:rsidR="00FB49DE" w:rsidRPr="004D0EBD" w:rsidRDefault="00FB49DE" w:rsidP="00285A8E">
      <w:pPr>
        <w:pStyle w:val="Body2"/>
        <w:tabs>
          <w:tab w:val="left" w:pos="993"/>
        </w:tabs>
        <w:ind w:firstLine="709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2.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ab/>
      </w:r>
      <w:r w:rsidR="008A1094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paslaugų valdymo ir kokybės užtikrinimo 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mechanizmo aprašymą. 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Pasiūlyme teikėjas pateikia paslaugų teikimo organizavimo ir valdymo </w:t>
      </w:r>
      <w:r w:rsidR="00725D16" w:rsidRPr="00D866C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aprašymą</w:t>
      </w:r>
      <w:r w:rsidR="00AF1675" w:rsidRPr="00D866C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,</w:t>
      </w:r>
      <w:r w:rsidR="008342D0" w:rsidRPr="008342D0">
        <w:rPr>
          <w:rFonts w:cs="Times New Roman"/>
          <w:sz w:val="24"/>
          <w:szCs w:val="24"/>
          <w:lang w:val="lt-LT"/>
        </w:rPr>
        <w:t xml:space="preserve"> </w:t>
      </w:r>
      <w:r w:rsidR="008342D0">
        <w:rPr>
          <w:rFonts w:cs="Times New Roman"/>
          <w:sz w:val="24"/>
          <w:szCs w:val="24"/>
          <w:lang w:val="lt-LT"/>
        </w:rPr>
        <w:t xml:space="preserve">įskaitant aplinkosauginių kriterijų taikymą paslaugų teikimo metu, 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siūlomų specialistų funkcijas ir atsakomybes, įvertin</w:t>
      </w:r>
      <w:r w:rsid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a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bei apraš</w:t>
      </w:r>
      <w:r w:rsid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o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rizikas, susijusias su </w:t>
      </w:r>
      <w:r w:rsidR="00725D1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paslaugos 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įgyvendinimu, pateikti rizikų valdymo priemonių planą.</w:t>
      </w:r>
    </w:p>
    <w:p w14:paraId="45AA4436" w14:textId="77777777" w:rsidR="00FB49DE" w:rsidRDefault="00FB49DE" w:rsidP="00FB49DE">
      <w:pPr>
        <w:tabs>
          <w:tab w:val="right" w:leader="underscore" w:pos="9720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C420F2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59"/>
        <w:gridCol w:w="992"/>
        <w:gridCol w:w="1418"/>
        <w:gridCol w:w="1701"/>
      </w:tblGrid>
      <w:tr w:rsidR="00FB49DE" w:rsidRPr="00AD6A13" w14:paraId="7413BFEC" w14:textId="77777777" w:rsidTr="00581BF3">
        <w:trPr>
          <w:cantSplit/>
          <w:trHeight w:val="674"/>
        </w:trPr>
        <w:tc>
          <w:tcPr>
            <w:tcW w:w="10519" w:type="dxa"/>
            <w:gridSpan w:val="3"/>
            <w:vAlign w:val="center"/>
          </w:tcPr>
          <w:p w14:paraId="32652065" w14:textId="77777777" w:rsidR="00FB49DE" w:rsidRPr="004D0EBD" w:rsidRDefault="00FB49DE" w:rsidP="00FB49DE">
            <w:pPr>
              <w:widowControl w:val="0"/>
              <w:spacing w:after="0"/>
              <w:ind w:left="-709" w:firstLine="694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1418" w:type="dxa"/>
            <w:vAlign w:val="center"/>
          </w:tcPr>
          <w:p w14:paraId="6C988EBE" w14:textId="77777777" w:rsidR="00FB49DE" w:rsidRPr="004D0EBD" w:rsidRDefault="00FB49DE" w:rsidP="00FB49DE">
            <w:pPr>
              <w:widowControl w:val="0"/>
              <w:spacing w:after="0"/>
              <w:ind w:left="3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Funkcinio parametro lyginamasis svoris</w:t>
            </w:r>
          </w:p>
        </w:tc>
        <w:tc>
          <w:tcPr>
            <w:tcW w:w="1701" w:type="dxa"/>
            <w:vAlign w:val="center"/>
          </w:tcPr>
          <w:p w14:paraId="33A8F6E0" w14:textId="77777777" w:rsidR="00FB49DE" w:rsidRPr="004D0EBD" w:rsidRDefault="00FB49DE" w:rsidP="00FB49DE">
            <w:pPr>
              <w:widowControl w:val="0"/>
              <w:spacing w:after="0"/>
              <w:ind w:left="-10" w:right="-9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FB49DE" w:rsidRPr="004D0EBD" w14:paraId="6B7537A0" w14:textId="77777777" w:rsidTr="00581BF3">
        <w:trPr>
          <w:cantSplit/>
          <w:trHeight w:val="209"/>
        </w:trPr>
        <w:tc>
          <w:tcPr>
            <w:tcW w:w="10519" w:type="dxa"/>
            <w:gridSpan w:val="3"/>
          </w:tcPr>
          <w:p w14:paraId="34B6A4B1" w14:textId="77777777" w:rsidR="00FB49DE" w:rsidRPr="004D0EBD" w:rsidRDefault="00FB49DE" w:rsidP="00FB49DE">
            <w:pPr>
              <w:pStyle w:val="Antrats"/>
              <w:spacing w:after="0" w:line="259" w:lineRule="auto"/>
              <w:ind w:left="-709" w:right="1633" w:firstLine="694"/>
              <w:rPr>
                <w:b/>
                <w:i/>
                <w:lang w:eastAsia="en-US"/>
              </w:rPr>
            </w:pPr>
            <w:r w:rsidRPr="004D0EBD">
              <w:rPr>
                <w:b/>
                <w:i/>
                <w:lang w:eastAsia="en-US"/>
              </w:rPr>
              <w:t>1.Kaina</w:t>
            </w:r>
            <w:r w:rsidRPr="004D0EBD">
              <w:rPr>
                <w:b/>
                <w:lang w:eastAsia="en-US"/>
              </w:rPr>
              <w:t xml:space="preserve"> (C)</w:t>
            </w:r>
          </w:p>
        </w:tc>
        <w:tc>
          <w:tcPr>
            <w:tcW w:w="1418" w:type="dxa"/>
            <w:vAlign w:val="center"/>
          </w:tcPr>
          <w:p w14:paraId="5DD8D9C3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3270845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X=40</w:t>
            </w:r>
          </w:p>
        </w:tc>
      </w:tr>
      <w:tr w:rsidR="00FB49DE" w:rsidRPr="004D0EBD" w14:paraId="668BE964" w14:textId="77777777" w:rsidTr="00581BF3">
        <w:trPr>
          <w:cantSplit/>
          <w:trHeight w:val="209"/>
        </w:trPr>
        <w:tc>
          <w:tcPr>
            <w:tcW w:w="10519" w:type="dxa"/>
            <w:gridSpan w:val="3"/>
            <w:shd w:val="clear" w:color="auto" w:fill="FFFFFF"/>
          </w:tcPr>
          <w:p w14:paraId="0AE3D8EF" w14:textId="77777777" w:rsidR="00FB49DE" w:rsidRPr="004D0EBD" w:rsidRDefault="00FB49DE" w:rsidP="00FB49DE">
            <w:pPr>
              <w:pStyle w:val="Antrats"/>
              <w:spacing w:after="0" w:line="259" w:lineRule="auto"/>
              <w:ind w:left="-709" w:right="1633" w:firstLine="694"/>
              <w:rPr>
                <w:b/>
                <w:i/>
                <w:lang w:eastAsia="en-US"/>
              </w:rPr>
            </w:pPr>
            <w:r w:rsidRPr="004D0EBD">
              <w:rPr>
                <w:b/>
                <w:i/>
                <w:lang w:eastAsia="en-US"/>
              </w:rPr>
              <w:t>2. Kokybė, kūrybiškumas, efektyvumas (T)</w:t>
            </w:r>
          </w:p>
        </w:tc>
        <w:tc>
          <w:tcPr>
            <w:tcW w:w="1418" w:type="dxa"/>
            <w:vAlign w:val="center"/>
          </w:tcPr>
          <w:p w14:paraId="6205FA33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</w:t>
            </w:r>
          </w:p>
        </w:tc>
        <w:tc>
          <w:tcPr>
            <w:tcW w:w="1701" w:type="dxa"/>
            <w:vAlign w:val="center"/>
          </w:tcPr>
          <w:p w14:paraId="1A5C6B45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Y=60</w:t>
            </w:r>
          </w:p>
        </w:tc>
      </w:tr>
      <w:tr w:rsidR="00FB49DE" w:rsidRPr="004D0EBD" w14:paraId="5037A17B" w14:textId="77777777" w:rsidTr="00581BF3">
        <w:trPr>
          <w:trHeight w:val="374"/>
        </w:trPr>
        <w:tc>
          <w:tcPr>
            <w:tcW w:w="568" w:type="dxa"/>
          </w:tcPr>
          <w:p w14:paraId="2F24D3F7" w14:textId="4552494A" w:rsidR="00FB49DE" w:rsidRPr="004D0EBD" w:rsidRDefault="00FB49DE" w:rsidP="00FB49DE">
            <w:pPr>
              <w:widowControl w:val="0"/>
              <w:spacing w:after="0"/>
              <w:ind w:left="-709" w:firstLine="69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581BF3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959" w:type="dxa"/>
          </w:tcPr>
          <w:p w14:paraId="32E46E9E" w14:textId="43C8AD29" w:rsidR="00FB49DE" w:rsidRPr="004D0EBD" w:rsidRDefault="00C23A1F" w:rsidP="00FB4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E</w:t>
            </w:r>
            <w:r w:rsidRPr="00C23A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dukacinės iniciatyvos 5-12 klasių mokiniams 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koncepcijos ir </w:t>
            </w:r>
            <w:r w:rsidR="008A47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jos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įgyvendinimo (veiksmų plano) aprašymas (T</w:t>
            </w:r>
            <w:r w:rsidR="009672C1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)</w:t>
            </w:r>
            <w:r w:rsidR="00FB49DE" w:rsidRPr="004D0EB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):</w:t>
            </w:r>
          </w:p>
          <w:p w14:paraId="1AC7DDDF" w14:textId="77777777" w:rsidR="00B74918" w:rsidRDefault="00B74918" w:rsidP="00B74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E05C15" w14:textId="336E571A" w:rsidR="00B74918" w:rsidRPr="004D0EBD" w:rsidRDefault="00FB49DE" w:rsidP="00B74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.1.</w:t>
            </w:r>
            <w:r w:rsidR="008E42CE" w:rsidRPr="008E42CE">
              <w:rPr>
                <w:lang w:val="lt-LT"/>
              </w:rPr>
              <w:t xml:space="preserve"> </w:t>
            </w:r>
            <w:r w:rsidR="00541038" w:rsidRP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Edukacinės iniciatyvos</w:t>
            </w:r>
            <w:r w:rsidR="00645DBB" w:rsidRPr="00645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41038" w:rsidRP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5-12 klasių mokiniams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B74918" w:rsidRP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reliminar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 </w:t>
            </w:r>
            <w:r w:rsidR="00B74918" w:rsidRP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(veiksmų plano) aprašym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(priemon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įgyvendinimo etap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(preliminarus grafik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B74918" w:rsidRPr="003E56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7D12EDB" w14:textId="5C2E3AB1" w:rsidR="00480852" w:rsidRDefault="00480852" w:rsidP="00FE1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.2.</w:t>
            </w:r>
            <w:bookmarkStart w:id="1" w:name="_Hlk186726352"/>
            <w:r w:rsidRPr="001E5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541038" w:rsidRP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dukacinės iniciatyvos</w:t>
            </w:r>
            <w:r w:rsidR="00541038" w:rsidRPr="00645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41038" w:rsidRP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5-12 klasių mokiniams </w:t>
            </w:r>
            <w:r w:rsidRPr="00541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E5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su pagrindimu.</w:t>
            </w:r>
          </w:p>
          <w:bookmarkEnd w:id="1"/>
          <w:p w14:paraId="36F146BF" w14:textId="4E41CA58" w:rsidR="00FB49DE" w:rsidRPr="004D0EBD" w:rsidRDefault="00FB49DE" w:rsidP="005410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133CE93" w14:textId="77777777" w:rsidR="00FB49DE" w:rsidRPr="004D0EBD" w:rsidRDefault="00FB49DE" w:rsidP="00FB49DE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88B84B" w14:textId="05D5AA66" w:rsidR="00FB49DE" w:rsidRPr="004D0EBD" w:rsidRDefault="00FB49DE" w:rsidP="00FB49DE">
            <w:pPr>
              <w:widowControl w:val="0"/>
              <w:autoSpaceDE w:val="0"/>
              <w:autoSpaceDN w:val="0"/>
              <w:spacing w:after="0"/>
              <w:ind w:left="101" w:right="78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</w:pPr>
            <w:r w:rsidRPr="005839EE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max –</w:t>
            </w:r>
            <w:r w:rsidRPr="00B74918">
              <w:rPr>
                <w:rFonts w:ascii="Times New Roman" w:eastAsia="Trebuchet MS" w:hAnsi="Times New Roman" w:cs="Times New Roman"/>
                <w:sz w:val="24"/>
                <w:szCs w:val="24"/>
                <w:highlight w:val="yellow"/>
                <w:lang w:val="lt-LT"/>
              </w:rPr>
              <w:t xml:space="preserve"> </w:t>
            </w:r>
            <w:r w:rsidR="00541038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6</w:t>
            </w:r>
          </w:p>
          <w:p w14:paraId="6712D562" w14:textId="77777777" w:rsidR="00FB49DE" w:rsidRPr="004D0EBD" w:rsidRDefault="00FB49DE" w:rsidP="00FB49DE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890FD06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=0,7</w:t>
            </w:r>
          </w:p>
        </w:tc>
        <w:tc>
          <w:tcPr>
            <w:tcW w:w="1701" w:type="dxa"/>
            <w:vAlign w:val="center"/>
          </w:tcPr>
          <w:p w14:paraId="4D47A2A6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81BF3" w:rsidRPr="004D0EBD" w14:paraId="4E2C21A8" w14:textId="77777777" w:rsidTr="00581BF3">
        <w:trPr>
          <w:trHeight w:val="374"/>
        </w:trPr>
        <w:tc>
          <w:tcPr>
            <w:tcW w:w="568" w:type="dxa"/>
          </w:tcPr>
          <w:p w14:paraId="65608D96" w14:textId="23855CB1" w:rsidR="00581BF3" w:rsidRPr="004D0EBD" w:rsidRDefault="00581BF3" w:rsidP="00581BF3">
            <w:pPr>
              <w:widowControl w:val="0"/>
              <w:spacing w:after="0"/>
              <w:ind w:left="-709" w:firstLine="69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2.2.</w:t>
            </w:r>
          </w:p>
        </w:tc>
        <w:tc>
          <w:tcPr>
            <w:tcW w:w="8959" w:type="dxa"/>
          </w:tcPr>
          <w:p w14:paraId="10D73DF9" w14:textId="006833B3" w:rsidR="00581BF3" w:rsidRPr="004D0EBD" w:rsidRDefault="00581BF3" w:rsidP="00581B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Paslaugų valdymo ir kokybės užtikrinimo aprašymas (T</w:t>
            </w:r>
            <w:r w:rsidR="009672C1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)</w:t>
            </w:r>
            <w:r w:rsidR="00786C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E8A9658" w14:textId="4BE3684F" w:rsidR="00581BF3" w:rsidRPr="004F65CD" w:rsidRDefault="00581BF3" w:rsidP="00581BF3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.1.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05828"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teikimo organizavimo ir valdymo </w:t>
            </w:r>
            <w:r w:rsidR="00FE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342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įskaitant aplinkosauginių kriterijų taikymą paslaugų teikimo metu.</w:t>
            </w:r>
            <w:r w:rsidR="008342D0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102F14D" w14:textId="1D9B9A34" w:rsidR="00581BF3" w:rsidRPr="004D0EBD" w:rsidRDefault="00581BF3" w:rsidP="00581BF3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.2.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Siūlomų specialistų funkcijos ir atsakomybės,</w:t>
            </w:r>
          </w:p>
          <w:p w14:paraId="44249905" w14:textId="1513D2F4" w:rsidR="00581BF3" w:rsidRPr="004D0EBD" w:rsidRDefault="00581BF3" w:rsidP="00FE173A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</w:t>
            </w:r>
            <w:r w:rsidR="0043796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3</w:t>
            </w:r>
            <w:r w:rsidR="00A456E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  </w:t>
            </w:r>
            <w:r w:rsidR="003D0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aslaugų teikimo rizikų ir jų valdymo būdų aprašymas.</w:t>
            </w:r>
          </w:p>
        </w:tc>
        <w:tc>
          <w:tcPr>
            <w:tcW w:w="992" w:type="dxa"/>
            <w:vAlign w:val="center"/>
          </w:tcPr>
          <w:p w14:paraId="2EE40BAA" w14:textId="77777777" w:rsidR="00581BF3" w:rsidRPr="004D0EBD" w:rsidRDefault="00581BF3" w:rsidP="00581BF3">
            <w:pPr>
              <w:widowControl w:val="0"/>
              <w:spacing w:after="0"/>
              <w:ind w:left="-29" w:firstLine="1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A0384B" w14:textId="7743DD5A" w:rsidR="00581BF3" w:rsidRPr="004D0EBD" w:rsidRDefault="00581BF3" w:rsidP="00853C65">
            <w:pPr>
              <w:widowControl w:val="0"/>
              <w:autoSpaceDE w:val="0"/>
              <w:autoSpaceDN w:val="0"/>
              <w:spacing w:after="0"/>
              <w:ind w:left="101" w:right="78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 xml:space="preserve">max – </w:t>
            </w:r>
            <w:r w:rsidR="00FE173A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9</w:t>
            </w:r>
          </w:p>
          <w:p w14:paraId="4B0F3360" w14:textId="77777777" w:rsidR="00581BF3" w:rsidRPr="004D0EBD" w:rsidRDefault="00581BF3" w:rsidP="00581BF3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132CC8F" w14:textId="069C96A7" w:rsidR="00581BF3" w:rsidRPr="004D0EBD" w:rsidRDefault="00581BF3" w:rsidP="00581BF3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=0,3</w:t>
            </w:r>
          </w:p>
        </w:tc>
        <w:tc>
          <w:tcPr>
            <w:tcW w:w="1701" w:type="dxa"/>
            <w:vAlign w:val="center"/>
          </w:tcPr>
          <w:p w14:paraId="34DE45E5" w14:textId="77777777" w:rsidR="00581BF3" w:rsidRPr="004D0EBD" w:rsidRDefault="00581BF3" w:rsidP="00581BF3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DFE7F8F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C970CC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ED2F1D" w14:textId="62440E34" w:rsidR="00581BF3" w:rsidRPr="004D0EBD" w:rsidRDefault="009E1086" w:rsidP="00285A8E">
      <w:pPr>
        <w:pStyle w:val="Sraopastraipa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9E1086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Edukacinės iniciatyvos 5-12 klasių mokiniams koncepcijos ir jos įgyvendinimo </w:t>
      </w:r>
      <w:r w:rsidR="008A47DF" w:rsidRPr="008A47DF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(veiksmų plano) aprašymas </w:t>
      </w:r>
      <w:r w:rsidR="00581BF3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(T</w:t>
      </w:r>
      <w:r w:rsidR="007E57EF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1</w:t>
      </w:r>
      <w:r w:rsidR="00786C0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0"/>
        <w:gridCol w:w="2227"/>
        <w:gridCol w:w="3222"/>
        <w:gridCol w:w="2925"/>
        <w:gridCol w:w="3313"/>
      </w:tblGrid>
      <w:tr w:rsidR="00786C02" w:rsidRPr="004D0EBD" w14:paraId="5EB914BA" w14:textId="77777777" w:rsidTr="00921191">
        <w:tc>
          <w:tcPr>
            <w:tcW w:w="590" w:type="dxa"/>
          </w:tcPr>
          <w:p w14:paraId="4635289A" w14:textId="77777777" w:rsidR="00786C02" w:rsidRPr="004D0EBD" w:rsidRDefault="00786C02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27" w:type="dxa"/>
          </w:tcPr>
          <w:p w14:paraId="00637736" w14:textId="77777777" w:rsidR="00786C02" w:rsidRPr="004D0EBD" w:rsidRDefault="00786C02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22" w:type="dxa"/>
          </w:tcPr>
          <w:p w14:paraId="0F12489E" w14:textId="77777777" w:rsidR="00786C02" w:rsidRPr="004D0EBD" w:rsidRDefault="00786C02" w:rsidP="00C5216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Patenkinamai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1 balas</w:t>
            </w:r>
          </w:p>
        </w:tc>
        <w:tc>
          <w:tcPr>
            <w:tcW w:w="2925" w:type="dxa"/>
          </w:tcPr>
          <w:p w14:paraId="4B7892C1" w14:textId="77777777" w:rsidR="00786C02" w:rsidRPr="004D0EBD" w:rsidRDefault="00786C02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Gerai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balai</w:t>
            </w:r>
          </w:p>
        </w:tc>
        <w:tc>
          <w:tcPr>
            <w:tcW w:w="3313" w:type="dxa"/>
          </w:tcPr>
          <w:p w14:paraId="6BA2C6FF" w14:textId="77777777" w:rsidR="00786C02" w:rsidRPr="004D0EBD" w:rsidRDefault="00786C02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Puikiai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 balai</w:t>
            </w:r>
          </w:p>
        </w:tc>
      </w:tr>
      <w:tr w:rsidR="00786C02" w:rsidRPr="008342D0" w14:paraId="4FF1A470" w14:textId="77777777" w:rsidTr="00921191">
        <w:tc>
          <w:tcPr>
            <w:tcW w:w="590" w:type="dxa"/>
          </w:tcPr>
          <w:p w14:paraId="7D5D1994" w14:textId="6A6F7CC8" w:rsidR="00786C02" w:rsidRPr="004D0EBD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1.1</w:t>
            </w:r>
          </w:p>
        </w:tc>
        <w:tc>
          <w:tcPr>
            <w:tcW w:w="2227" w:type="dxa"/>
          </w:tcPr>
          <w:p w14:paraId="77AB4630" w14:textId="300380BF" w:rsidR="00786C02" w:rsidRPr="004D0EBD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E10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5-12 klasių mokiniams </w:t>
            </w:r>
            <w:r w:rsidRPr="008E42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į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gyvendinimo  / veiksmų plano aprašymas (priemon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įgyvendinimo etap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ai),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preliminarus grafik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as.</w:t>
            </w:r>
          </w:p>
        </w:tc>
        <w:tc>
          <w:tcPr>
            <w:tcW w:w="3222" w:type="dxa"/>
          </w:tcPr>
          <w:p w14:paraId="35A076D1" w14:textId="31786C55" w:rsidR="00786C02" w:rsidRPr="004D0EBD" w:rsidRDefault="00786C02" w:rsidP="00FB37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Pasiūlyme pateiktas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/ veiksmų plano aprašymas, tačiau jis nenuoseklus, nekonkretus, paviršutiniškas, 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neatsižvelgta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mokiniams 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specifiką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neatsižvelgta į vasaros ir mokslo metų atostogas mokiniams). </w:t>
            </w:r>
          </w:p>
        </w:tc>
        <w:tc>
          <w:tcPr>
            <w:tcW w:w="2925" w:type="dxa"/>
          </w:tcPr>
          <w:p w14:paraId="3781AF78" w14:textId="73E0CDEB" w:rsidR="00786C02" w:rsidRDefault="00786C02" w:rsidP="004320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 glaustas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/ veiksmų planas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preliminarus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lano įgyvendinimo grafik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vietomis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jam trūksta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nuoseklumo, konkretumo,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dalinai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atsižvelgta į </w:t>
            </w:r>
            <w:r w:rsidRPr="004030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edukacinės iniciatyvos  mokiniams specifiką (dalinai atsižvelgta į vasaros ir mokslo metų atostogas mokiniams).</w:t>
            </w:r>
          </w:p>
          <w:p w14:paraId="67FB05D4" w14:textId="022A54D5" w:rsidR="00786C02" w:rsidRPr="004D0EBD" w:rsidRDefault="00786C02" w:rsidP="004320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13" w:type="dxa"/>
          </w:tcPr>
          <w:p w14:paraId="241B8CB4" w14:textId="1248B6CC" w:rsidR="00786C02" w:rsidRPr="00815509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aiškiai ir tiksliai išdėstytas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/ veiksmų plano aprašymas. Jis yra nuoseklus, konkretus, logiškas, įgyvendinamas, atsižvelgta į </w:t>
            </w:r>
            <w:r w:rsidRPr="004030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 mokiniams </w:t>
            </w:r>
            <w:r w:rsidRPr="003E46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specifiką 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 į vasaros ir mokslo metų atostogas mokiniams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786C02" w:rsidRPr="008342D0" w14:paraId="0A04DA15" w14:textId="77777777" w:rsidTr="00921191">
        <w:tc>
          <w:tcPr>
            <w:tcW w:w="590" w:type="dxa"/>
          </w:tcPr>
          <w:p w14:paraId="4BF5D91A" w14:textId="3864AEF4" w:rsidR="00786C02" w:rsidRPr="004D0EBD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</w:t>
            </w:r>
          </w:p>
        </w:tc>
        <w:tc>
          <w:tcPr>
            <w:tcW w:w="2227" w:type="dxa"/>
          </w:tcPr>
          <w:p w14:paraId="1CC5DF07" w14:textId="6C3CA8B1" w:rsidR="00786C02" w:rsidRDefault="00786C02" w:rsidP="00300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43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5-12 klasių mokiniams </w:t>
            </w:r>
            <w:r w:rsidRP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 aprašymas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pagrindimu</w:t>
            </w:r>
          </w:p>
          <w:p w14:paraId="456D2520" w14:textId="77777777" w:rsidR="00786C02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A46073" w14:textId="77777777" w:rsidR="00786C02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968AFF" w14:textId="0894A30B" w:rsidR="00786C02" w:rsidRPr="004D0EBD" w:rsidRDefault="00786C02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22" w:type="dxa"/>
          </w:tcPr>
          <w:p w14:paraId="5961B620" w14:textId="21FDDBC7" w:rsidR="00786C02" w:rsidRPr="00D03BCE" w:rsidRDefault="00786C02" w:rsidP="007B0C5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bendro pobūdžio 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 aprašymas, jis formaliai atitinka pirkimo tikslą ir uždavinius.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Koncepcijos 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priemonės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šabloniškos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nepaveikios, fragmentiškos; pasirinktos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komunikacinės </w:t>
            </w:r>
            <w:r w:rsidRPr="007F51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žinutės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neįtaigios, neatitinka tikslinių grupių specifikos. Nepagrįsta, kaip šiomis priemonėmis bus pasiekta tikslinė auditorija.</w:t>
            </w:r>
          </w:p>
          <w:p w14:paraId="15E494C0" w14:textId="4273255E" w:rsidR="00786C02" w:rsidRPr="00D03BCE" w:rsidRDefault="00786C02" w:rsidP="001543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25" w:type="dxa"/>
          </w:tcPr>
          <w:p w14:paraId="59DC3972" w14:textId="26D51B18" w:rsidR="00786C02" w:rsidRDefault="00786C02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glaustas 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 aprašymas, ji iš esmės atitinka pirkimo tikslą ir uždavinius. Koncepcijos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priemonės sudominančios, </w:t>
            </w:r>
            <w:r w:rsidRPr="005128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pasirinktos komunikacinės žinutės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įtaigios, tačiau pasitaiko klišių, teminio nenuoseklumo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F1E8584" w14:textId="77777777" w:rsidR="00786C02" w:rsidRDefault="00786C02" w:rsidP="0015439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47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koncepcija turi trūkumų, neleidžiančių jai skirti aukščiausio balo.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2B4FF4" w14:textId="770AB24B" w:rsidR="00786C02" w:rsidRPr="00D03BCE" w:rsidRDefault="00786C02" w:rsidP="0015439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13" w:type="dxa"/>
          </w:tcPr>
          <w:p w14:paraId="41628E80" w14:textId="010C6F03" w:rsidR="00786C02" w:rsidRDefault="00786C02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išsamus edukacinės iniciatyvos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koncepcijos aprašymas, ji pilnai atitinka pirkimo tikslą ir uždavinius, </w:t>
            </w:r>
          </w:p>
          <w:p w14:paraId="5D04EC52" w14:textId="486B8AD7" w:rsidR="00786C02" w:rsidRDefault="00786C02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priemonės paveikios, </w:t>
            </w:r>
            <w:r w:rsidRPr="005128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pasirinktos komunikacinė žinutės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įtaigios,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traukiančios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</w:t>
            </w: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rgumentuotai pagrįsta kaip siūlomos priemonės veiks tikslinių grupių informacijos priėmimą ir supratimą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112CCCF" w14:textId="77777777" w:rsidR="00786C02" w:rsidRDefault="00786C02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A74B6A" w14:textId="06064659" w:rsidR="00786C02" w:rsidRPr="00D03BCE" w:rsidRDefault="00786C02" w:rsidP="007B0C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D0894A5" w14:textId="77777777" w:rsidR="007E57EF" w:rsidRPr="004D0EBD" w:rsidRDefault="007E57EF" w:rsidP="00871B18">
      <w:pPr>
        <w:spacing w:after="0" w:line="240" w:lineRule="auto"/>
        <w:ind w:left="720" w:firstLine="1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9A77BD" w14:textId="77777777" w:rsidR="00A456EF" w:rsidRPr="00C83097" w:rsidRDefault="00A456EF" w:rsidP="00871B18">
      <w:pPr>
        <w:spacing w:after="0" w:line="240" w:lineRule="auto"/>
        <w:ind w:left="720" w:firstLine="18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56D854F7" w14:textId="38940AA8" w:rsidR="00871B18" w:rsidRPr="004D0EBD" w:rsidRDefault="00871B18" w:rsidP="00285A8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Paslaugų valdymo ir kokybės užtikrinimo aprašymas (T</w:t>
      </w:r>
      <w:r w:rsidR="007E57EF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2</w:t>
      </w: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):</w:t>
      </w:r>
      <w:r w:rsidRPr="004D0EBD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</w:p>
    <w:p w14:paraId="4A0FAFCE" w14:textId="77777777" w:rsidR="00871B18" w:rsidRPr="004D0EBD" w:rsidRDefault="00871B18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1"/>
        <w:gridCol w:w="1935"/>
        <w:gridCol w:w="3222"/>
        <w:gridCol w:w="3085"/>
        <w:gridCol w:w="3434"/>
      </w:tblGrid>
      <w:tr w:rsidR="00786C02" w:rsidRPr="004D0EBD" w14:paraId="4C8E43ED" w14:textId="77777777" w:rsidTr="00786C02">
        <w:tc>
          <w:tcPr>
            <w:tcW w:w="591" w:type="dxa"/>
          </w:tcPr>
          <w:p w14:paraId="155A3DFF" w14:textId="77777777" w:rsidR="00786C02" w:rsidRPr="004D0EBD" w:rsidRDefault="00786C02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35" w:type="dxa"/>
          </w:tcPr>
          <w:p w14:paraId="4209216D" w14:textId="77777777" w:rsidR="00786C02" w:rsidRPr="004D0EBD" w:rsidRDefault="00786C02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22" w:type="dxa"/>
          </w:tcPr>
          <w:p w14:paraId="77F75989" w14:textId="2699A731" w:rsidR="00786C02" w:rsidRPr="004D0EBD" w:rsidRDefault="00786C02" w:rsidP="00806B5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Patenkinamai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1 balas</w:t>
            </w:r>
          </w:p>
        </w:tc>
        <w:tc>
          <w:tcPr>
            <w:tcW w:w="3085" w:type="dxa"/>
          </w:tcPr>
          <w:p w14:paraId="7C3CF8C2" w14:textId="5FE8905E" w:rsidR="00786C02" w:rsidRPr="004D0EBD" w:rsidRDefault="00786C02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Gerai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balai</w:t>
            </w:r>
          </w:p>
        </w:tc>
        <w:tc>
          <w:tcPr>
            <w:tcW w:w="3434" w:type="dxa"/>
          </w:tcPr>
          <w:p w14:paraId="4A2019E5" w14:textId="0F40488E" w:rsidR="00786C02" w:rsidRPr="004D0EBD" w:rsidRDefault="00786C02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Puikiai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 balai</w:t>
            </w:r>
          </w:p>
        </w:tc>
      </w:tr>
      <w:tr w:rsidR="00786C02" w:rsidRPr="008342D0" w14:paraId="5E1CD135" w14:textId="77777777" w:rsidTr="00786C02">
        <w:tc>
          <w:tcPr>
            <w:tcW w:w="591" w:type="dxa"/>
          </w:tcPr>
          <w:p w14:paraId="08D0BDDB" w14:textId="3C6E17E1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2.1.</w:t>
            </w:r>
          </w:p>
        </w:tc>
        <w:tc>
          <w:tcPr>
            <w:tcW w:w="1935" w:type="dxa"/>
          </w:tcPr>
          <w:p w14:paraId="4B103D78" w14:textId="68C0CA54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teikimo organizavimo ir valdymo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="00E961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įskaitant aplinkosauginių kriterijų taikymą paslaugų teikimo metu.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22" w:type="dxa"/>
          </w:tcPr>
          <w:p w14:paraId="23C1A050" w14:textId="403800CB" w:rsidR="00786C02" w:rsidRPr="004D0EBD" w:rsidRDefault="00786C02" w:rsidP="00A456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paviršutiniškas,</w:t>
            </w: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 pobūdžio</w:t>
            </w: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paslaugų teikimo organizavimo ir valdymo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aprašymas.</w:t>
            </w:r>
          </w:p>
        </w:tc>
        <w:tc>
          <w:tcPr>
            <w:tcW w:w="3085" w:type="dxa"/>
          </w:tcPr>
          <w:p w14:paraId="79E58C6A" w14:textId="41BC94F5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 glaustas paslaugų teikimo organizavimo ir valdymo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aprašymas,</w:t>
            </w:r>
            <w:r w:rsidRPr="00A456EF">
              <w:rPr>
                <w:lang w:val="lt-LT"/>
              </w:rPr>
              <w:t xml:space="preserve"> </w:t>
            </w:r>
            <w:r w:rsidRP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 yra netikslumų, trūksta nuoseklumo, argumentavimo.</w:t>
            </w:r>
          </w:p>
        </w:tc>
        <w:tc>
          <w:tcPr>
            <w:tcW w:w="3434" w:type="dxa"/>
          </w:tcPr>
          <w:p w14:paraId="0F3EC2EC" w14:textId="097F8D8D" w:rsidR="00786C02" w:rsidRDefault="00786C02" w:rsidP="00037B4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Pateiktas aiškus, detalus ir pagrįstas paslaugų teikimo organizavimo ir valdymo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aprašymas</w:t>
            </w:r>
            <w:r w:rsidRPr="004058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648B38B" w14:textId="1F128DB0" w:rsidR="00786C02" w:rsidRPr="00405828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6C02" w:rsidRPr="008342D0" w14:paraId="250E933D" w14:textId="77777777" w:rsidTr="00786C02">
        <w:tc>
          <w:tcPr>
            <w:tcW w:w="591" w:type="dxa"/>
          </w:tcPr>
          <w:p w14:paraId="6D1C9F02" w14:textId="47BEB8B8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2.2.</w:t>
            </w:r>
          </w:p>
        </w:tc>
        <w:tc>
          <w:tcPr>
            <w:tcW w:w="1935" w:type="dxa"/>
          </w:tcPr>
          <w:p w14:paraId="7E0CF939" w14:textId="6550520F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Specialistų funkcijos ir atsakomybės</w:t>
            </w:r>
          </w:p>
        </w:tc>
        <w:tc>
          <w:tcPr>
            <w:tcW w:w="3222" w:type="dxa"/>
          </w:tcPr>
          <w:p w14:paraId="1AABA3FE" w14:textId="7AC47BE2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Pasitelkiamų specialistų funkcijos ir atsakomybės aprašomos paviršutiniškai, trūksta detalumo, pagrindimo.</w:t>
            </w:r>
          </w:p>
        </w:tc>
        <w:tc>
          <w:tcPr>
            <w:tcW w:w="3085" w:type="dxa"/>
          </w:tcPr>
          <w:p w14:paraId="6F97E3AA" w14:textId="1D62323B" w:rsidR="00786C02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Suprantamai aprašomos specialistų funkcijos ir atsakomybės už konkrečius darbus ir darbų rezultat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yra netikslumų, trūksta nuoseklumo, argumentavimo.</w:t>
            </w:r>
          </w:p>
          <w:p w14:paraId="76136FF1" w14:textId="41CE14EA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34" w:type="dxa"/>
          </w:tcPr>
          <w:p w14:paraId="6498A6CB" w14:textId="0A280E75" w:rsidR="00786C02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Tiksliai ir detaliai aprašomos, lanksčiai ir racionaliai paskirstytos specialistų funkcijos ir atsakomybės, kurios yra susietos su tikslų ir rezultatų įgyvendinimu.</w:t>
            </w:r>
            <w:r w:rsidR="00C51B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Įvardinti konkretūs specialistai,</w:t>
            </w:r>
            <w:r w:rsidR="00EB2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51B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kurie dalyvaus teikiant paslaugas</w:t>
            </w:r>
            <w:r w:rsidR="00CD17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nurodyta jų patirtis, aktuali perkamų paslaugų teikimui</w:t>
            </w:r>
            <w:r w:rsidR="00C51B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05F8D40" w14:textId="77777777" w:rsidR="00786C02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1D20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sant reikalui numatyta galimybė pasitelkti papildomus išteklius. </w:t>
            </w:r>
          </w:p>
          <w:p w14:paraId="62BA6DAE" w14:textId="4FCCDA7A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6C02" w:rsidRPr="008342D0" w14:paraId="2E285688" w14:textId="77777777" w:rsidTr="00786C02">
        <w:tc>
          <w:tcPr>
            <w:tcW w:w="591" w:type="dxa"/>
          </w:tcPr>
          <w:p w14:paraId="5D5DB66F" w14:textId="5B307698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3  </w:t>
            </w:r>
          </w:p>
        </w:tc>
        <w:tc>
          <w:tcPr>
            <w:tcW w:w="1935" w:type="dxa"/>
          </w:tcPr>
          <w:p w14:paraId="6F2CA301" w14:textId="7DAE5DFE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EA4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aslaugų teikimo rizikų ir jų valdymo būdų aprašymas</w:t>
            </w:r>
          </w:p>
        </w:tc>
        <w:tc>
          <w:tcPr>
            <w:tcW w:w="3222" w:type="dxa"/>
          </w:tcPr>
          <w:p w14:paraId="2CF22607" w14:textId="6C71A19A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teikimo rizikos aprašytos paviršutiniškai, jos yra bendro pobūdžio, nepritaikytos pirkimo objektui.</w:t>
            </w:r>
          </w:p>
        </w:tc>
        <w:tc>
          <w:tcPr>
            <w:tcW w:w="3085" w:type="dxa"/>
          </w:tcPr>
          <w:p w14:paraId="397568F3" w14:textId="59D4B1A7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Siūlomi gana aiškūs rizikų valdymo sprendimai, tačiau nepagrįstas rizikų valdymo priemonių aprašymas.</w:t>
            </w:r>
          </w:p>
        </w:tc>
        <w:tc>
          <w:tcPr>
            <w:tcW w:w="3434" w:type="dxa"/>
          </w:tcPr>
          <w:p w14:paraId="2ADC4D39" w14:textId="77777777" w:rsidR="00786C02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Pateikiama aiški ir detali sutarties vykdymo rizikų analizė ir jų valdymo priemonės. Siūlomi aiškūs rizikų valdymo sprendimai, pagrįstas rizikų valdymo priemonių aprašymas.</w:t>
            </w:r>
          </w:p>
          <w:p w14:paraId="68480658" w14:textId="2F78604D" w:rsidR="00786C02" w:rsidRPr="004D0EBD" w:rsidRDefault="00786C02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23648D3" w14:textId="77777777" w:rsidR="003A53C2" w:rsidRPr="004D0EBD" w:rsidRDefault="003A53C2" w:rsidP="00806B5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D35C7B8" w14:textId="77777777" w:rsidR="00936DE8" w:rsidRDefault="00936DE8" w:rsidP="00936DE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33BBAE7" w14:textId="77777777" w:rsidR="00936DE8" w:rsidRPr="00E75216" w:rsidRDefault="00936DE8" w:rsidP="00285A8E">
      <w:pPr>
        <w:pStyle w:val="Sraopastraip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21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Jei tiekėjas nepateikia bent vieno kriterijaus (T1, T2) ar jo sudėtinės dalies (P1.1., P1.2, P2.1, P2.2, P2.3) aprašymo, toks pasiūlymas bus atmetamas kaip neatitinkantis konkurso sąlygų. </w:t>
      </w:r>
    </w:p>
    <w:p w14:paraId="557E20AF" w14:textId="77777777" w:rsidR="00936DE8" w:rsidRDefault="00936DE8" w:rsidP="00936DE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2B8C1A6" w14:textId="77777777" w:rsidR="00936DE8" w:rsidRPr="001F76B3" w:rsidRDefault="00936DE8" w:rsidP="00285A8E">
      <w:pPr>
        <w:pStyle w:val="Sraopastraipa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1F76B3">
        <w:rPr>
          <w:rFonts w:ascii="Times New Roman" w:hAnsi="Times New Roman" w:cs="Times New Roman"/>
          <w:sz w:val="24"/>
          <w:szCs w:val="24"/>
          <w:lang w:val="lt-LT"/>
        </w:rPr>
        <w:lastRenderedPageBreak/>
        <w:t>Tiekėjų pasiūlymus pagal ekonominio naudingumo vertinimo kriterijus vertins 3 ekspertai, turintys atitinkamų žinių ir kompetencijos vertinamoje srityje. Kiekvienas ekspertas vertinimą atliks individualiai, savarankiškai ir konfidencialiai – nederinant vertinimo rezultatų su kitais ekspertais.</w:t>
      </w:r>
    </w:p>
    <w:p w14:paraId="64E9E29B" w14:textId="77777777" w:rsidR="00936DE8" w:rsidRPr="001F76B3" w:rsidRDefault="00936DE8" w:rsidP="00936DE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F76B3">
        <w:rPr>
          <w:rFonts w:ascii="Times New Roman" w:hAnsi="Times New Roman" w:cs="Times New Roman"/>
          <w:sz w:val="24"/>
          <w:szCs w:val="24"/>
          <w:lang w:val="lt-LT"/>
        </w:rPr>
        <w:t xml:space="preserve">Kiekvienas ekspertas pagal pateiktus kriterijų aprašymus suteiks savo vertinamą balą </w:t>
      </w:r>
      <w:r w:rsidRPr="001F76B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sudėtinėms dalims (P1.1., P1.2, P2.1, P2.2, P2.3) </w:t>
      </w:r>
      <w:r w:rsidRPr="001F76B3">
        <w:rPr>
          <w:rFonts w:ascii="Times New Roman" w:hAnsi="Times New Roman" w:cs="Times New Roman"/>
          <w:sz w:val="24"/>
          <w:szCs w:val="24"/>
          <w:lang w:val="lt-LT"/>
        </w:rPr>
        <w:t>bei parengs argumentuotą pagrindimą, kuriame paaiškins, kodėl buvo skirta tam tikra balų reikšmė.</w:t>
      </w:r>
    </w:p>
    <w:p w14:paraId="7BA74453" w14:textId="77777777" w:rsidR="00936DE8" w:rsidRDefault="00936DE8" w:rsidP="00936DE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F76B3">
        <w:rPr>
          <w:rFonts w:ascii="Times New Roman" w:hAnsi="Times New Roman" w:cs="Times New Roman"/>
          <w:sz w:val="24"/>
          <w:szCs w:val="24"/>
          <w:lang w:val="lt-LT"/>
        </w:rPr>
        <w:t xml:space="preserve">Vertinimo balą </w:t>
      </w:r>
      <w:r w:rsidRPr="001F76B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sudėtinėms dalims (P1.1., P1.2, P2.1, P2.2, P2.3) </w:t>
      </w:r>
      <w:r w:rsidRPr="001F76B3">
        <w:rPr>
          <w:rFonts w:ascii="Times New Roman" w:hAnsi="Times New Roman" w:cs="Times New Roman"/>
          <w:sz w:val="24"/>
          <w:szCs w:val="24"/>
          <w:lang w:val="lt-LT"/>
        </w:rPr>
        <w:t xml:space="preserve">sudarys ekspertų skiriamų balų aritmetinis vidurkis tai sudėtinei daliai. T1 vertinimo kriterijų sudarys P1.1 ir P1.2 aritmetinių vidurkių (vidurkis apvalinamas šimtųjų tikslumu) suma, t.y. T1 </w:t>
      </w:r>
      <w:r w:rsidRPr="00AD6A13">
        <w:rPr>
          <w:rFonts w:ascii="Times New Roman" w:hAnsi="Times New Roman" w:cs="Times New Roman"/>
          <w:sz w:val="24"/>
          <w:szCs w:val="24"/>
          <w:lang w:val="lt-LT"/>
        </w:rPr>
        <w:t>= P1.1 (vidurkis) + P.1.2 (vidurkis), T2= P2.1 (vidurkis) + P.2.2 (vidurkis) + P2.3 (vidurkis).</w:t>
      </w:r>
    </w:p>
    <w:p w14:paraId="5AF51332" w14:textId="77777777" w:rsidR="00936DE8" w:rsidRPr="009C0677" w:rsidRDefault="00936DE8" w:rsidP="00285A8E">
      <w:pPr>
        <w:pStyle w:val="Sraopastraipa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9C0677">
        <w:rPr>
          <w:rFonts w:ascii="Times New Roman" w:hAnsi="Times New Roman" w:cs="Times New Roman"/>
          <w:sz w:val="24"/>
          <w:szCs w:val="24"/>
          <w:lang w:val="lt-LT"/>
        </w:rPr>
        <w:t>Ekonominis naudingumas (S) apskaičiuojamas sudėjus pasiūlymo kainos (C) ir Specialistų patirties kriterijaus (T) balus:</w:t>
      </w:r>
    </w:p>
    <w:p w14:paraId="06EE4680" w14:textId="77777777" w:rsidR="00936DE8" w:rsidRPr="009C0677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7E134E19" w14:textId="77777777" w:rsidR="00936DE8" w:rsidRPr="009C0677" w:rsidRDefault="00936DE8" w:rsidP="00936DE8">
      <w:pPr>
        <w:spacing w:line="264" w:lineRule="auto"/>
        <w:ind w:right="8"/>
        <w:jc w:val="center"/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</w:pPr>
      <w:r w:rsidRPr="009C0677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S =</w:t>
      </w:r>
      <w:r w:rsidRPr="009C0677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9C0677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C +</w:t>
      </w:r>
      <w:r w:rsidRPr="009C0677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9C0677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T</w:t>
      </w:r>
    </w:p>
    <w:p w14:paraId="45A81EBA" w14:textId="77777777" w:rsidR="00936DE8" w:rsidRPr="00D55359" w:rsidRDefault="00936DE8" w:rsidP="00285A8E">
      <w:pPr>
        <w:pStyle w:val="Sraopastraipa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9C0677">
        <w:rPr>
          <w:rFonts w:ascii="Times New Roman" w:hAnsi="Times New Roman" w:cs="Times New Roman"/>
          <w:sz w:val="24"/>
          <w:szCs w:val="24"/>
          <w:lang w:val="lt-LT"/>
        </w:rPr>
        <w:t>Pasiūlymo kainos (C) balai apskaičiuojami mažiausios pasiūlytos kainos (Cmin) ir vertinamo pasiūlymo kainos (Cp) santykį padauginus iš kainos lyginamojo svorio (X)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D55359">
        <w:rPr>
          <w:rFonts w:ascii="Times New Roman" w:hAnsi="Times New Roman" w:cs="Times New Roman"/>
          <w:sz w:val="24"/>
          <w:szCs w:val="24"/>
        </w:rPr>
        <w:t xml:space="preserve"> </w:t>
      </w:r>
      <w:r w:rsidRPr="00D55359">
        <w:rPr>
          <w:rFonts w:ascii="Times New Roman" w:hAnsi="Times New Roman" w:cs="Times New Roman"/>
          <w:sz w:val="24"/>
          <w:szCs w:val="24"/>
          <w:lang w:val="lt-LT"/>
        </w:rPr>
        <w:t>apvalinant iki skaičiaus šimtųjų dalių:</w:t>
      </w:r>
    </w:p>
    <w:p w14:paraId="5DAF92F8" w14:textId="77777777" w:rsidR="00936DE8" w:rsidRPr="009C0677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33A62649" w14:textId="77777777" w:rsidR="00936DE8" w:rsidRPr="009C0677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  <m:oMathPara>
        <m:oMath>
          <m:r>
            <w:rPr>
              <w:rFonts w:ascii="Cambria Math" w:eastAsia="Calibri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4"/>
              <w:szCs w:val="24"/>
            </w:rPr>
            <m:t>∙X</m:t>
          </m:r>
        </m:oMath>
      </m:oMathPara>
    </w:p>
    <w:p w14:paraId="08179178" w14:textId="77777777" w:rsidR="00936DE8" w:rsidRPr="009C0677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B345EFF" w14:textId="77777777" w:rsidR="00936DE8" w:rsidRPr="00AD6A13" w:rsidRDefault="00936DE8" w:rsidP="00285A8E">
      <w:pPr>
        <w:pStyle w:val="Sraopastraipa"/>
        <w:numPr>
          <w:ilvl w:val="0"/>
          <w:numId w:val="7"/>
        </w:numPr>
        <w:tabs>
          <w:tab w:val="left" w:pos="284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85A8E">
        <w:rPr>
          <w:rFonts w:ascii="Times New Roman" w:hAnsi="Times New Roman" w:cs="Times New Roman"/>
          <w:sz w:val="24"/>
          <w:szCs w:val="24"/>
          <w:lang w:val="lt-LT"/>
        </w:rPr>
        <w:t xml:space="preserve">Sudedami visų ekspertų paskirti vertinimo balai ir apskaičiuojamas vidurkis. Kriterijaus parametro </w:t>
      </w:r>
      <w:r w:rsidRPr="00285A8E">
        <w:rPr>
          <w:rFonts w:ascii="Times New Roman" w:hAnsi="Times New Roman" w:cs="Times New Roman"/>
          <w:i/>
          <w:iCs/>
          <w:sz w:val="24"/>
          <w:szCs w:val="24"/>
          <w:lang w:val="lt-LT"/>
        </w:rPr>
        <w:t>(T</w:t>
      </w:r>
      <w:r w:rsidRPr="00285A8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lt-LT"/>
        </w:rPr>
        <w:t>i</w:t>
      </w:r>
      <w:r w:rsidRPr="00285A8E">
        <w:rPr>
          <w:rFonts w:ascii="Times New Roman" w:hAnsi="Times New Roman" w:cs="Times New Roman"/>
          <w:i/>
          <w:iCs/>
          <w:sz w:val="24"/>
          <w:szCs w:val="24"/>
          <w:lang w:val="lt-LT"/>
        </w:rPr>
        <w:t>)</w:t>
      </w:r>
      <w:r w:rsidRPr="00285A8E">
        <w:rPr>
          <w:rFonts w:ascii="Times New Roman" w:hAnsi="Times New Roman" w:cs="Times New Roman"/>
          <w:sz w:val="24"/>
          <w:szCs w:val="24"/>
          <w:lang w:val="lt-LT"/>
        </w:rPr>
        <w:t xml:space="preserve"> balai apskaičiuojami vertinamo pasiūlymo parametro reikšmę (T</w:t>
      </w:r>
      <w:r w:rsidRPr="00285A8E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</w:t>
      </w:r>
      <w:r w:rsidRPr="00285A8E">
        <w:rPr>
          <w:rFonts w:ascii="Times New Roman" w:hAnsi="Times New Roman" w:cs="Times New Roman"/>
          <w:sz w:val="24"/>
          <w:szCs w:val="24"/>
          <w:lang w:val="lt-LT"/>
        </w:rPr>
        <w:t>) lyginant su geriausiai įvertinta to paties parametro reikšme (T</w:t>
      </w:r>
      <w:r w:rsidRPr="00285A8E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285A8E">
        <w:rPr>
          <w:rFonts w:ascii="Times New Roman" w:hAnsi="Times New Roman" w:cs="Times New Roman"/>
          <w:sz w:val="24"/>
          <w:szCs w:val="24"/>
          <w:lang w:val="lt-LT"/>
        </w:rPr>
        <w:t>) ir gautą santykį padauginant iš vertinamo kriterijaus funkcinio parametro lyginamojo svorio</w:t>
      </w:r>
      <w:r w:rsidRPr="00AD6A13">
        <w:rPr>
          <w:rFonts w:ascii="Times New Roman" w:hAnsi="Times New Roman" w:cs="Times New Roman"/>
          <w:sz w:val="24"/>
          <w:szCs w:val="24"/>
          <w:lang w:val="lt-LT"/>
        </w:rPr>
        <w:t xml:space="preserve"> (Ls):</w:t>
      </w:r>
    </w:p>
    <w:p w14:paraId="732D0B2A" w14:textId="77777777" w:rsidR="00936DE8" w:rsidRPr="00AD6A13" w:rsidRDefault="00936DE8" w:rsidP="00936DE8">
      <w:pPr>
        <w:pStyle w:val="Sraopastraipa"/>
        <w:tabs>
          <w:tab w:val="left" w:pos="284"/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t-LT"/>
        </w:rPr>
      </w:pPr>
    </w:p>
    <w:p w14:paraId="221242BF" w14:textId="77777777" w:rsidR="00936DE8" w:rsidRPr="00D55359" w:rsidRDefault="00A877F9" w:rsidP="00936DE8">
      <w:pPr>
        <w:tabs>
          <w:tab w:val="left" w:pos="284"/>
          <w:tab w:val="left" w:pos="567"/>
          <w:tab w:val="left" w:pos="127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</m:oMath>
      </m:oMathPara>
    </w:p>
    <w:p w14:paraId="31974FDC" w14:textId="77777777" w:rsidR="00936DE8" w:rsidRPr="00D55359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14DF86C9" w14:textId="77777777" w:rsidR="00936DE8" w:rsidRPr="009C0677" w:rsidRDefault="00936DE8" w:rsidP="00285A8E">
      <w:pPr>
        <w:pStyle w:val="Sraopastraipa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9C0677">
        <w:rPr>
          <w:rFonts w:ascii="Times New Roman" w:hAnsi="Times New Roman" w:cs="Times New Roman"/>
          <w:sz w:val="24"/>
          <w:szCs w:val="24"/>
          <w:lang w:val="lt-LT"/>
        </w:rPr>
        <w:t>Pasiūlymo kriterijaus (T) balas apskaičiuojamas kriterijaus parametrų įvertinimų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i</m:t>
            </m:r>
          </m:sub>
        </m:sSub>
      </m:oMath>
      <w:r w:rsidRPr="009C0677">
        <w:rPr>
          <w:rFonts w:ascii="Times New Roman" w:hAnsi="Times New Roman" w:cs="Times New Roman"/>
          <w:sz w:val="24"/>
          <w:szCs w:val="24"/>
          <w:lang w:val="lt-LT"/>
        </w:rPr>
        <w:t>) sumą padauginant iš vertinamo kriterijaus lyginamojo svorio (Y):</w:t>
      </w:r>
    </w:p>
    <w:p w14:paraId="5E429B05" w14:textId="77777777" w:rsidR="00936DE8" w:rsidRPr="009C0677" w:rsidRDefault="00936DE8" w:rsidP="00936DE8">
      <w:pPr>
        <w:pStyle w:val="Sraopastraipa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C41EC07" w14:textId="77777777" w:rsidR="00936DE8" w:rsidRPr="009C0677" w:rsidRDefault="00936DE8" w:rsidP="00936DE8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5D896F15" w14:textId="5501EB82" w:rsidR="00545883" w:rsidRPr="004D0EBD" w:rsidRDefault="00936DE8" w:rsidP="00216F15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lt-LT"/>
            </w:rPr>
            <m:t>T=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lt-LT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lt-LT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lt-LT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  <w:lang w:val="lt-LT"/>
            </w:rPr>
            <m:t>∙Y</m:t>
          </m:r>
        </m:oMath>
      </m:oMathPara>
    </w:p>
    <w:sectPr w:rsidR="00545883" w:rsidRPr="004D0EBD" w:rsidSect="002C04FA">
      <w:pgSz w:w="15840" w:h="12240" w:orient="landscape"/>
      <w:pgMar w:top="426" w:right="709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0E"/>
    <w:multiLevelType w:val="hybridMultilevel"/>
    <w:tmpl w:val="078CC742"/>
    <w:lvl w:ilvl="0" w:tplc="AB28AE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61B"/>
    <w:multiLevelType w:val="multilevel"/>
    <w:tmpl w:val="AC98C4FE"/>
    <w:lvl w:ilvl="0">
      <w:start w:val="11"/>
      <w:numFmt w:val="decimal"/>
      <w:lvlText w:val="%1."/>
      <w:lvlJc w:val="left"/>
      <w:pPr>
        <w:ind w:left="2280" w:hanging="4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45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" w15:restartNumberingAfterBreak="0">
    <w:nsid w:val="254E58D1"/>
    <w:multiLevelType w:val="multilevel"/>
    <w:tmpl w:val="7EAAE5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9746C7"/>
    <w:multiLevelType w:val="hybridMultilevel"/>
    <w:tmpl w:val="B4EEA2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A2348"/>
    <w:multiLevelType w:val="hybridMultilevel"/>
    <w:tmpl w:val="85A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24A2"/>
    <w:multiLevelType w:val="multilevel"/>
    <w:tmpl w:val="277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C6A33"/>
    <w:multiLevelType w:val="hybridMultilevel"/>
    <w:tmpl w:val="8BFA6B8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14048">
    <w:abstractNumId w:val="5"/>
  </w:num>
  <w:num w:numId="2" w16cid:durableId="871042127">
    <w:abstractNumId w:val="2"/>
  </w:num>
  <w:num w:numId="3" w16cid:durableId="609238674">
    <w:abstractNumId w:val="4"/>
  </w:num>
  <w:num w:numId="4" w16cid:durableId="747656181">
    <w:abstractNumId w:val="1"/>
  </w:num>
  <w:num w:numId="5" w16cid:durableId="970750332">
    <w:abstractNumId w:val="3"/>
  </w:num>
  <w:num w:numId="6" w16cid:durableId="109908454">
    <w:abstractNumId w:val="6"/>
  </w:num>
  <w:num w:numId="7" w16cid:durableId="15413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1"/>
    <w:rsid w:val="00001ABF"/>
    <w:rsid w:val="000033CC"/>
    <w:rsid w:val="000147D7"/>
    <w:rsid w:val="00020885"/>
    <w:rsid w:val="000278A7"/>
    <w:rsid w:val="00037B44"/>
    <w:rsid w:val="00040202"/>
    <w:rsid w:val="00047FB3"/>
    <w:rsid w:val="000642AE"/>
    <w:rsid w:val="00066F3B"/>
    <w:rsid w:val="00072B97"/>
    <w:rsid w:val="00074C3D"/>
    <w:rsid w:val="000771BF"/>
    <w:rsid w:val="00096A99"/>
    <w:rsid w:val="000B5B08"/>
    <w:rsid w:val="000C381D"/>
    <w:rsid w:val="000D4DB7"/>
    <w:rsid w:val="0010372D"/>
    <w:rsid w:val="00121536"/>
    <w:rsid w:val="00131E0B"/>
    <w:rsid w:val="00154398"/>
    <w:rsid w:val="001646BE"/>
    <w:rsid w:val="001A2B7F"/>
    <w:rsid w:val="001A4C00"/>
    <w:rsid w:val="001A4C46"/>
    <w:rsid w:val="001B0B54"/>
    <w:rsid w:val="001B15D4"/>
    <w:rsid w:val="001C1295"/>
    <w:rsid w:val="001C63E0"/>
    <w:rsid w:val="001D20E5"/>
    <w:rsid w:val="001E1BAD"/>
    <w:rsid w:val="001E541A"/>
    <w:rsid w:val="001F414C"/>
    <w:rsid w:val="001F79A9"/>
    <w:rsid w:val="002029C6"/>
    <w:rsid w:val="00205DF9"/>
    <w:rsid w:val="00207B92"/>
    <w:rsid w:val="00216F15"/>
    <w:rsid w:val="002237C0"/>
    <w:rsid w:val="00240540"/>
    <w:rsid w:val="00253806"/>
    <w:rsid w:val="00270D89"/>
    <w:rsid w:val="00285A8E"/>
    <w:rsid w:val="002A3ABC"/>
    <w:rsid w:val="002A7D29"/>
    <w:rsid w:val="002B0103"/>
    <w:rsid w:val="002B03F3"/>
    <w:rsid w:val="002C04FA"/>
    <w:rsid w:val="002C0DA7"/>
    <w:rsid w:val="002C791B"/>
    <w:rsid w:val="002D493D"/>
    <w:rsid w:val="002D5A16"/>
    <w:rsid w:val="002D67B2"/>
    <w:rsid w:val="002E2BE2"/>
    <w:rsid w:val="002E4AD2"/>
    <w:rsid w:val="002F610E"/>
    <w:rsid w:val="002F6187"/>
    <w:rsid w:val="00300CFC"/>
    <w:rsid w:val="0036376A"/>
    <w:rsid w:val="003647CA"/>
    <w:rsid w:val="00377FAA"/>
    <w:rsid w:val="0038568C"/>
    <w:rsid w:val="003916C2"/>
    <w:rsid w:val="00396F72"/>
    <w:rsid w:val="003A53C2"/>
    <w:rsid w:val="003A7F4E"/>
    <w:rsid w:val="003B62BE"/>
    <w:rsid w:val="003C5EF1"/>
    <w:rsid w:val="003D0613"/>
    <w:rsid w:val="003E4637"/>
    <w:rsid w:val="003E5666"/>
    <w:rsid w:val="004024D1"/>
    <w:rsid w:val="004030B7"/>
    <w:rsid w:val="00405828"/>
    <w:rsid w:val="0041221E"/>
    <w:rsid w:val="004137B9"/>
    <w:rsid w:val="00414EDA"/>
    <w:rsid w:val="00421694"/>
    <w:rsid w:val="00431491"/>
    <w:rsid w:val="004320FD"/>
    <w:rsid w:val="00432E44"/>
    <w:rsid w:val="00437965"/>
    <w:rsid w:val="00472B4B"/>
    <w:rsid w:val="00480460"/>
    <w:rsid w:val="00480852"/>
    <w:rsid w:val="004B005A"/>
    <w:rsid w:val="004B5E08"/>
    <w:rsid w:val="004B6553"/>
    <w:rsid w:val="004B7575"/>
    <w:rsid w:val="004B77D2"/>
    <w:rsid w:val="004C1E7A"/>
    <w:rsid w:val="004C66E7"/>
    <w:rsid w:val="004D0EBD"/>
    <w:rsid w:val="004D56DA"/>
    <w:rsid w:val="004D57E7"/>
    <w:rsid w:val="004E3CEB"/>
    <w:rsid w:val="004F4946"/>
    <w:rsid w:val="004F65CD"/>
    <w:rsid w:val="005128B7"/>
    <w:rsid w:val="00520BF2"/>
    <w:rsid w:val="00523CD3"/>
    <w:rsid w:val="00527398"/>
    <w:rsid w:val="00534519"/>
    <w:rsid w:val="00541038"/>
    <w:rsid w:val="00545883"/>
    <w:rsid w:val="00556F2E"/>
    <w:rsid w:val="00564423"/>
    <w:rsid w:val="00577B78"/>
    <w:rsid w:val="00581BF3"/>
    <w:rsid w:val="0058244A"/>
    <w:rsid w:val="005839EE"/>
    <w:rsid w:val="0059252C"/>
    <w:rsid w:val="00594DFE"/>
    <w:rsid w:val="005A14DB"/>
    <w:rsid w:val="005A48CC"/>
    <w:rsid w:val="005B261D"/>
    <w:rsid w:val="005C0134"/>
    <w:rsid w:val="005D0402"/>
    <w:rsid w:val="005E433D"/>
    <w:rsid w:val="005E646B"/>
    <w:rsid w:val="005F524C"/>
    <w:rsid w:val="0062337C"/>
    <w:rsid w:val="00632C47"/>
    <w:rsid w:val="006402FB"/>
    <w:rsid w:val="006436B8"/>
    <w:rsid w:val="006443B3"/>
    <w:rsid w:val="00645DBB"/>
    <w:rsid w:val="0066252E"/>
    <w:rsid w:val="00676AEA"/>
    <w:rsid w:val="006960FE"/>
    <w:rsid w:val="006A15D0"/>
    <w:rsid w:val="006D07E1"/>
    <w:rsid w:val="006D3DCB"/>
    <w:rsid w:val="00725D16"/>
    <w:rsid w:val="0072625C"/>
    <w:rsid w:val="007512B6"/>
    <w:rsid w:val="00755ACB"/>
    <w:rsid w:val="00763261"/>
    <w:rsid w:val="007668F4"/>
    <w:rsid w:val="007757A4"/>
    <w:rsid w:val="00786C02"/>
    <w:rsid w:val="007B0C57"/>
    <w:rsid w:val="007B10DD"/>
    <w:rsid w:val="007D5F93"/>
    <w:rsid w:val="007D730B"/>
    <w:rsid w:val="007E57EF"/>
    <w:rsid w:val="007E598E"/>
    <w:rsid w:val="007E6C77"/>
    <w:rsid w:val="007F51E3"/>
    <w:rsid w:val="0080051D"/>
    <w:rsid w:val="00806B58"/>
    <w:rsid w:val="00815509"/>
    <w:rsid w:val="00816A20"/>
    <w:rsid w:val="0082496E"/>
    <w:rsid w:val="008342D0"/>
    <w:rsid w:val="00842DF7"/>
    <w:rsid w:val="008500D2"/>
    <w:rsid w:val="0085369B"/>
    <w:rsid w:val="00853C65"/>
    <w:rsid w:val="00855ECF"/>
    <w:rsid w:val="00871B18"/>
    <w:rsid w:val="00874356"/>
    <w:rsid w:val="00880627"/>
    <w:rsid w:val="00893521"/>
    <w:rsid w:val="008A05B4"/>
    <w:rsid w:val="008A0615"/>
    <w:rsid w:val="008A1094"/>
    <w:rsid w:val="008A47DF"/>
    <w:rsid w:val="008C02D6"/>
    <w:rsid w:val="008D4494"/>
    <w:rsid w:val="008D558E"/>
    <w:rsid w:val="008E42CE"/>
    <w:rsid w:val="008E7352"/>
    <w:rsid w:val="00921191"/>
    <w:rsid w:val="0093431D"/>
    <w:rsid w:val="009352B6"/>
    <w:rsid w:val="00936DE8"/>
    <w:rsid w:val="009400C4"/>
    <w:rsid w:val="009672C1"/>
    <w:rsid w:val="009820C8"/>
    <w:rsid w:val="009904EC"/>
    <w:rsid w:val="0099428A"/>
    <w:rsid w:val="009A78BA"/>
    <w:rsid w:val="009D2002"/>
    <w:rsid w:val="009E1086"/>
    <w:rsid w:val="009E4714"/>
    <w:rsid w:val="009F3546"/>
    <w:rsid w:val="009F4C3B"/>
    <w:rsid w:val="009F73C1"/>
    <w:rsid w:val="00A058B7"/>
    <w:rsid w:val="00A124A3"/>
    <w:rsid w:val="00A25E1A"/>
    <w:rsid w:val="00A456EF"/>
    <w:rsid w:val="00A56D6E"/>
    <w:rsid w:val="00A8124E"/>
    <w:rsid w:val="00A877F9"/>
    <w:rsid w:val="00A91843"/>
    <w:rsid w:val="00A93456"/>
    <w:rsid w:val="00A97D4B"/>
    <w:rsid w:val="00AB2662"/>
    <w:rsid w:val="00AD327E"/>
    <w:rsid w:val="00AD6A13"/>
    <w:rsid w:val="00AE01B7"/>
    <w:rsid w:val="00AF1675"/>
    <w:rsid w:val="00AF3BED"/>
    <w:rsid w:val="00AF6F28"/>
    <w:rsid w:val="00B0253B"/>
    <w:rsid w:val="00B150EA"/>
    <w:rsid w:val="00B21315"/>
    <w:rsid w:val="00B23E8F"/>
    <w:rsid w:val="00B24E5A"/>
    <w:rsid w:val="00B340B8"/>
    <w:rsid w:val="00B3558E"/>
    <w:rsid w:val="00B41C98"/>
    <w:rsid w:val="00B502DC"/>
    <w:rsid w:val="00B50726"/>
    <w:rsid w:val="00B55E70"/>
    <w:rsid w:val="00B60CB4"/>
    <w:rsid w:val="00B65306"/>
    <w:rsid w:val="00B71B69"/>
    <w:rsid w:val="00B71ECF"/>
    <w:rsid w:val="00B74918"/>
    <w:rsid w:val="00BB1265"/>
    <w:rsid w:val="00BF2A08"/>
    <w:rsid w:val="00BF44B3"/>
    <w:rsid w:val="00C04A92"/>
    <w:rsid w:val="00C12E87"/>
    <w:rsid w:val="00C14C04"/>
    <w:rsid w:val="00C155BF"/>
    <w:rsid w:val="00C23A1F"/>
    <w:rsid w:val="00C35EB2"/>
    <w:rsid w:val="00C41FF6"/>
    <w:rsid w:val="00C43D25"/>
    <w:rsid w:val="00C4558E"/>
    <w:rsid w:val="00C50EF2"/>
    <w:rsid w:val="00C51B4E"/>
    <w:rsid w:val="00C66689"/>
    <w:rsid w:val="00C74867"/>
    <w:rsid w:val="00C7584F"/>
    <w:rsid w:val="00C7654B"/>
    <w:rsid w:val="00C83097"/>
    <w:rsid w:val="00C83E11"/>
    <w:rsid w:val="00C96B97"/>
    <w:rsid w:val="00CA01BD"/>
    <w:rsid w:val="00CA4729"/>
    <w:rsid w:val="00CA673E"/>
    <w:rsid w:val="00CB2073"/>
    <w:rsid w:val="00CB5E0F"/>
    <w:rsid w:val="00CC0CB7"/>
    <w:rsid w:val="00CD1778"/>
    <w:rsid w:val="00D03BCE"/>
    <w:rsid w:val="00D0615F"/>
    <w:rsid w:val="00D07F5B"/>
    <w:rsid w:val="00D20595"/>
    <w:rsid w:val="00D23964"/>
    <w:rsid w:val="00D4326B"/>
    <w:rsid w:val="00D47413"/>
    <w:rsid w:val="00D64D63"/>
    <w:rsid w:val="00D64E40"/>
    <w:rsid w:val="00D66D01"/>
    <w:rsid w:val="00D76A62"/>
    <w:rsid w:val="00D866C6"/>
    <w:rsid w:val="00D925A6"/>
    <w:rsid w:val="00D92E0F"/>
    <w:rsid w:val="00DA15AC"/>
    <w:rsid w:val="00DA2456"/>
    <w:rsid w:val="00DB0304"/>
    <w:rsid w:val="00DB3994"/>
    <w:rsid w:val="00DB68C1"/>
    <w:rsid w:val="00DD1525"/>
    <w:rsid w:val="00DF59AF"/>
    <w:rsid w:val="00DF7ED5"/>
    <w:rsid w:val="00E066EF"/>
    <w:rsid w:val="00E21926"/>
    <w:rsid w:val="00E30C92"/>
    <w:rsid w:val="00E330D8"/>
    <w:rsid w:val="00E331C5"/>
    <w:rsid w:val="00E356AB"/>
    <w:rsid w:val="00E54308"/>
    <w:rsid w:val="00E56E07"/>
    <w:rsid w:val="00E601BF"/>
    <w:rsid w:val="00E64A88"/>
    <w:rsid w:val="00E66BE7"/>
    <w:rsid w:val="00E73122"/>
    <w:rsid w:val="00E74610"/>
    <w:rsid w:val="00E96102"/>
    <w:rsid w:val="00EA0D8E"/>
    <w:rsid w:val="00EA49EB"/>
    <w:rsid w:val="00EA59EB"/>
    <w:rsid w:val="00EB2C4A"/>
    <w:rsid w:val="00F10B0E"/>
    <w:rsid w:val="00F1509A"/>
    <w:rsid w:val="00F258B7"/>
    <w:rsid w:val="00F2796B"/>
    <w:rsid w:val="00F31797"/>
    <w:rsid w:val="00F35879"/>
    <w:rsid w:val="00F55536"/>
    <w:rsid w:val="00F61B10"/>
    <w:rsid w:val="00F72D60"/>
    <w:rsid w:val="00F90431"/>
    <w:rsid w:val="00F91739"/>
    <w:rsid w:val="00F9437E"/>
    <w:rsid w:val="00F951BA"/>
    <w:rsid w:val="00FB085E"/>
    <w:rsid w:val="00FB3795"/>
    <w:rsid w:val="00FB49DE"/>
    <w:rsid w:val="00FC06D2"/>
    <w:rsid w:val="00FC4467"/>
    <w:rsid w:val="00FC59B8"/>
    <w:rsid w:val="00FC708E"/>
    <w:rsid w:val="00FE12F4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2164"/>
  <w15:chartTrackingRefBased/>
  <w15:docId w15:val="{DEE35659-97BD-4C7E-8DE6-46B57290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D5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2153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72B4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2B4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D5F93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D5F93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last-path-child">
    <w:name w:val="last-path-child"/>
    <w:basedOn w:val="prastasis"/>
    <w:rsid w:val="00CA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2C04FA"/>
    <w:pPr>
      <w:ind w:left="720"/>
      <w:contextualSpacing/>
    </w:pPr>
  </w:style>
  <w:style w:type="paragraph" w:customStyle="1" w:styleId="ColorfulList-Accent12">
    <w:name w:val="Colorful List - Accent 12"/>
    <w:basedOn w:val="prastasis"/>
    <w:uiPriority w:val="72"/>
    <w:qFormat/>
    <w:rsid w:val="00594DF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Body2">
    <w:name w:val="Body 2"/>
    <w:rsid w:val="00FB49D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"/>
    <w:basedOn w:val="prastasis"/>
    <w:link w:val="AntratsDiagrama"/>
    <w:rsid w:val="00FB49D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"/>
    <w:basedOn w:val="Numatytasispastraiposriftas"/>
    <w:link w:val="Antrats"/>
    <w:rsid w:val="00FB49D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FB49DE"/>
  </w:style>
  <w:style w:type="paragraph" w:customStyle="1" w:styleId="53">
    <w:name w:val="_53"/>
    <w:basedOn w:val="prastasis"/>
    <w:rsid w:val="002405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A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3A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3A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A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A1F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36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6A1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C166-E2BB-4A4B-AAB6-01ACFA50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Jakštienė</dc:creator>
  <cp:keywords/>
  <dc:description/>
  <cp:lastModifiedBy>Juozas Marčinskas</cp:lastModifiedBy>
  <cp:revision>5</cp:revision>
  <dcterms:created xsi:type="dcterms:W3CDTF">2025-09-18T12:30:00Z</dcterms:created>
  <dcterms:modified xsi:type="dcterms:W3CDTF">2025-09-29T06:47:00Z</dcterms:modified>
</cp:coreProperties>
</file>