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727A0BD" w:rsidR="00184B8C" w:rsidRPr="00AB04C3" w:rsidRDefault="00C074CE" w:rsidP="00481A2B">
          <w:pPr>
            <w:jc w:val="center"/>
            <w:rPr>
              <w:rFonts w:asciiTheme="majorHAnsi" w:hAnsiTheme="majorHAnsi" w:cstheme="majorHAnsi"/>
              <w:sz w:val="32"/>
              <w:szCs w:val="32"/>
              <w:lang w:val="lt-LT"/>
            </w:rPr>
          </w:pPr>
          <w:r w:rsidRPr="00F11BDF">
            <w:rPr>
              <w:rFonts w:ascii="Times New Roman" w:hAnsi="Times New Roman" w:cs="Times New Roman"/>
              <w:b/>
              <w:bCs/>
              <w:noProof/>
              <w:sz w:val="24"/>
              <w:szCs w:val="24"/>
            </w:rPr>
            <w:drawing>
              <wp:inline distT="0" distB="0" distL="0" distR="0" wp14:anchorId="064E54D2" wp14:editId="0618ADD2">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4198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oNotDisplayPageBoundaries/>
  <w:proofState w:spelling="clean" w:grammar="clean"/>
  <w:revisionView w:markup="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78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198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6AA4"/>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4CE"/>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778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6AC49CD-91DD-4E56-98E1-9178CFE911A3}"/>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