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108"/>
        <w:gridCol w:w="3954"/>
        <w:gridCol w:w="1526"/>
        <w:gridCol w:w="545"/>
        <w:gridCol w:w="3402"/>
        <w:gridCol w:w="103"/>
        <w:gridCol w:w="251"/>
      </w:tblGrid>
      <w:tr w:rsidR="00CF2980" w:rsidRPr="00CF2980" w14:paraId="1DDCE659" w14:textId="77777777" w:rsidTr="00B713FE">
        <w:trPr>
          <w:gridBefore w:val="1"/>
          <w:wBefore w:w="108" w:type="dxa"/>
        </w:trPr>
        <w:tc>
          <w:tcPr>
            <w:tcW w:w="9781" w:type="dxa"/>
            <w:gridSpan w:val="6"/>
            <w:hideMark/>
          </w:tcPr>
          <w:p w14:paraId="001417AD" w14:textId="77777777" w:rsidR="00CF2980" w:rsidRPr="00CF2980" w:rsidRDefault="00CF2980" w:rsidP="00B713FE">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CF2980">
              <w:rPr>
                <w:rFonts w:ascii="Arial" w:eastAsia="Times New Roman" w:hAnsi="Arial" w:cs="Arial"/>
                <w:noProof/>
                <w:kern w:val="0"/>
                <w:sz w:val="24"/>
                <w:szCs w:val="24"/>
                <w:lang w:val="en-US"/>
                <w14:ligatures w14:val="none"/>
              </w:rPr>
              <w:drawing>
                <wp:inline distT="0" distB="0" distL="0" distR="0" wp14:anchorId="2D322C92" wp14:editId="78E4A02C">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CF2980" w:rsidRPr="00CF2980" w14:paraId="72CB644A" w14:textId="77777777" w:rsidTr="00B713FE">
        <w:trPr>
          <w:gridBefore w:val="1"/>
          <w:wBefore w:w="108" w:type="dxa"/>
        </w:trPr>
        <w:tc>
          <w:tcPr>
            <w:tcW w:w="9781" w:type="dxa"/>
            <w:gridSpan w:val="6"/>
          </w:tcPr>
          <w:p w14:paraId="3E7D950A" w14:textId="77777777" w:rsidR="00CF2980" w:rsidRPr="00CF2980" w:rsidRDefault="00CF2980" w:rsidP="00B713FE">
            <w:pPr>
              <w:spacing w:after="0" w:line="240" w:lineRule="auto"/>
              <w:jc w:val="center"/>
              <w:rPr>
                <w:rFonts w:ascii="Arial" w:eastAsia="Times New Roman" w:hAnsi="Arial" w:cs="Arial"/>
                <w:kern w:val="0"/>
                <w:sz w:val="24"/>
                <w:szCs w:val="24"/>
                <w:lang w:eastAsia="lt-LT"/>
                <w14:ligatures w14:val="none"/>
              </w:rPr>
            </w:pPr>
          </w:p>
        </w:tc>
      </w:tr>
      <w:tr w:rsidR="00CF2980" w:rsidRPr="00CF2980" w14:paraId="59592BC2" w14:textId="77777777" w:rsidTr="00B713FE">
        <w:trPr>
          <w:gridBefore w:val="1"/>
          <w:wBefore w:w="108" w:type="dxa"/>
        </w:trPr>
        <w:tc>
          <w:tcPr>
            <w:tcW w:w="9781" w:type="dxa"/>
            <w:gridSpan w:val="6"/>
            <w:hideMark/>
          </w:tcPr>
          <w:p w14:paraId="7FD36BE8" w14:textId="77777777" w:rsidR="00CF2980" w:rsidRPr="00CF2980" w:rsidRDefault="00CF2980" w:rsidP="00B713FE">
            <w:pPr>
              <w:keepNext/>
              <w:spacing w:after="0" w:line="240" w:lineRule="auto"/>
              <w:jc w:val="center"/>
              <w:outlineLvl w:val="1"/>
              <w:rPr>
                <w:rFonts w:ascii="Arial" w:eastAsia="Times New Roman" w:hAnsi="Arial" w:cs="Arial"/>
                <w:b/>
                <w:kern w:val="0"/>
                <w:sz w:val="24"/>
                <w:szCs w:val="24"/>
                <w:lang w:eastAsia="lt-LT"/>
                <w14:ligatures w14:val="none"/>
              </w:rPr>
            </w:pPr>
            <w:r w:rsidRPr="00CF2980">
              <w:rPr>
                <w:rFonts w:ascii="Arial" w:eastAsia="Times New Roman" w:hAnsi="Arial" w:cs="Arial"/>
                <w:b/>
                <w:kern w:val="0"/>
                <w:sz w:val="24"/>
                <w:szCs w:val="24"/>
                <w:lang w:eastAsia="lt-LT"/>
                <w14:ligatures w14:val="none"/>
              </w:rPr>
              <w:t>ALYTAUS MIESTO SAVIVALDYBĖS ADMINISTRACIJOS</w:t>
            </w:r>
          </w:p>
          <w:p w14:paraId="6CDF9B64" w14:textId="77777777" w:rsidR="00CF2980" w:rsidRPr="00CF2980" w:rsidRDefault="00CF2980" w:rsidP="00B713FE">
            <w:pPr>
              <w:keepNext/>
              <w:spacing w:after="0" w:line="240" w:lineRule="auto"/>
              <w:jc w:val="center"/>
              <w:outlineLvl w:val="1"/>
              <w:rPr>
                <w:rFonts w:ascii="Arial" w:eastAsia="Times New Roman" w:hAnsi="Arial" w:cs="Arial"/>
                <w:b/>
                <w:kern w:val="0"/>
                <w:sz w:val="24"/>
                <w:szCs w:val="24"/>
                <w:lang w:eastAsia="lt-LT"/>
                <w14:ligatures w14:val="none"/>
              </w:rPr>
            </w:pPr>
            <w:r w:rsidRPr="00CF2980">
              <w:rPr>
                <w:rFonts w:ascii="Arial" w:eastAsia="Times New Roman" w:hAnsi="Arial" w:cs="Arial"/>
                <w:b/>
                <w:kern w:val="0"/>
                <w:sz w:val="24"/>
                <w:szCs w:val="24"/>
                <w:lang w:eastAsia="lt-LT"/>
                <w14:ligatures w14:val="none"/>
              </w:rPr>
              <w:t>VIEŠŲJŲ PIRKIMŲ SKYRIUS</w:t>
            </w:r>
          </w:p>
        </w:tc>
      </w:tr>
      <w:tr w:rsidR="00CF2980" w:rsidRPr="00CF2980" w14:paraId="478FC0E2" w14:textId="77777777" w:rsidTr="00B713FE">
        <w:trPr>
          <w:gridBefore w:val="1"/>
          <w:wBefore w:w="108" w:type="dxa"/>
        </w:trPr>
        <w:tc>
          <w:tcPr>
            <w:tcW w:w="9781" w:type="dxa"/>
            <w:gridSpan w:val="6"/>
          </w:tcPr>
          <w:p w14:paraId="4CF0A8FD" w14:textId="77777777" w:rsidR="00CF2980" w:rsidRPr="00CF2980" w:rsidRDefault="00CF2980" w:rsidP="00B713FE">
            <w:pPr>
              <w:keepNext/>
              <w:spacing w:after="0" w:line="240" w:lineRule="auto"/>
              <w:jc w:val="center"/>
              <w:outlineLvl w:val="1"/>
              <w:rPr>
                <w:rFonts w:ascii="Arial" w:eastAsia="Times New Roman" w:hAnsi="Arial" w:cs="Arial"/>
                <w:b/>
                <w:kern w:val="0"/>
                <w:sz w:val="24"/>
                <w:szCs w:val="24"/>
                <w:lang w:eastAsia="lt-LT"/>
                <w14:ligatures w14:val="none"/>
              </w:rPr>
            </w:pPr>
          </w:p>
        </w:tc>
      </w:tr>
      <w:tr w:rsidR="00CF2980" w:rsidRPr="00CF2980" w14:paraId="7E99EA04" w14:textId="77777777" w:rsidTr="00B713FE">
        <w:trPr>
          <w:gridBefore w:val="1"/>
          <w:wBefore w:w="108" w:type="dxa"/>
        </w:trPr>
        <w:tc>
          <w:tcPr>
            <w:tcW w:w="9781" w:type="dxa"/>
            <w:gridSpan w:val="6"/>
            <w:tcBorders>
              <w:top w:val="nil"/>
              <w:left w:val="nil"/>
              <w:bottom w:val="single" w:sz="6" w:space="0" w:color="auto"/>
              <w:right w:val="nil"/>
            </w:tcBorders>
            <w:hideMark/>
          </w:tcPr>
          <w:p w14:paraId="70E7892C" w14:textId="77777777" w:rsidR="00CF2980" w:rsidRPr="00CF2980" w:rsidRDefault="00CF2980" w:rsidP="00B713FE">
            <w:pPr>
              <w:spacing w:after="0" w:line="240" w:lineRule="auto"/>
              <w:jc w:val="center"/>
              <w:rPr>
                <w:rFonts w:ascii="Arial" w:eastAsia="Times New Roman" w:hAnsi="Arial" w:cs="Arial"/>
                <w:kern w:val="0"/>
                <w:sz w:val="20"/>
                <w:szCs w:val="20"/>
                <w:lang w:eastAsia="lt-LT"/>
                <w14:ligatures w14:val="none"/>
              </w:rPr>
            </w:pPr>
            <w:r w:rsidRPr="00CF2980">
              <w:rPr>
                <w:rFonts w:ascii="Arial" w:eastAsia="Times New Roman" w:hAnsi="Arial" w:cs="Arial"/>
                <w:kern w:val="0"/>
                <w:sz w:val="20"/>
                <w:szCs w:val="20"/>
                <w:lang w:eastAsia="lt-LT"/>
                <w14:ligatures w14:val="none"/>
              </w:rPr>
              <w:t xml:space="preserve">Biudžetinė įstaiga, Rotušės a. 4, 62504 Alytus, tel. (0 315) 55 151, el. p. </w:t>
            </w:r>
            <w:hyperlink r:id="rId7" w:history="1">
              <w:r w:rsidRPr="00CF2980">
                <w:rPr>
                  <w:rFonts w:ascii="Arial" w:eastAsia="Times New Roman" w:hAnsi="Arial" w:cs="Arial"/>
                  <w:color w:val="0563C1"/>
                  <w:kern w:val="0"/>
                  <w:sz w:val="20"/>
                  <w:szCs w:val="20"/>
                  <w:u w:val="single"/>
                  <w:lang w:eastAsia="lt-LT"/>
                  <w14:ligatures w14:val="none"/>
                </w:rPr>
                <w:t>viesieji_pirkimai@alytus.lt</w:t>
              </w:r>
            </w:hyperlink>
            <w:r w:rsidRPr="00CF2980">
              <w:rPr>
                <w:rFonts w:ascii="Arial" w:eastAsia="Times New Roman" w:hAnsi="Arial" w:cs="Arial"/>
                <w:kern w:val="0"/>
                <w:sz w:val="20"/>
                <w:szCs w:val="20"/>
                <w:lang w:eastAsia="lt-LT"/>
                <w14:ligatures w14:val="none"/>
              </w:rPr>
              <w:t>,</w:t>
            </w:r>
          </w:p>
          <w:p w14:paraId="7D864C79" w14:textId="77777777" w:rsidR="00CF2980" w:rsidRPr="00CF2980" w:rsidRDefault="00CF2980" w:rsidP="00B713FE">
            <w:pPr>
              <w:spacing w:after="0" w:line="240" w:lineRule="auto"/>
              <w:jc w:val="center"/>
              <w:rPr>
                <w:rFonts w:ascii="Arial" w:eastAsia="Times New Roman" w:hAnsi="Arial" w:cs="Arial"/>
                <w:kern w:val="0"/>
                <w:sz w:val="20"/>
                <w:szCs w:val="20"/>
                <w:lang w:eastAsia="lt-LT"/>
                <w14:ligatures w14:val="none"/>
              </w:rPr>
            </w:pPr>
            <w:r w:rsidRPr="00CF2980">
              <w:rPr>
                <w:rFonts w:ascii="Arial" w:eastAsia="Times New Roman" w:hAnsi="Arial" w:cs="Arial"/>
                <w:kern w:val="0"/>
                <w:sz w:val="20"/>
                <w:szCs w:val="20"/>
                <w:lang w:eastAsia="lt-LT"/>
                <w14:ligatures w14:val="none"/>
              </w:rPr>
              <w:t>el. pristatymo dėžutės adresas 188706935</w:t>
            </w:r>
          </w:p>
          <w:p w14:paraId="2430C8F3" w14:textId="77777777" w:rsidR="00CF2980" w:rsidRPr="00CF2980" w:rsidRDefault="00CF2980" w:rsidP="00B713FE">
            <w:pPr>
              <w:spacing w:after="0" w:line="240" w:lineRule="auto"/>
              <w:jc w:val="center"/>
              <w:rPr>
                <w:rFonts w:ascii="Arial" w:eastAsia="Times New Roman" w:hAnsi="Arial" w:cs="Arial"/>
                <w:kern w:val="0"/>
                <w:sz w:val="24"/>
                <w:szCs w:val="24"/>
                <w:lang w:eastAsia="lt-LT"/>
                <w14:ligatures w14:val="none"/>
              </w:rPr>
            </w:pPr>
            <w:r w:rsidRPr="00CF2980">
              <w:rPr>
                <w:rFonts w:ascii="Arial" w:eastAsia="Times New Roman" w:hAnsi="Arial" w:cs="Arial"/>
                <w:kern w:val="0"/>
                <w:sz w:val="20"/>
                <w:szCs w:val="20"/>
                <w:lang w:eastAsia="lt-LT"/>
                <w14:ligatures w14:val="none"/>
              </w:rPr>
              <w:t>Duomenys kaupiami ir saugomi Juridinių asmenų registre, kodas 188706935</w:t>
            </w:r>
          </w:p>
        </w:tc>
      </w:tr>
      <w:tr w:rsidR="00CF2980" w:rsidRPr="00CF2980" w14:paraId="7B272112" w14:textId="77777777" w:rsidTr="00B713FE">
        <w:trPr>
          <w:gridAfter w:val="2"/>
          <w:wAfter w:w="352" w:type="dxa"/>
          <w:cantSplit/>
        </w:trPr>
        <w:tc>
          <w:tcPr>
            <w:tcW w:w="4063" w:type="dxa"/>
            <w:gridSpan w:val="2"/>
            <w:vMerge w:val="restart"/>
            <w:hideMark/>
          </w:tcPr>
          <w:p w14:paraId="10AF81A5" w14:textId="77777777" w:rsidR="00CF2980" w:rsidRPr="00CF2980" w:rsidRDefault="00CF2980" w:rsidP="00B713FE">
            <w:pPr>
              <w:spacing w:after="0" w:line="240" w:lineRule="auto"/>
              <w:jc w:val="both"/>
              <w:rPr>
                <w:rFonts w:ascii="Arial" w:eastAsia="Calibri" w:hAnsi="Arial" w:cs="Arial"/>
                <w:kern w:val="0"/>
                <w:sz w:val="24"/>
                <w:szCs w:val="24"/>
                <w14:ligatures w14:val="none"/>
              </w:rPr>
            </w:pPr>
            <w:r w:rsidRPr="00CF2980">
              <w:rPr>
                <w:rFonts w:ascii="Arial" w:eastAsia="Calibri" w:hAnsi="Arial" w:cs="Arial"/>
                <w:kern w:val="0"/>
                <w:sz w:val="24"/>
                <w:szCs w:val="24"/>
                <w14:ligatures w14:val="none"/>
              </w:rPr>
              <w:t>Tiekėjams</w:t>
            </w:r>
          </w:p>
          <w:p w14:paraId="380D4253" w14:textId="77777777" w:rsidR="00CF2980" w:rsidRPr="00CF2980" w:rsidRDefault="00CF2980" w:rsidP="00B713FE">
            <w:pPr>
              <w:spacing w:after="0" w:line="240" w:lineRule="auto"/>
              <w:jc w:val="both"/>
              <w:rPr>
                <w:rFonts w:ascii="Arial" w:eastAsia="Times New Roman" w:hAnsi="Arial" w:cs="Arial"/>
                <w:kern w:val="0"/>
                <w:sz w:val="24"/>
                <w:szCs w:val="24"/>
                <w:lang w:eastAsia="lt-LT"/>
                <w14:ligatures w14:val="none"/>
              </w:rPr>
            </w:pPr>
          </w:p>
        </w:tc>
        <w:tc>
          <w:tcPr>
            <w:tcW w:w="1526" w:type="dxa"/>
          </w:tcPr>
          <w:p w14:paraId="6FB64A82" w14:textId="77777777" w:rsidR="00CF2980" w:rsidRPr="00CF2980" w:rsidRDefault="00CF2980" w:rsidP="00B713FE">
            <w:pPr>
              <w:spacing w:after="0" w:line="240" w:lineRule="auto"/>
              <w:jc w:val="right"/>
              <w:rPr>
                <w:rFonts w:ascii="Arial" w:eastAsia="Times New Roman" w:hAnsi="Arial" w:cs="Arial"/>
                <w:kern w:val="0"/>
                <w:sz w:val="24"/>
                <w:szCs w:val="24"/>
                <w:lang w:eastAsia="lt-LT"/>
                <w14:ligatures w14:val="none"/>
              </w:rPr>
            </w:pPr>
          </w:p>
        </w:tc>
        <w:tc>
          <w:tcPr>
            <w:tcW w:w="545" w:type="dxa"/>
          </w:tcPr>
          <w:p w14:paraId="3F554DB2" w14:textId="77777777" w:rsidR="00CF2980" w:rsidRPr="00CF2980" w:rsidRDefault="00CF2980" w:rsidP="00B713FE">
            <w:pPr>
              <w:spacing w:after="0" w:line="240" w:lineRule="auto"/>
              <w:rPr>
                <w:rFonts w:ascii="Arial" w:eastAsia="Times New Roman" w:hAnsi="Arial" w:cs="Arial"/>
                <w:kern w:val="0"/>
                <w:sz w:val="24"/>
                <w:szCs w:val="24"/>
                <w:lang w:eastAsia="lt-LT"/>
                <w14:ligatures w14:val="none"/>
              </w:rPr>
            </w:pPr>
          </w:p>
        </w:tc>
        <w:tc>
          <w:tcPr>
            <w:tcW w:w="3403" w:type="dxa"/>
          </w:tcPr>
          <w:p w14:paraId="469271DE" w14:textId="2F614C54" w:rsidR="00CF2980" w:rsidRPr="00CF2980" w:rsidRDefault="00CF2980" w:rsidP="00B713FE">
            <w:pPr>
              <w:spacing w:after="0" w:line="240" w:lineRule="auto"/>
              <w:rPr>
                <w:rFonts w:ascii="Arial" w:eastAsia="Times New Roman" w:hAnsi="Arial" w:cs="Arial"/>
                <w:kern w:val="0"/>
                <w:sz w:val="24"/>
                <w:szCs w:val="24"/>
                <w:lang w:eastAsia="lt-LT"/>
                <w14:ligatures w14:val="none"/>
              </w:rPr>
            </w:pPr>
            <w:r w:rsidRPr="00CF2980">
              <w:rPr>
                <w:rFonts w:ascii="Arial" w:eastAsia="Times New Roman" w:hAnsi="Arial" w:cs="Arial"/>
                <w:kern w:val="0"/>
                <w:sz w:val="24"/>
                <w:szCs w:val="24"/>
                <w:lang w:eastAsia="lt-LT"/>
                <w14:ligatures w14:val="none"/>
              </w:rPr>
              <w:t>2025-</w:t>
            </w:r>
            <w:r w:rsidRPr="00B713FE">
              <w:rPr>
                <w:rFonts w:ascii="Arial" w:eastAsia="Times New Roman" w:hAnsi="Arial" w:cs="Arial"/>
                <w:kern w:val="0"/>
                <w:sz w:val="24"/>
                <w:szCs w:val="24"/>
                <w:lang w:eastAsia="lt-LT"/>
                <w14:ligatures w14:val="none"/>
              </w:rPr>
              <w:t>10-01</w:t>
            </w:r>
          </w:p>
        </w:tc>
      </w:tr>
      <w:tr w:rsidR="00CF2980" w:rsidRPr="00CF2980" w14:paraId="2450BFAE" w14:textId="77777777" w:rsidTr="00B713FE">
        <w:trPr>
          <w:gridAfter w:val="2"/>
          <w:wAfter w:w="352" w:type="dxa"/>
          <w:cantSplit/>
        </w:trPr>
        <w:tc>
          <w:tcPr>
            <w:tcW w:w="4063" w:type="dxa"/>
            <w:gridSpan w:val="2"/>
            <w:vMerge/>
            <w:vAlign w:val="center"/>
            <w:hideMark/>
          </w:tcPr>
          <w:p w14:paraId="272C9E0F" w14:textId="77777777" w:rsidR="00CF2980" w:rsidRPr="00CF2980" w:rsidRDefault="00CF2980" w:rsidP="00B713FE">
            <w:pPr>
              <w:spacing w:after="0" w:line="240" w:lineRule="auto"/>
              <w:rPr>
                <w:rFonts w:ascii="Arial" w:eastAsia="Times New Roman" w:hAnsi="Arial" w:cs="Arial"/>
                <w:kern w:val="0"/>
                <w:sz w:val="24"/>
                <w:szCs w:val="24"/>
                <w:lang w:eastAsia="lt-LT"/>
                <w14:ligatures w14:val="none"/>
              </w:rPr>
            </w:pPr>
          </w:p>
        </w:tc>
        <w:tc>
          <w:tcPr>
            <w:tcW w:w="1526" w:type="dxa"/>
          </w:tcPr>
          <w:p w14:paraId="75B87C4A" w14:textId="77777777" w:rsidR="00CF2980" w:rsidRPr="00CF2980" w:rsidRDefault="00CF2980" w:rsidP="00B713FE">
            <w:pPr>
              <w:spacing w:after="0" w:line="240" w:lineRule="auto"/>
              <w:jc w:val="right"/>
              <w:rPr>
                <w:rFonts w:ascii="Arial" w:eastAsia="Times New Roman" w:hAnsi="Arial" w:cs="Arial"/>
                <w:kern w:val="0"/>
                <w:sz w:val="24"/>
                <w:szCs w:val="24"/>
                <w:lang w:eastAsia="lt-LT"/>
                <w14:ligatures w14:val="none"/>
              </w:rPr>
            </w:pPr>
          </w:p>
        </w:tc>
        <w:tc>
          <w:tcPr>
            <w:tcW w:w="545" w:type="dxa"/>
          </w:tcPr>
          <w:p w14:paraId="418510BA" w14:textId="77777777" w:rsidR="00CF2980" w:rsidRPr="00CF2980" w:rsidRDefault="00CF2980" w:rsidP="00B713FE">
            <w:pPr>
              <w:spacing w:after="0" w:line="240" w:lineRule="auto"/>
              <w:rPr>
                <w:rFonts w:ascii="Arial" w:eastAsia="Times New Roman" w:hAnsi="Arial" w:cs="Arial"/>
                <w:kern w:val="0"/>
                <w:sz w:val="24"/>
                <w:szCs w:val="24"/>
                <w:lang w:eastAsia="lt-LT"/>
                <w14:ligatures w14:val="none"/>
              </w:rPr>
            </w:pPr>
          </w:p>
        </w:tc>
        <w:tc>
          <w:tcPr>
            <w:tcW w:w="3403" w:type="dxa"/>
          </w:tcPr>
          <w:p w14:paraId="28DF9480" w14:textId="77777777" w:rsidR="00CF2980" w:rsidRPr="00CF2980" w:rsidRDefault="00CF2980" w:rsidP="00B713FE">
            <w:pPr>
              <w:spacing w:after="0" w:line="240" w:lineRule="auto"/>
              <w:rPr>
                <w:rFonts w:ascii="Arial" w:eastAsia="Times New Roman" w:hAnsi="Arial" w:cs="Arial"/>
                <w:kern w:val="0"/>
                <w:sz w:val="24"/>
                <w:szCs w:val="24"/>
                <w:lang w:eastAsia="lt-LT"/>
                <w14:ligatures w14:val="none"/>
              </w:rPr>
            </w:pPr>
          </w:p>
        </w:tc>
      </w:tr>
      <w:tr w:rsidR="00CF2980" w:rsidRPr="00CF2980" w14:paraId="1A439262" w14:textId="77777777" w:rsidTr="00B713FE">
        <w:trPr>
          <w:gridBefore w:val="1"/>
          <w:gridAfter w:val="1"/>
          <w:wBefore w:w="106" w:type="dxa"/>
          <w:wAfter w:w="251" w:type="dxa"/>
          <w:cantSplit/>
        </w:trPr>
        <w:tc>
          <w:tcPr>
            <w:tcW w:w="9532" w:type="dxa"/>
            <w:gridSpan w:val="5"/>
          </w:tcPr>
          <w:p w14:paraId="00D8DA83" w14:textId="77777777" w:rsidR="00CF2980" w:rsidRPr="00CF2980" w:rsidRDefault="00CF2980" w:rsidP="00B713FE">
            <w:pPr>
              <w:spacing w:after="0" w:line="240" w:lineRule="auto"/>
              <w:jc w:val="both"/>
              <w:rPr>
                <w:rFonts w:ascii="Arial" w:eastAsia="Times New Roman" w:hAnsi="Arial" w:cs="Arial"/>
                <w:kern w:val="0"/>
                <w:sz w:val="24"/>
                <w:szCs w:val="24"/>
                <w:lang w:eastAsia="lt-LT"/>
                <w14:ligatures w14:val="none"/>
              </w:rPr>
            </w:pPr>
          </w:p>
        </w:tc>
      </w:tr>
      <w:tr w:rsidR="00CF2980" w:rsidRPr="00CF2980" w14:paraId="75C8A736" w14:textId="77777777" w:rsidTr="00B713FE">
        <w:trPr>
          <w:gridBefore w:val="1"/>
          <w:gridAfter w:val="1"/>
          <w:wBefore w:w="106" w:type="dxa"/>
          <w:wAfter w:w="251" w:type="dxa"/>
          <w:cantSplit/>
        </w:trPr>
        <w:tc>
          <w:tcPr>
            <w:tcW w:w="9532" w:type="dxa"/>
            <w:gridSpan w:val="5"/>
            <w:hideMark/>
          </w:tcPr>
          <w:p w14:paraId="2D537552" w14:textId="3641D0FB" w:rsidR="00CF2980" w:rsidRPr="00CF2980" w:rsidRDefault="00A70CA6" w:rsidP="00B713FE">
            <w:pPr>
              <w:keepNext/>
              <w:keepLines/>
              <w:spacing w:after="0" w:line="240" w:lineRule="auto"/>
              <w:jc w:val="both"/>
              <w:outlineLvl w:val="3"/>
              <w:rPr>
                <w:rFonts w:ascii="Arial" w:eastAsia="Times New Roman" w:hAnsi="Arial" w:cs="Arial"/>
                <w:b/>
                <w:iCs/>
                <w:caps/>
                <w:color w:val="2E74B5"/>
                <w:kern w:val="0"/>
                <w:sz w:val="24"/>
                <w:szCs w:val="24"/>
                <w:lang w:eastAsia="lt-LT"/>
                <w14:ligatures w14:val="none"/>
              </w:rPr>
            </w:pPr>
            <w:r w:rsidRPr="00A70CA6">
              <w:rPr>
                <w:rFonts w:ascii="Arial" w:eastAsia="Times New Roman" w:hAnsi="Arial" w:cs="Arial"/>
                <w:b/>
                <w:iCs/>
                <w:caps/>
                <w:color w:val="000000"/>
                <w:kern w:val="0"/>
                <w:sz w:val="24"/>
                <w:szCs w:val="24"/>
                <w:lang w:eastAsia="lt-LT"/>
                <w14:ligatures w14:val="none"/>
              </w:rPr>
              <w:t>Dėl pranešimo nagrinėjimo ir pasiūlymų pateikimo termino nukėlimo</w:t>
            </w:r>
          </w:p>
        </w:tc>
      </w:tr>
      <w:tr w:rsidR="00CF2980" w:rsidRPr="00CF2980" w14:paraId="4784F1A0" w14:textId="77777777" w:rsidTr="00B713FE">
        <w:trPr>
          <w:gridBefore w:val="1"/>
          <w:gridAfter w:val="1"/>
          <w:wBefore w:w="106" w:type="dxa"/>
          <w:wAfter w:w="251" w:type="dxa"/>
          <w:cantSplit/>
        </w:trPr>
        <w:tc>
          <w:tcPr>
            <w:tcW w:w="9532" w:type="dxa"/>
            <w:gridSpan w:val="5"/>
          </w:tcPr>
          <w:p w14:paraId="2DC3B1B3" w14:textId="77777777" w:rsidR="00CF2980" w:rsidRPr="00CF2980" w:rsidRDefault="00CF2980" w:rsidP="00B713FE">
            <w:pPr>
              <w:spacing w:after="0" w:line="240" w:lineRule="auto"/>
              <w:jc w:val="both"/>
              <w:rPr>
                <w:rFonts w:ascii="Arial" w:eastAsia="Times New Roman" w:hAnsi="Arial" w:cs="Arial"/>
                <w:kern w:val="0"/>
                <w:sz w:val="24"/>
                <w:szCs w:val="24"/>
                <w:lang w:eastAsia="lt-LT"/>
                <w14:ligatures w14:val="none"/>
              </w:rPr>
            </w:pPr>
          </w:p>
        </w:tc>
      </w:tr>
      <w:tr w:rsidR="00CF2980" w:rsidRPr="00CF2980" w14:paraId="0A162236" w14:textId="77777777" w:rsidTr="00B713FE">
        <w:trPr>
          <w:gridBefore w:val="1"/>
          <w:gridAfter w:val="1"/>
          <w:wBefore w:w="106" w:type="dxa"/>
          <w:wAfter w:w="251" w:type="dxa"/>
          <w:cantSplit/>
        </w:trPr>
        <w:tc>
          <w:tcPr>
            <w:tcW w:w="9532" w:type="dxa"/>
            <w:gridSpan w:val="5"/>
          </w:tcPr>
          <w:p w14:paraId="5236598C" w14:textId="77777777" w:rsidR="00CF2980" w:rsidRPr="00CF2980" w:rsidRDefault="00CF2980" w:rsidP="00B713FE">
            <w:pPr>
              <w:spacing w:after="0" w:line="240" w:lineRule="auto"/>
              <w:jc w:val="both"/>
              <w:rPr>
                <w:rFonts w:ascii="Arial" w:eastAsia="Times New Roman" w:hAnsi="Arial" w:cs="Arial"/>
                <w:kern w:val="0"/>
                <w:sz w:val="24"/>
                <w:szCs w:val="24"/>
                <w:lang w:eastAsia="lt-LT"/>
                <w14:ligatures w14:val="none"/>
              </w:rPr>
            </w:pPr>
          </w:p>
        </w:tc>
      </w:tr>
      <w:tr w:rsidR="00CF2980" w:rsidRPr="00CF2980" w14:paraId="2610145A" w14:textId="77777777" w:rsidTr="00B713FE">
        <w:trPr>
          <w:gridBefore w:val="1"/>
          <w:gridAfter w:val="1"/>
          <w:wBefore w:w="106" w:type="dxa"/>
          <w:wAfter w:w="251" w:type="dxa"/>
          <w:cantSplit/>
        </w:trPr>
        <w:tc>
          <w:tcPr>
            <w:tcW w:w="9532" w:type="dxa"/>
            <w:gridSpan w:val="5"/>
          </w:tcPr>
          <w:p w14:paraId="0E2B16A3" w14:textId="77777777" w:rsidR="00CF2980" w:rsidRPr="00CF2980" w:rsidRDefault="00CF2980" w:rsidP="00B713FE">
            <w:pPr>
              <w:spacing w:after="0" w:line="240" w:lineRule="auto"/>
              <w:jc w:val="both"/>
              <w:rPr>
                <w:rFonts w:ascii="Arial" w:eastAsia="Times New Roman" w:hAnsi="Arial" w:cs="Arial"/>
                <w:kern w:val="0"/>
                <w:sz w:val="24"/>
                <w:szCs w:val="24"/>
                <w:lang w:eastAsia="lt-LT"/>
                <w14:ligatures w14:val="none"/>
              </w:rPr>
            </w:pPr>
          </w:p>
        </w:tc>
      </w:tr>
    </w:tbl>
    <w:p w14:paraId="083F3DF0" w14:textId="100C08F7" w:rsidR="00CF2980" w:rsidRPr="00B713FE" w:rsidRDefault="00CF2980" w:rsidP="00B713FE">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r w:rsidRPr="00CF2980">
        <w:rPr>
          <w:rFonts w:ascii="Arial" w:eastAsia="Times New Roman" w:hAnsi="Arial" w:cs="Arial"/>
          <w:kern w:val="0"/>
          <w:sz w:val="24"/>
          <w:szCs w:val="24"/>
          <w:lang w:eastAsia="lt-LT"/>
          <w14:ligatures w14:val="none"/>
        </w:rPr>
        <w:t xml:space="preserve">Alytaus miesto savivaldybės administracijos Viešųjų pirkimų komisija </w:t>
      </w:r>
      <w:r w:rsidRPr="00CF2980">
        <w:rPr>
          <w:rFonts w:ascii="Arial" w:eastAsia="Times New Roman" w:hAnsi="Arial" w:cs="Arial"/>
          <w:color w:val="000000"/>
          <w:kern w:val="0"/>
          <w:sz w:val="24"/>
          <w:szCs w:val="24"/>
          <w:lang w:eastAsia="lt-LT"/>
          <w14:ligatures w14:val="none"/>
        </w:rPr>
        <w:t>(toliau – komisija)</w:t>
      </w:r>
      <w:r w:rsidRPr="00CF2980">
        <w:rPr>
          <w:rFonts w:ascii="Arial" w:eastAsia="Times New Roman" w:hAnsi="Arial" w:cs="Arial"/>
          <w:kern w:val="0"/>
          <w:sz w:val="24"/>
          <w:szCs w:val="24"/>
          <w:lang w:eastAsia="lt-LT"/>
          <w14:ligatures w14:val="none"/>
        </w:rPr>
        <w:t>, 2025-</w:t>
      </w:r>
      <w:r w:rsidRPr="00B713FE">
        <w:rPr>
          <w:rFonts w:ascii="Arial" w:eastAsia="Times New Roman" w:hAnsi="Arial" w:cs="Arial"/>
          <w:kern w:val="0"/>
          <w:sz w:val="24"/>
          <w:szCs w:val="24"/>
          <w:lang w:eastAsia="lt-LT"/>
          <w14:ligatures w14:val="none"/>
        </w:rPr>
        <w:t>10-01</w:t>
      </w:r>
      <w:r w:rsidRPr="00CF2980">
        <w:rPr>
          <w:rFonts w:ascii="Arial" w:eastAsia="Times New Roman" w:hAnsi="Arial" w:cs="Arial"/>
          <w:kern w:val="0"/>
          <w:sz w:val="24"/>
          <w:szCs w:val="24"/>
          <w:lang w:eastAsia="lt-LT"/>
          <w14:ligatures w14:val="none"/>
        </w:rPr>
        <w:t xml:space="preserve"> posėdyje, </w:t>
      </w:r>
      <w:r w:rsidRPr="00CF2980">
        <w:rPr>
          <w:rFonts w:ascii="Arial" w:eastAsia="Times New Roman" w:hAnsi="Arial" w:cs="Arial"/>
          <w:color w:val="000000"/>
          <w:kern w:val="0"/>
          <w:sz w:val="24"/>
          <w:szCs w:val="24"/>
          <w:lang w:eastAsia="lt-LT"/>
          <w14:ligatures w14:val="none"/>
        </w:rPr>
        <w:t>vadovaudamasi Viešųjų pirkimų įstatymo 36 str. 5 d.</w:t>
      </w:r>
      <w:r w:rsidRPr="00CF2980">
        <w:rPr>
          <w:rFonts w:ascii="Arial" w:eastAsia="Times New Roman" w:hAnsi="Arial" w:cs="Arial"/>
          <w:kern w:val="0"/>
          <w:sz w:val="24"/>
          <w:szCs w:val="24"/>
          <w:lang w:eastAsia="lt-LT"/>
          <w14:ligatures w14:val="none"/>
        </w:rPr>
        <w:t xml:space="preserve"> ir </w:t>
      </w:r>
      <w:r w:rsidRPr="00CF2980">
        <w:rPr>
          <w:rFonts w:ascii="Arial" w:eastAsia="Calibri" w:hAnsi="Arial" w:cs="Arial"/>
          <w:sz w:val="24"/>
          <w:szCs w:val="24"/>
          <w:shd w:val="clear" w:color="auto" w:fill="FFFFFF"/>
        </w:rPr>
        <w:t xml:space="preserve">tarptautinio viešojo pirkimo </w:t>
      </w:r>
      <w:r w:rsidRPr="00B713FE">
        <w:rPr>
          <w:rFonts w:ascii="Arial" w:eastAsia="Calibri" w:hAnsi="Arial" w:cs="Arial"/>
          <w:sz w:val="24"/>
          <w:szCs w:val="24"/>
          <w:shd w:val="clear" w:color="auto" w:fill="FFFFFF"/>
        </w:rPr>
        <w:t>„</w:t>
      </w:r>
      <w:r w:rsidRPr="00CF2980">
        <w:rPr>
          <w:rFonts w:ascii="Arial" w:eastAsia="Calibri" w:hAnsi="Arial" w:cs="Arial"/>
          <w:bCs/>
          <w:sz w:val="24"/>
          <w:szCs w:val="24"/>
          <w:shd w:val="clear" w:color="auto" w:fill="FFFFFF"/>
        </w:rPr>
        <w:t>Gamybos paskirties pastato Verslo g. 1 ir Verslo g. 3, Alytuje statybos darbai</w:t>
      </w:r>
      <w:r w:rsidRPr="00B713FE">
        <w:rPr>
          <w:rFonts w:ascii="Arial" w:eastAsia="Calibri" w:hAnsi="Arial" w:cs="Arial"/>
          <w:bCs/>
          <w:sz w:val="24"/>
          <w:szCs w:val="24"/>
          <w:shd w:val="clear" w:color="auto" w:fill="FFFFFF"/>
        </w:rPr>
        <w:t>“</w:t>
      </w:r>
      <w:r w:rsidRPr="00CF2980">
        <w:rPr>
          <w:rFonts w:ascii="Arial" w:eastAsia="Calibri" w:hAnsi="Arial" w:cs="Arial"/>
          <w:bCs/>
          <w:sz w:val="24"/>
          <w:szCs w:val="24"/>
          <w:shd w:val="clear" w:color="auto" w:fill="FFFFFF"/>
        </w:rPr>
        <w:t xml:space="preserve"> atviro</w:t>
      </w:r>
      <w:r w:rsidRPr="00CF2980">
        <w:rPr>
          <w:rFonts w:ascii="Arial" w:eastAsia="Calibri" w:hAnsi="Arial" w:cs="Arial"/>
          <w:sz w:val="24"/>
          <w:szCs w:val="24"/>
          <w:shd w:val="clear" w:color="auto" w:fill="FFFFFF"/>
        </w:rPr>
        <w:t xml:space="preserve"> konkurso bendrųjų sąlygų (</w:t>
      </w:r>
      <w:r w:rsidRPr="00B713FE">
        <w:rPr>
          <w:rFonts w:ascii="Arial" w:eastAsia="Calibri" w:hAnsi="Arial" w:cs="Arial"/>
          <w:sz w:val="24"/>
          <w:szCs w:val="24"/>
          <w:shd w:val="clear" w:color="auto" w:fill="FFFFFF"/>
        </w:rPr>
        <w:t>toliau – bendrosios pirkimo sąlygos)</w:t>
      </w:r>
      <w:r w:rsidRPr="00CF2980">
        <w:rPr>
          <w:rFonts w:ascii="Arial" w:eastAsia="Times New Roman" w:hAnsi="Arial" w:cs="Arial"/>
          <w:color w:val="000000"/>
          <w:kern w:val="0"/>
          <w:sz w:val="24"/>
          <w:szCs w:val="24"/>
          <w:lang w:val="en-US" w:eastAsia="lt-LT"/>
          <w14:ligatures w14:val="none"/>
        </w:rPr>
        <w:t xml:space="preserve"> </w:t>
      </w:r>
      <w:r w:rsidRPr="00CF2980">
        <w:rPr>
          <w:rFonts w:ascii="Arial" w:eastAsia="Calibri" w:hAnsi="Arial" w:cs="Arial"/>
          <w:sz w:val="24"/>
          <w:szCs w:val="24"/>
          <w:shd w:val="clear" w:color="auto" w:fill="FFFFFF"/>
          <w:lang w:val="en-GB"/>
        </w:rPr>
        <w:t xml:space="preserve">5.2 p., </w:t>
      </w:r>
      <w:r w:rsidRPr="00B713FE">
        <w:rPr>
          <w:rFonts w:ascii="Arial" w:eastAsia="Times New Roman" w:hAnsi="Arial" w:cs="Arial"/>
          <w:color w:val="000000"/>
          <w:kern w:val="0"/>
          <w:sz w:val="24"/>
          <w:szCs w:val="24"/>
          <w:lang w:eastAsia="lt-LT"/>
          <w14:ligatures w14:val="none"/>
        </w:rPr>
        <w:t>nagrinėjo</w:t>
      </w:r>
      <w:r w:rsidRPr="00CF2980">
        <w:rPr>
          <w:rFonts w:ascii="Arial" w:eastAsia="Times New Roman" w:hAnsi="Arial" w:cs="Arial"/>
          <w:color w:val="000000"/>
          <w:kern w:val="0"/>
          <w:sz w:val="24"/>
          <w:szCs w:val="24"/>
          <w:lang w:eastAsia="lt-LT"/>
          <w14:ligatures w14:val="none"/>
        </w:rPr>
        <w:t xml:space="preserve"> centrinės viešųjų pirkimų informacinės sistemos</w:t>
      </w:r>
      <w:r w:rsidRPr="00B713FE">
        <w:rPr>
          <w:rFonts w:ascii="Arial" w:eastAsia="Times New Roman" w:hAnsi="Arial" w:cs="Arial"/>
          <w:color w:val="000000"/>
          <w:kern w:val="0"/>
          <w:sz w:val="24"/>
          <w:szCs w:val="24"/>
          <w:lang w:eastAsia="lt-LT"/>
          <w14:ligatures w14:val="none"/>
        </w:rPr>
        <w:t xml:space="preserve"> (toliau – CVP IS)</w:t>
      </w:r>
      <w:r w:rsidRPr="00CF2980">
        <w:rPr>
          <w:rFonts w:ascii="Arial" w:eastAsia="Times New Roman" w:hAnsi="Arial" w:cs="Arial"/>
          <w:color w:val="000000"/>
          <w:kern w:val="0"/>
          <w:sz w:val="24"/>
          <w:szCs w:val="24"/>
          <w:lang w:eastAsia="lt-LT"/>
          <w14:ligatures w14:val="none"/>
        </w:rPr>
        <w:t xml:space="preserve"> priemonėmis gautus tiekėjų pranešimus ir teikia atsakymus į dalį pateiktų klausimų. Į klausimus, kurie dar neatsakyti, </w:t>
      </w:r>
      <w:r w:rsidR="00A70CA6">
        <w:rPr>
          <w:rFonts w:ascii="Arial" w:eastAsia="Times New Roman" w:hAnsi="Arial" w:cs="Arial"/>
          <w:color w:val="000000"/>
          <w:kern w:val="0"/>
          <w:sz w:val="24"/>
          <w:szCs w:val="24"/>
          <w:lang w:eastAsia="lt-LT"/>
          <w14:ligatures w14:val="none"/>
        </w:rPr>
        <w:t>perkančioji organizacija</w:t>
      </w:r>
      <w:r w:rsidRPr="00CF2980">
        <w:rPr>
          <w:rFonts w:ascii="Arial" w:eastAsia="Times New Roman" w:hAnsi="Arial" w:cs="Arial"/>
          <w:color w:val="000000"/>
          <w:kern w:val="0"/>
          <w:sz w:val="24"/>
          <w:szCs w:val="24"/>
          <w:lang w:eastAsia="lt-LT"/>
          <w14:ligatures w14:val="none"/>
        </w:rPr>
        <w:t xml:space="preserve"> atsakys artimiausiu metu konkurso sąlygose nustatyta tvarka ir terminais.</w:t>
      </w:r>
    </w:p>
    <w:p w14:paraId="3914CD93" w14:textId="77777777" w:rsidR="00B713FE" w:rsidRPr="00B713FE" w:rsidRDefault="00B713FE" w:rsidP="00B713FE">
      <w:pPr>
        <w:tabs>
          <w:tab w:val="left" w:pos="426"/>
        </w:tabs>
        <w:spacing w:after="0" w:line="240" w:lineRule="auto"/>
        <w:ind w:firstLine="851"/>
        <w:jc w:val="both"/>
        <w:rPr>
          <w:rFonts w:ascii="Arial" w:eastAsia="Times New Roman" w:hAnsi="Arial" w:cs="Arial"/>
          <w:b/>
          <w:bCs/>
          <w:color w:val="000000"/>
          <w:kern w:val="0"/>
          <w:sz w:val="24"/>
          <w:szCs w:val="24"/>
          <w:lang w:eastAsia="lt-LT"/>
          <w14:ligatures w14:val="none"/>
        </w:rPr>
      </w:pPr>
    </w:p>
    <w:p w14:paraId="75C38719" w14:textId="281141C4" w:rsidR="00CF2980" w:rsidRPr="00B713FE" w:rsidRDefault="00CF2980" w:rsidP="00B713FE">
      <w:pPr>
        <w:tabs>
          <w:tab w:val="left" w:pos="426"/>
        </w:tabs>
        <w:spacing w:after="0" w:line="240" w:lineRule="auto"/>
        <w:ind w:firstLine="851"/>
        <w:jc w:val="both"/>
        <w:rPr>
          <w:rFonts w:ascii="Arial" w:eastAsia="Times New Roman" w:hAnsi="Arial" w:cs="Arial"/>
          <w:b/>
          <w:bCs/>
          <w:color w:val="000000"/>
          <w:kern w:val="0"/>
          <w:sz w:val="24"/>
          <w:szCs w:val="24"/>
          <w:lang w:eastAsia="lt-LT"/>
          <w14:ligatures w14:val="none"/>
        </w:rPr>
      </w:pPr>
      <w:r w:rsidRPr="00B713FE">
        <w:rPr>
          <w:rFonts w:ascii="Arial" w:eastAsia="Times New Roman" w:hAnsi="Arial" w:cs="Arial"/>
          <w:b/>
          <w:bCs/>
          <w:color w:val="000000"/>
          <w:kern w:val="0"/>
          <w:sz w:val="24"/>
          <w:szCs w:val="24"/>
          <w:lang w:eastAsia="lt-LT"/>
          <w14:ligatures w14:val="none"/>
        </w:rPr>
        <w:t>Klausimas</w:t>
      </w:r>
    </w:p>
    <w:p w14:paraId="33E149D4" w14:textId="32D4DCC2" w:rsidR="00CF2980" w:rsidRPr="00B713FE" w:rsidRDefault="00CF2980" w:rsidP="00B713FE">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r w:rsidRPr="00B713FE">
        <w:rPr>
          <w:rFonts w:ascii="Arial" w:eastAsia="Times New Roman" w:hAnsi="Arial" w:cs="Arial"/>
          <w:color w:val="000000"/>
          <w:kern w:val="0"/>
          <w:sz w:val="24"/>
          <w:szCs w:val="24"/>
          <w:lang w:eastAsia="lt-LT"/>
          <w14:ligatures w14:val="none"/>
        </w:rPr>
        <w:t>„</w:t>
      </w:r>
      <w:r w:rsidRPr="00B713FE">
        <w:rPr>
          <w:rFonts w:ascii="Arial" w:eastAsia="Times New Roman" w:hAnsi="Arial" w:cs="Arial"/>
          <w:color w:val="000000"/>
          <w:kern w:val="0"/>
          <w:sz w:val="24"/>
          <w:szCs w:val="24"/>
          <w:lang w:eastAsia="lt-LT"/>
          <w14:ligatures w14:val="none"/>
        </w:rPr>
        <w:t>Ar reikia Rangovui vertinti Kadastrinės bylos parengimo, Registrų centro įregistravimo kaštus ir kitas paslaugas? Ar tuo rūpinsis pats užsakovas?</w:t>
      </w:r>
      <w:r w:rsidRPr="00B713FE">
        <w:rPr>
          <w:rFonts w:ascii="Arial" w:eastAsia="Times New Roman" w:hAnsi="Arial" w:cs="Arial"/>
          <w:color w:val="000000"/>
          <w:kern w:val="0"/>
          <w:sz w:val="24"/>
          <w:szCs w:val="24"/>
          <w:lang w:eastAsia="lt-LT"/>
          <w14:ligatures w14:val="none"/>
        </w:rPr>
        <w:t>“</w:t>
      </w:r>
    </w:p>
    <w:p w14:paraId="66F0E133" w14:textId="6909E39F" w:rsidR="00CF2980" w:rsidRPr="00B713FE" w:rsidRDefault="00CF2980" w:rsidP="00B713FE">
      <w:pPr>
        <w:tabs>
          <w:tab w:val="left" w:pos="426"/>
        </w:tabs>
        <w:spacing w:after="0" w:line="240" w:lineRule="auto"/>
        <w:ind w:firstLine="851"/>
        <w:jc w:val="both"/>
        <w:rPr>
          <w:rFonts w:ascii="Arial" w:eastAsia="Times New Roman" w:hAnsi="Arial" w:cs="Arial"/>
          <w:b/>
          <w:bCs/>
          <w:color w:val="000000"/>
          <w:kern w:val="0"/>
          <w:sz w:val="24"/>
          <w:szCs w:val="24"/>
          <w:lang w:eastAsia="lt-LT"/>
          <w14:ligatures w14:val="none"/>
        </w:rPr>
      </w:pPr>
      <w:r w:rsidRPr="00B713FE">
        <w:rPr>
          <w:rFonts w:ascii="Arial" w:eastAsia="Times New Roman" w:hAnsi="Arial" w:cs="Arial"/>
          <w:b/>
          <w:bCs/>
          <w:color w:val="000000"/>
          <w:kern w:val="0"/>
          <w:sz w:val="24"/>
          <w:szCs w:val="24"/>
          <w:lang w:eastAsia="lt-LT"/>
          <w14:ligatures w14:val="none"/>
        </w:rPr>
        <w:t>Atsakymas</w:t>
      </w:r>
    </w:p>
    <w:p w14:paraId="615254DB" w14:textId="1FC41710" w:rsidR="00CF2980" w:rsidRPr="00B713FE" w:rsidRDefault="00CF2980" w:rsidP="00B713FE">
      <w:pPr>
        <w:spacing w:after="0" w:line="240" w:lineRule="auto"/>
        <w:ind w:firstLine="851"/>
        <w:jc w:val="both"/>
        <w:rPr>
          <w:rFonts w:ascii="Arial" w:eastAsia="Times New Roman" w:hAnsi="Arial" w:cs="Arial"/>
          <w:color w:val="000000"/>
          <w:kern w:val="0"/>
          <w:sz w:val="24"/>
          <w:szCs w:val="24"/>
          <w:lang w:eastAsia="lt-LT"/>
          <w14:ligatures w14:val="none"/>
        </w:rPr>
      </w:pPr>
      <w:r w:rsidRPr="00B713FE">
        <w:rPr>
          <w:rFonts w:ascii="Arial" w:eastAsia="Times New Roman" w:hAnsi="Arial" w:cs="Arial"/>
          <w:color w:val="000000"/>
          <w:kern w:val="0"/>
          <w:sz w:val="24"/>
          <w:szCs w:val="24"/>
          <w:lang w:eastAsia="lt-LT"/>
          <w14:ligatures w14:val="none"/>
        </w:rPr>
        <w:t>Taip rangovas privalo įsivertinti kadastrinės bylos parengimo, Registrų centro įregistravimo kaštus ir kitas paslaugas susijusias su statybos užbaigimo procedūromis. Specialiųjų pirkimo sąlygų 6 priedas „Sutarties projektas“ 8.1.2. punkte yra aiškiai ir nedviprasmiškai nurodyta, kad „Rangovui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944B15" w14:textId="77777777" w:rsidR="00B713FE" w:rsidRPr="00B713FE" w:rsidRDefault="00B713FE" w:rsidP="00B713FE">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p>
    <w:p w14:paraId="370049DB" w14:textId="70F0E529" w:rsidR="00CF2980" w:rsidRPr="00CF2980" w:rsidRDefault="00CF2980" w:rsidP="00B713FE">
      <w:pPr>
        <w:tabs>
          <w:tab w:val="left" w:pos="426"/>
        </w:tabs>
        <w:spacing w:after="0" w:line="240" w:lineRule="auto"/>
        <w:ind w:firstLine="851"/>
        <w:jc w:val="both"/>
        <w:rPr>
          <w:rFonts w:ascii="Arial" w:eastAsia="Times New Roman" w:hAnsi="Arial" w:cs="Arial"/>
          <w:color w:val="000000"/>
          <w:kern w:val="0"/>
          <w:sz w:val="24"/>
          <w:szCs w:val="24"/>
          <w:lang w:eastAsia="lt-LT"/>
          <w14:ligatures w14:val="none"/>
        </w:rPr>
      </w:pPr>
      <w:r w:rsidRPr="00CF2980">
        <w:rPr>
          <w:rFonts w:ascii="Arial" w:eastAsia="Times New Roman" w:hAnsi="Arial" w:cs="Arial"/>
          <w:color w:val="000000"/>
          <w:kern w:val="0"/>
          <w:sz w:val="24"/>
          <w:szCs w:val="24"/>
          <w:lang w:eastAsia="lt-LT"/>
          <w14:ligatures w14:val="none"/>
        </w:rPr>
        <w:t>Komisija, vadovaudamasi VPĮ 36 str. 5 ir 6 d. ir bendrųjų pirkimo sąlygų 5.3 punktu, nutarė pratęsti pasiūlymų pateikimo terminą iki centrinėje viešųjų pirkimų informacinėje sistemoje nurodyto termino.</w:t>
      </w:r>
    </w:p>
    <w:p w14:paraId="211E2217" w14:textId="77777777" w:rsidR="00CF2980" w:rsidRPr="00B713FE" w:rsidRDefault="00CF2980" w:rsidP="00B713FE">
      <w:pPr>
        <w:spacing w:after="0" w:line="240" w:lineRule="auto"/>
        <w:rPr>
          <w:rFonts w:ascii="Arial" w:eastAsia="Calibri" w:hAnsi="Arial" w:cs="Arial"/>
          <w:sz w:val="24"/>
          <w:szCs w:val="24"/>
        </w:rPr>
      </w:pPr>
    </w:p>
    <w:p w14:paraId="35BEB9F6" w14:textId="77777777" w:rsidR="00B713FE" w:rsidRPr="00CF2980" w:rsidRDefault="00B713FE" w:rsidP="00B713FE">
      <w:pPr>
        <w:spacing w:after="0" w:line="240" w:lineRule="auto"/>
        <w:rPr>
          <w:rFonts w:ascii="Arial" w:eastAsia="Calibri" w:hAnsi="Arial" w:cs="Arial"/>
          <w:sz w:val="24"/>
          <w:szCs w:val="24"/>
        </w:rPr>
      </w:pPr>
    </w:p>
    <w:p w14:paraId="6CCEED3E" w14:textId="1AFBE336" w:rsidR="004B06C3" w:rsidRPr="00B713FE" w:rsidRDefault="00CF2980" w:rsidP="00B713FE">
      <w:pPr>
        <w:spacing w:after="0" w:line="240" w:lineRule="auto"/>
        <w:rPr>
          <w:rFonts w:ascii="Arial" w:hAnsi="Arial" w:cs="Arial"/>
        </w:rPr>
      </w:pPr>
      <w:r w:rsidRPr="00CF2980">
        <w:rPr>
          <w:rFonts w:ascii="Arial" w:eastAsia="Calibri" w:hAnsi="Arial" w:cs="Arial"/>
          <w:sz w:val="24"/>
          <w:szCs w:val="24"/>
        </w:rPr>
        <w:t>Viešųjų pirkimų skyriaus vedėj</w:t>
      </w:r>
      <w:r w:rsidRPr="00B713FE">
        <w:rPr>
          <w:rFonts w:ascii="Arial" w:eastAsia="Calibri" w:hAnsi="Arial" w:cs="Arial"/>
          <w:sz w:val="24"/>
          <w:szCs w:val="24"/>
        </w:rPr>
        <w:t>a</w:t>
      </w:r>
      <w:r w:rsidRPr="00B713FE">
        <w:rPr>
          <w:rFonts w:ascii="Arial" w:eastAsia="Calibri" w:hAnsi="Arial" w:cs="Arial"/>
          <w:sz w:val="24"/>
          <w:szCs w:val="24"/>
        </w:rPr>
        <w:tab/>
      </w:r>
      <w:r w:rsidRPr="00B713FE">
        <w:rPr>
          <w:rFonts w:ascii="Arial" w:eastAsia="Calibri" w:hAnsi="Arial" w:cs="Arial"/>
          <w:sz w:val="24"/>
          <w:szCs w:val="24"/>
        </w:rPr>
        <w:tab/>
      </w:r>
      <w:r w:rsidRPr="00B713FE">
        <w:rPr>
          <w:rFonts w:ascii="Arial" w:eastAsia="Calibri" w:hAnsi="Arial" w:cs="Arial"/>
          <w:sz w:val="24"/>
          <w:szCs w:val="24"/>
        </w:rPr>
        <w:tab/>
        <w:t>Jurgita Kazilionienė</w:t>
      </w:r>
    </w:p>
    <w:sectPr w:rsidR="004B06C3" w:rsidRPr="00B713FE" w:rsidSect="00CF2980">
      <w:foot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5F9D" w14:textId="77777777" w:rsidR="00802A0A" w:rsidRDefault="00802A0A" w:rsidP="00B713FE">
      <w:pPr>
        <w:spacing w:after="0" w:line="240" w:lineRule="auto"/>
      </w:pPr>
      <w:r>
        <w:separator/>
      </w:r>
    </w:p>
  </w:endnote>
  <w:endnote w:type="continuationSeparator" w:id="0">
    <w:p w14:paraId="1792872B" w14:textId="77777777" w:rsidR="00802A0A" w:rsidRDefault="00802A0A" w:rsidP="00B7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AE98" w14:textId="41954735" w:rsidR="00CF2980" w:rsidRPr="00C455F4" w:rsidRDefault="00CF2980">
    <w:pPr>
      <w:pStyle w:val="Porat"/>
      <w:rPr>
        <w:sz w:val="16"/>
        <w:szCs w:val="16"/>
      </w:rPr>
    </w:pPr>
    <w:r>
      <w:rPr>
        <w:noProof/>
        <w:sz w:val="16"/>
        <w:szCs w:val="16"/>
      </w:rPr>
      <w:drawing>
        <wp:anchor distT="0" distB="0" distL="114300" distR="114300" simplePos="0" relativeHeight="251659264" behindDoc="0" locked="0" layoutInCell="1" allowOverlap="1" wp14:anchorId="41A78881" wp14:editId="532C846B">
          <wp:simplePos x="0" y="0"/>
          <wp:positionH relativeFrom="column">
            <wp:posOffset>0</wp:posOffset>
          </wp:positionH>
          <wp:positionV relativeFrom="paragraph">
            <wp:posOffset>-262890</wp:posOffset>
          </wp:positionV>
          <wp:extent cx="359410" cy="359410"/>
          <wp:effectExtent l="0" t="0" r="2540" b="2540"/>
          <wp:wrapNone/>
          <wp:docPr id="1012495807" name="Paveikslėlis 101249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Pr>
        <w:sz w:val="16"/>
        <w:szCs w:val="16"/>
      </w:rPr>
      <w:t xml:space="preserve">                 </w:t>
    </w:r>
    <w:r w:rsidRPr="0002585B">
      <w:rPr>
        <w:sz w:val="16"/>
        <w:szCs w:val="16"/>
      </w:rPr>
      <w:t>e-paslaugos</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8840" w14:textId="77777777" w:rsidR="00802A0A" w:rsidRDefault="00802A0A" w:rsidP="00B713FE">
      <w:pPr>
        <w:spacing w:after="0" w:line="240" w:lineRule="auto"/>
      </w:pPr>
      <w:r>
        <w:separator/>
      </w:r>
    </w:p>
  </w:footnote>
  <w:footnote w:type="continuationSeparator" w:id="0">
    <w:p w14:paraId="11F49DE4" w14:textId="77777777" w:rsidR="00802A0A" w:rsidRDefault="00802A0A" w:rsidP="00B71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80"/>
    <w:rsid w:val="00274F8A"/>
    <w:rsid w:val="004B06C3"/>
    <w:rsid w:val="004C066B"/>
    <w:rsid w:val="007860C4"/>
    <w:rsid w:val="00802A0A"/>
    <w:rsid w:val="0092174A"/>
    <w:rsid w:val="00A70CA6"/>
    <w:rsid w:val="00B713FE"/>
    <w:rsid w:val="00B93366"/>
    <w:rsid w:val="00CF2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2F27"/>
  <w15:chartTrackingRefBased/>
  <w15:docId w15:val="{52237084-3E4F-4D5E-915E-C0086A8B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2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F2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F298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F298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F298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F29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29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29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29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29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F29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F29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F29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F29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F29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29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29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29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2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29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29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29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29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2980"/>
    <w:rPr>
      <w:i/>
      <w:iCs/>
      <w:color w:val="404040" w:themeColor="text1" w:themeTint="BF"/>
    </w:rPr>
  </w:style>
  <w:style w:type="paragraph" w:styleId="Sraopastraipa">
    <w:name w:val="List Paragraph"/>
    <w:basedOn w:val="prastasis"/>
    <w:uiPriority w:val="34"/>
    <w:qFormat/>
    <w:rsid w:val="00CF2980"/>
    <w:pPr>
      <w:ind w:left="720"/>
      <w:contextualSpacing/>
    </w:pPr>
  </w:style>
  <w:style w:type="character" w:styleId="Rykuspabraukimas">
    <w:name w:val="Intense Emphasis"/>
    <w:basedOn w:val="Numatytasispastraiposriftas"/>
    <w:uiPriority w:val="21"/>
    <w:qFormat/>
    <w:rsid w:val="00CF2980"/>
    <w:rPr>
      <w:i/>
      <w:iCs/>
      <w:color w:val="2F5496" w:themeColor="accent1" w:themeShade="BF"/>
    </w:rPr>
  </w:style>
  <w:style w:type="paragraph" w:styleId="Iskirtacitata">
    <w:name w:val="Intense Quote"/>
    <w:basedOn w:val="prastasis"/>
    <w:next w:val="prastasis"/>
    <w:link w:val="IskirtacitataDiagrama"/>
    <w:uiPriority w:val="30"/>
    <w:qFormat/>
    <w:rsid w:val="00CF2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F2980"/>
    <w:rPr>
      <w:i/>
      <w:iCs/>
      <w:color w:val="2F5496" w:themeColor="accent1" w:themeShade="BF"/>
    </w:rPr>
  </w:style>
  <w:style w:type="character" w:styleId="Rykinuoroda">
    <w:name w:val="Intense Reference"/>
    <w:basedOn w:val="Numatytasispastraiposriftas"/>
    <w:uiPriority w:val="32"/>
    <w:qFormat/>
    <w:rsid w:val="00CF2980"/>
    <w:rPr>
      <w:b/>
      <w:bCs/>
      <w:smallCaps/>
      <w:color w:val="2F5496" w:themeColor="accent1" w:themeShade="BF"/>
      <w:spacing w:val="5"/>
    </w:rPr>
  </w:style>
  <w:style w:type="paragraph" w:styleId="Porat">
    <w:name w:val="footer"/>
    <w:basedOn w:val="prastasis"/>
    <w:link w:val="PoratDiagrama"/>
    <w:uiPriority w:val="99"/>
    <w:unhideWhenUsed/>
    <w:rsid w:val="00CF298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F2980"/>
  </w:style>
  <w:style w:type="paragraph" w:styleId="Antrats">
    <w:name w:val="header"/>
    <w:basedOn w:val="prastasis"/>
    <w:link w:val="AntratsDiagrama"/>
    <w:uiPriority w:val="99"/>
    <w:unhideWhenUsed/>
    <w:rsid w:val="00B713F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7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esieji_pirkimai@alytu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1621</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Jurgita Kazilionienė</cp:lastModifiedBy>
  <cp:revision>3</cp:revision>
  <dcterms:created xsi:type="dcterms:W3CDTF">2025-10-01T12:51:00Z</dcterms:created>
  <dcterms:modified xsi:type="dcterms:W3CDTF">2025-10-01T13:25:00Z</dcterms:modified>
</cp:coreProperties>
</file>