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3A325DEC" w14:textId="77777777" w:rsidR="00D52FED" w:rsidRPr="003B5E69" w:rsidRDefault="00D52FED" w:rsidP="00D52FED">
      <w:pPr>
        <w:ind w:firstLine="4820"/>
        <w:rPr>
          <w:rFonts w:eastAsia="Calibri"/>
          <w:i/>
          <w:color w:val="000000"/>
          <w:lang w:eastAsia="en-US"/>
        </w:rPr>
      </w:pPr>
      <w:bookmarkStart w:id="0" w:name="_GoBack"/>
      <w:bookmarkEnd w:id="0"/>
      <w:r w:rsidRPr="003B5E69">
        <w:rPr>
          <w:rFonts w:eastAsia="Calibri"/>
          <w:i/>
          <w:color w:val="000000"/>
          <w:lang w:eastAsia="en-US"/>
        </w:rPr>
        <w:t>P</w:t>
      </w:r>
      <w:bookmarkStart w:id="1" w:name="_Ref60441210"/>
      <w:bookmarkEnd w:id="1"/>
      <w:r w:rsidRPr="003B5E69">
        <w:rPr>
          <w:rFonts w:eastAsia="Calibri"/>
          <w:i/>
          <w:color w:val="000000"/>
          <w:lang w:eastAsia="en-US"/>
        </w:rPr>
        <w:t>ATVIRTINTA</w:t>
      </w:r>
    </w:p>
    <w:p w14:paraId="3949F5A3" w14:textId="77777777" w:rsidR="00D52FED" w:rsidRPr="00235234" w:rsidRDefault="00D52FED" w:rsidP="00D52FED">
      <w:pPr>
        <w:tabs>
          <w:tab w:val="right" w:leader="underscore" w:pos="8640"/>
        </w:tabs>
        <w:ind w:firstLine="4820"/>
        <w:jc w:val="both"/>
        <w:rPr>
          <w:rFonts w:eastAsia="Calibri"/>
          <w:i/>
          <w:color w:val="000000"/>
          <w:lang w:eastAsia="en-US"/>
        </w:rPr>
      </w:pPr>
      <w:r w:rsidRPr="00235234">
        <w:rPr>
          <w:rFonts w:eastAsia="Calibri"/>
          <w:i/>
          <w:color w:val="000000"/>
          <w:lang w:eastAsia="en-US"/>
        </w:rPr>
        <w:t>Viešojo pirkimo komisijos sprendimu</w:t>
      </w:r>
    </w:p>
    <w:p w14:paraId="656142F5" w14:textId="2C35156C" w:rsidR="00D52FED" w:rsidRPr="003B5E69" w:rsidRDefault="00D52FED" w:rsidP="00D52FED">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F9B1819236A24407972CE9F5359670A4"/>
          </w:placeholder>
          <w:date w:fullDate="2025-10-02T00:00:00Z">
            <w:dateFormat w:val="yyyy-MM-dd"/>
            <w:lid w:val="lt-LT"/>
            <w:storeMappedDataAs w:val="dateTime"/>
            <w:calendar w:val="gregorian"/>
          </w:date>
        </w:sdtPr>
        <w:sdtContent>
          <w:r>
            <w:rPr>
              <w:rFonts w:eastAsia="Calibri"/>
              <w:i/>
              <w:color w:val="000000"/>
              <w:lang w:eastAsia="en-US"/>
            </w:rPr>
            <w:t>2025-10-02</w:t>
          </w:r>
        </w:sdtContent>
      </w:sdt>
      <w:r w:rsidRPr="00C06F7F">
        <w:rPr>
          <w:rFonts w:eastAsia="Calibri"/>
          <w:i/>
          <w:color w:val="000000"/>
          <w:lang w:eastAsia="en-US"/>
        </w:rPr>
        <w:t xml:space="preserve"> protokolas Nr. VPP-</w:t>
      </w:r>
      <w:r w:rsidR="000D6765">
        <w:rPr>
          <w:rFonts w:eastAsia="Calibri"/>
          <w:i/>
          <w:color w:val="000000"/>
          <w:lang w:eastAsia="en-US"/>
        </w:rPr>
        <w:t>64</w:t>
      </w:r>
    </w:p>
    <w:p w14:paraId="2C7D5A57" w14:textId="77777777" w:rsidR="00B01729" w:rsidRPr="003B5E69" w:rsidRDefault="00B01729"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2" w:name="_Hlk80731203"/>
    </w:p>
    <w:bookmarkEnd w:id="2"/>
    <w:p w14:paraId="067D8431" w14:textId="6B3C407B" w:rsidR="00D95880" w:rsidRDefault="00D95880" w:rsidP="00477FA8">
      <w:pPr>
        <w:jc w:val="center"/>
        <w:rPr>
          <w:b/>
          <w:bCs/>
        </w:rPr>
      </w:pPr>
      <w:r w:rsidRPr="00D95880">
        <w:rPr>
          <w:b/>
          <w:bCs/>
        </w:rPr>
        <w:t>LAIVO PAGAL</w:t>
      </w:r>
      <w:r w:rsidR="00391990">
        <w:rPr>
          <w:b/>
          <w:bCs/>
        </w:rPr>
        <w:t>BINIO VARIKLIO DETROIT DIESEL 6-</w:t>
      </w:r>
      <w:r w:rsidRPr="00D95880">
        <w:rPr>
          <w:b/>
          <w:bCs/>
        </w:rPr>
        <w:t xml:space="preserve">71T </w:t>
      </w:r>
    </w:p>
    <w:p w14:paraId="1A79B3C2" w14:textId="033AEC07" w:rsidR="00D95880" w:rsidRDefault="00D95880" w:rsidP="00477FA8">
      <w:pPr>
        <w:jc w:val="center"/>
        <w:rPr>
          <w:b/>
          <w:bCs/>
        </w:rPr>
      </w:pPr>
      <w:r w:rsidRPr="00D95880">
        <w:rPr>
          <w:b/>
          <w:bCs/>
        </w:rPr>
        <w:t>REMONTINIO KOMPLEKTO</w:t>
      </w:r>
    </w:p>
    <w:p w14:paraId="6CDFB791" w14:textId="5D206803" w:rsidR="000F2D5F" w:rsidRPr="003B5E69" w:rsidRDefault="000F2D5F" w:rsidP="00477FA8">
      <w:pPr>
        <w:jc w:val="center"/>
        <w:rPr>
          <w:b/>
          <w:bCs/>
        </w:rPr>
      </w:pPr>
      <w:r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3B41C20B"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755B0F" w:rsidRPr="003B5E69">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0409E7"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09EEFD45"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C053EB" w:rsidRPr="003B5E69">
        <w:t>a CVP IS susirašinėjimo priemones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273707FC" w:rsidR="003B5E69" w:rsidRDefault="00D854C7" w:rsidP="00900161">
      <w:pPr>
        <w:numPr>
          <w:ilvl w:val="0"/>
          <w:numId w:val="14"/>
        </w:numPr>
        <w:tabs>
          <w:tab w:val="clear" w:pos="1816"/>
          <w:tab w:val="num" w:pos="567"/>
          <w:tab w:val="num" w:pos="1134"/>
        </w:tabs>
        <w:autoSpaceDE w:val="0"/>
        <w:autoSpaceDN w:val="0"/>
        <w:adjustRightInd w:val="0"/>
        <w:jc w:val="both"/>
        <w:rPr>
          <w:i/>
        </w:rPr>
      </w:pPr>
      <w:r>
        <w:rPr>
          <w:b/>
        </w:rPr>
        <w:t xml:space="preserve">Pirkimo objektas – </w:t>
      </w:r>
      <w:r w:rsidR="00D95880">
        <w:rPr>
          <w:b/>
        </w:rPr>
        <w:t>Laivo pagal</w:t>
      </w:r>
      <w:r w:rsidR="00391990">
        <w:rPr>
          <w:b/>
        </w:rPr>
        <w:t xml:space="preserve">binio variklio </w:t>
      </w:r>
      <w:proofErr w:type="spellStart"/>
      <w:r w:rsidR="00391990">
        <w:rPr>
          <w:b/>
        </w:rPr>
        <w:t>Detroit</w:t>
      </w:r>
      <w:proofErr w:type="spellEnd"/>
      <w:r w:rsidR="00391990">
        <w:rPr>
          <w:b/>
        </w:rPr>
        <w:t xml:space="preserve"> </w:t>
      </w:r>
      <w:proofErr w:type="spellStart"/>
      <w:r w:rsidR="00391990">
        <w:rPr>
          <w:b/>
        </w:rPr>
        <w:t>Diesel</w:t>
      </w:r>
      <w:proofErr w:type="spellEnd"/>
      <w:r w:rsidR="00391990">
        <w:rPr>
          <w:b/>
        </w:rPr>
        <w:t xml:space="preserve"> 6-</w:t>
      </w:r>
      <w:r w:rsidR="00D95880">
        <w:rPr>
          <w:b/>
        </w:rPr>
        <w:t>71T remontinis komplektas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0D6765"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0D6765"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0D6765"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146E5DF1" w:rsidR="003B5E69" w:rsidRPr="00B20794" w:rsidRDefault="000D6765"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D52FED">
        <w:t>90 dienų</w:t>
      </w:r>
      <w:r w:rsidR="003B5E69" w:rsidRPr="00B20794">
        <w:t xml:space="preserve">, nuo </w:t>
      </w:r>
      <w:r w:rsidR="00477FA8">
        <w:t>prekių užsakymo pateikimo dienos</w:t>
      </w:r>
      <w:r w:rsidR="00B20794" w:rsidRPr="00B20794">
        <w:t>.</w:t>
      </w:r>
    </w:p>
    <w:p w14:paraId="04B63E30" w14:textId="07106A0A" w:rsidR="00EE5842" w:rsidRPr="005F1645" w:rsidRDefault="000D6765"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4B204103"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D52FED">
        <w:rPr>
          <w:sz w:val="24"/>
          <w:szCs w:val="24"/>
        </w:rPr>
        <w:t>Užpildytas 2 Priedas „Techninė specifikacija“</w:t>
      </w:r>
      <w:r w:rsidR="00F95D0B">
        <w:rPr>
          <w:sz w:val="24"/>
          <w:szCs w:val="24"/>
        </w:rPr>
        <w:t>,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12812">
        <w:rPr>
          <w:sz w:val="24"/>
          <w:szCs w:val="24"/>
          <w:u w:val="single"/>
        </w:rPr>
        <w:t>deklaracija, dėl taikomu Aplinko</w:t>
      </w:r>
      <w:r w:rsidR="00E12812" w:rsidRPr="00E12812">
        <w:rPr>
          <w:sz w:val="24"/>
          <w:szCs w:val="24"/>
          <w:u w:val="single"/>
        </w:rPr>
        <w:t>s apsaugos kriterijų</w:t>
      </w:r>
      <w:r w:rsidRPr="00E12812">
        <w:rPr>
          <w:sz w:val="24"/>
          <w:szCs w:val="24"/>
          <w:u w:val="single"/>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 xml:space="preserve">CVP IS </w:t>
      </w:r>
      <w:r>
        <w:rPr>
          <w:i w:val="0"/>
          <w:color w:val="000000"/>
          <w:lang w:val="lt-LT"/>
        </w:rPr>
        <w:lastRenderedPageBreak/>
        <w:t>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38E48A7E"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D95880">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1D07828C" w:rsidR="00B97B1D" w:rsidRDefault="00572236" w:rsidP="009337ED">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 kainos;</w:t>
      </w:r>
    </w:p>
    <w:p w14:paraId="16357CF5" w14:textId="64221BC3" w:rsidR="006824DE" w:rsidRDefault="006824DE" w:rsidP="009337ED">
      <w:pPr>
        <w:pStyle w:val="ListParagraph"/>
        <w:numPr>
          <w:ilvl w:val="2"/>
          <w:numId w:val="11"/>
        </w:numPr>
        <w:tabs>
          <w:tab w:val="num" w:pos="1276"/>
          <w:tab w:val="num" w:pos="1418"/>
          <w:tab w:val="left" w:pos="1701"/>
          <w:tab w:val="left" w:pos="1985"/>
        </w:tabs>
        <w:ind w:left="0" w:firstLine="709"/>
        <w:jc w:val="both"/>
      </w:pPr>
      <w:r>
        <w:t>Tiekėjas nepateikė deklaracijos, dėl taikomų Aplinkos apsaugos kriterijų atitikimo.</w:t>
      </w:r>
    </w:p>
    <w:p w14:paraId="0B8FF1B8" w14:textId="708A4087" w:rsidR="00D52FED" w:rsidRDefault="00D52FED" w:rsidP="009337ED">
      <w:pPr>
        <w:pStyle w:val="ListParagraph"/>
        <w:numPr>
          <w:ilvl w:val="2"/>
          <w:numId w:val="11"/>
        </w:numPr>
        <w:tabs>
          <w:tab w:val="num" w:pos="1276"/>
          <w:tab w:val="num" w:pos="1418"/>
          <w:tab w:val="left" w:pos="1701"/>
          <w:tab w:val="left" w:pos="1985"/>
        </w:tabs>
        <w:ind w:left="0" w:firstLine="709"/>
        <w:jc w:val="both"/>
      </w:pPr>
      <w:r>
        <w:t xml:space="preserve"> Tiekėjas nepateikė užpildyto 2 Priedo „Techninė specifikacija“.</w:t>
      </w:r>
    </w:p>
    <w:p w14:paraId="28417A46" w14:textId="77777777" w:rsidR="00DA3F02" w:rsidRPr="003B5E69" w:rsidRDefault="00DA3F02" w:rsidP="001062A8">
      <w:pPr>
        <w:tabs>
          <w:tab w:val="num" w:pos="1418"/>
        </w:tabs>
        <w:ind w:firstLine="709"/>
        <w:jc w:val="center"/>
        <w:rPr>
          <w:b/>
          <w:color w:val="000000"/>
          <w:highlight w:val="yellow"/>
        </w:rPr>
      </w:pPr>
      <w:bookmarkStart w:id="6" w:name="_Toc94925713"/>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lastRenderedPageBreak/>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2BFDC633"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D6765">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9E7"/>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765"/>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1990"/>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2FED"/>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5880"/>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F9B1819236A24407972CE9F5359670A4"/>
        <w:category>
          <w:name w:val="General"/>
          <w:gallery w:val="placeholder"/>
        </w:category>
        <w:types>
          <w:type w:val="bbPlcHdr"/>
        </w:types>
        <w:behaviors>
          <w:behavior w:val="content"/>
        </w:behaviors>
        <w:guid w:val="{59315F77-362A-4B1D-8E05-BA7399D244A8}"/>
      </w:docPartPr>
      <w:docPartBody>
        <w:p w:rsidR="00000000" w:rsidRDefault="00A47342" w:rsidP="00A47342">
          <w:pPr>
            <w:pStyle w:val="F9B1819236A24407972CE9F5359670A4"/>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A47342"/>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734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F9B1819236A24407972CE9F5359670A4">
    <w:name w:val="F9B1819236A24407972CE9F5359670A4"/>
    <w:rsid w:val="00A47342"/>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D8D08E-4D0D-4C69-92FC-AFE96D88E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7</Pages>
  <Words>2769</Words>
  <Characters>20047</Characters>
  <Application>Microsoft Office Word</Application>
  <DocSecurity>0</DocSecurity>
  <Lines>167</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22771</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22</cp:revision>
  <cp:lastPrinted>2023-03-21T11:34:00Z</cp:lastPrinted>
  <dcterms:created xsi:type="dcterms:W3CDTF">2022-03-31T10:35:00Z</dcterms:created>
  <dcterms:modified xsi:type="dcterms:W3CDTF">2025-10-02T06:00:00Z</dcterms:modified>
</cp:coreProperties>
</file>