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46E5" w14:textId="4C0F2E37" w:rsidR="00E43DE2" w:rsidRDefault="009004D1" w:rsidP="009004D1">
      <w:pPr>
        <w:jc w:val="center"/>
        <w:rPr>
          <w:rFonts w:ascii="Calibri" w:hAnsi="Calibri" w:cs="Calibri"/>
          <w:b/>
          <w:bCs/>
        </w:rPr>
      </w:pPr>
      <w:r w:rsidRPr="009004D1">
        <w:rPr>
          <w:rFonts w:ascii="Calibri" w:hAnsi="Calibri" w:cs="Calibri"/>
          <w:b/>
          <w:bCs/>
        </w:rPr>
        <w:t>Atsakymai rinkos konsultacijos dalyviams</w:t>
      </w:r>
    </w:p>
    <w:p w14:paraId="4826F598" w14:textId="1F551EF3" w:rsidR="009004D1" w:rsidRPr="009004D1" w:rsidRDefault="009004D1" w:rsidP="009004D1">
      <w:pPr>
        <w:jc w:val="center"/>
        <w:rPr>
          <w:rFonts w:ascii="Calibri" w:eastAsia="Times New Roman" w:hAnsi="Calibri" w:cs="Calibri"/>
          <w:b/>
          <w:iCs/>
        </w:rPr>
      </w:pPr>
      <w:r>
        <w:rPr>
          <w:rFonts w:ascii="Calibri" w:hAnsi="Calibri" w:cs="Calibri"/>
          <w:b/>
          <w:bCs/>
        </w:rPr>
        <w:t xml:space="preserve">Pirkimo objektas - </w:t>
      </w:r>
      <w:r w:rsidRPr="009004D1">
        <w:rPr>
          <w:rFonts w:ascii="Calibri" w:eastAsia="Times New Roman" w:hAnsi="Calibri" w:cs="Calibri"/>
          <w:b/>
          <w:iCs/>
          <w:lang w:val="lv-LV"/>
        </w:rPr>
        <w:t>Frontuojančio draudimo poliso išdavimo paslaug</w:t>
      </w:r>
      <w:proofErr w:type="spellStart"/>
      <w:r w:rsidRPr="009004D1">
        <w:rPr>
          <w:rFonts w:ascii="Calibri" w:eastAsia="Times New Roman" w:hAnsi="Calibri" w:cs="Calibri"/>
          <w:b/>
          <w:iCs/>
        </w:rPr>
        <w:t>os</w:t>
      </w:r>
      <w:proofErr w:type="spellEnd"/>
    </w:p>
    <w:p w14:paraId="1A9FE566" w14:textId="77777777" w:rsidR="009004D1" w:rsidRDefault="009004D1" w:rsidP="009004D1">
      <w:pPr>
        <w:jc w:val="center"/>
        <w:rPr>
          <w:rFonts w:eastAsia="Times New Roman" w:cs="Calibri"/>
          <w:b/>
          <w:iCs/>
        </w:rPr>
      </w:pPr>
    </w:p>
    <w:tbl>
      <w:tblPr>
        <w:tblStyle w:val="TableGrid"/>
        <w:tblW w:w="14483" w:type="dxa"/>
        <w:tblLook w:val="04A0" w:firstRow="1" w:lastRow="0" w:firstColumn="1" w:lastColumn="0" w:noHBand="0" w:noVBand="1"/>
      </w:tblPr>
      <w:tblGrid>
        <w:gridCol w:w="704"/>
        <w:gridCol w:w="11198"/>
        <w:gridCol w:w="2581"/>
      </w:tblGrid>
      <w:tr w:rsidR="009004D1" w14:paraId="4C1E2751" w14:textId="77777777" w:rsidTr="009004D1">
        <w:tc>
          <w:tcPr>
            <w:tcW w:w="704" w:type="dxa"/>
          </w:tcPr>
          <w:p w14:paraId="23019862" w14:textId="2052A03D" w:rsidR="009004D1" w:rsidRDefault="009004D1" w:rsidP="009004D1">
            <w:pPr>
              <w:jc w:val="center"/>
              <w:rPr>
                <w:rFonts w:ascii="Calibri" w:hAnsi="Calibri" w:cs="Calibri"/>
                <w:b/>
                <w:bCs/>
              </w:rPr>
            </w:pPr>
            <w:r>
              <w:rPr>
                <w:rFonts w:ascii="Calibri" w:hAnsi="Calibri" w:cs="Calibri"/>
                <w:b/>
                <w:bCs/>
              </w:rPr>
              <w:t>Eil. Nr.</w:t>
            </w:r>
          </w:p>
        </w:tc>
        <w:tc>
          <w:tcPr>
            <w:tcW w:w="11198" w:type="dxa"/>
          </w:tcPr>
          <w:p w14:paraId="0F3FA798" w14:textId="7B2625D9" w:rsidR="009004D1" w:rsidRDefault="009004D1" w:rsidP="009004D1">
            <w:pPr>
              <w:jc w:val="center"/>
              <w:rPr>
                <w:rFonts w:ascii="Calibri" w:hAnsi="Calibri" w:cs="Calibri"/>
                <w:b/>
                <w:bCs/>
              </w:rPr>
            </w:pPr>
            <w:r>
              <w:rPr>
                <w:rFonts w:ascii="Calibri" w:hAnsi="Calibri" w:cs="Calibri"/>
                <w:b/>
                <w:bCs/>
              </w:rPr>
              <w:t>Tiekėjo pasiūlymas</w:t>
            </w:r>
          </w:p>
        </w:tc>
        <w:tc>
          <w:tcPr>
            <w:tcW w:w="2581" w:type="dxa"/>
          </w:tcPr>
          <w:p w14:paraId="180D2A58" w14:textId="22B81048" w:rsidR="009004D1" w:rsidRDefault="009004D1" w:rsidP="009004D1">
            <w:pPr>
              <w:jc w:val="center"/>
              <w:rPr>
                <w:rFonts w:ascii="Calibri" w:hAnsi="Calibri" w:cs="Calibri"/>
                <w:b/>
                <w:bCs/>
              </w:rPr>
            </w:pPr>
            <w:r>
              <w:rPr>
                <w:rFonts w:ascii="Calibri" w:hAnsi="Calibri" w:cs="Calibri"/>
                <w:b/>
                <w:bCs/>
              </w:rPr>
              <w:t>Atsakymas</w:t>
            </w:r>
          </w:p>
        </w:tc>
      </w:tr>
      <w:tr w:rsidR="009004D1" w14:paraId="22F6C6FF" w14:textId="77777777" w:rsidTr="009004D1">
        <w:tc>
          <w:tcPr>
            <w:tcW w:w="704" w:type="dxa"/>
            <w:vAlign w:val="center"/>
          </w:tcPr>
          <w:p w14:paraId="3BD734DA" w14:textId="03CF83F1" w:rsidR="009004D1" w:rsidRPr="009004D1" w:rsidRDefault="009004D1" w:rsidP="009004D1">
            <w:pPr>
              <w:jc w:val="center"/>
              <w:rPr>
                <w:rFonts w:ascii="Calibri" w:hAnsi="Calibri" w:cs="Calibri"/>
              </w:rPr>
            </w:pPr>
            <w:r w:rsidRPr="009004D1">
              <w:rPr>
                <w:rFonts w:ascii="Calibri" w:hAnsi="Calibri" w:cs="Calibri"/>
              </w:rPr>
              <w:t>1.</w:t>
            </w:r>
          </w:p>
        </w:tc>
        <w:tc>
          <w:tcPr>
            <w:tcW w:w="11198" w:type="dxa"/>
          </w:tcPr>
          <w:p w14:paraId="442FE71C" w14:textId="77777777" w:rsidR="009004D1" w:rsidRPr="009004D1" w:rsidRDefault="009004D1" w:rsidP="009004D1">
            <w:pPr>
              <w:jc w:val="both"/>
              <w:rPr>
                <w:rFonts w:ascii="Calibri" w:hAnsi="Calibri" w:cs="Calibri"/>
              </w:rPr>
            </w:pPr>
            <w:r w:rsidRPr="009004D1">
              <w:rPr>
                <w:rFonts w:ascii="Calibri" w:hAnsi="Calibri" w:cs="Calibri"/>
              </w:rPr>
              <w:t xml:space="preserve"> AB „Oro navigacija“ (toliau – Perkančioji organizacija) 2025-09-16 paskelbė rinkos konsultaciją </w:t>
            </w:r>
            <w:proofErr w:type="spellStart"/>
            <w:r w:rsidRPr="009004D1">
              <w:rPr>
                <w:rFonts w:ascii="Calibri" w:hAnsi="Calibri" w:cs="Calibri"/>
              </w:rPr>
              <w:t>Frontuojančio</w:t>
            </w:r>
            <w:proofErr w:type="spellEnd"/>
            <w:r w:rsidRPr="009004D1">
              <w:rPr>
                <w:rFonts w:ascii="Calibri" w:hAnsi="Calibri" w:cs="Calibri"/>
              </w:rPr>
              <w:t xml:space="preserve"> draudimo poliso išdavimo paslaugų pirkimui (toliau – Pirkimas). Kartu su kvietimu į rinkos konsultaciją pateikti techninės specifikacijos ir kvalifikacijos reikalavimų projektai. </w:t>
            </w:r>
          </w:p>
          <w:p w14:paraId="7CC201B9" w14:textId="008FBC6A" w:rsidR="009004D1" w:rsidRPr="009004D1" w:rsidRDefault="009004D1" w:rsidP="009004D1">
            <w:pPr>
              <w:jc w:val="both"/>
              <w:rPr>
                <w:rFonts w:ascii="Calibri" w:hAnsi="Calibri" w:cs="Calibri"/>
              </w:rPr>
            </w:pPr>
            <w:r>
              <w:rPr>
                <w:rFonts w:ascii="Calibri" w:hAnsi="Calibri" w:cs="Calibri"/>
              </w:rPr>
              <w:t>D</w:t>
            </w:r>
            <w:r w:rsidRPr="009004D1">
              <w:rPr>
                <w:rFonts w:ascii="Calibri" w:hAnsi="Calibri" w:cs="Calibri"/>
              </w:rPr>
              <w:t xml:space="preserve">raudimo brokeris pažymi, kad techninės specifikacijos projekto nuostatos, kuriomis ribojama draudiko teisė pačiam pasirinkti perdraudikus, nepagrįstai riboja konkurenciją ir pažeidžia sutarčių laisvės principą. </w:t>
            </w:r>
          </w:p>
          <w:p w14:paraId="39C90D45" w14:textId="77777777" w:rsidR="009004D1" w:rsidRPr="009004D1" w:rsidRDefault="009004D1" w:rsidP="009004D1">
            <w:pPr>
              <w:jc w:val="both"/>
              <w:rPr>
                <w:rFonts w:ascii="Calibri" w:hAnsi="Calibri" w:cs="Calibri"/>
              </w:rPr>
            </w:pPr>
            <w:r w:rsidRPr="009004D1">
              <w:rPr>
                <w:rFonts w:ascii="Calibri" w:hAnsi="Calibri" w:cs="Calibri"/>
              </w:rPr>
              <w:t>Lietuvos Respublikos viešųjų pirkimų įstatymo (toliau – VPĮ) 17 str. numatyta, kad „</w:t>
            </w:r>
            <w:r w:rsidRPr="009004D1">
              <w:rPr>
                <w:rFonts w:ascii="Calibri" w:hAnsi="Calibri" w:cs="Calibri"/>
                <w:i/>
                <w:iCs/>
              </w:rPr>
              <w:t xml:space="preserve">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 </w:t>
            </w:r>
            <w:r w:rsidRPr="009004D1">
              <w:rPr>
                <w:rFonts w:ascii="Calibri" w:hAnsi="Calibri" w:cs="Calibri"/>
              </w:rPr>
              <w:t xml:space="preserve">VPĮ 37 str. 6 d. numatyta, kad kai perkančioji organizacija nurodo technines specifikacijas, ji neturi teisės atmesti pasiūlymo dėl to, kad siūlomos prekės ar paslaugos, ar darbai neatitinka nurodytų techninių specifikacijų, kuriomis ji rėmėsi, jeigu dalyvis savo pasiūlyme bet kokiomis perkančiajai organizacijai tinkamomis priemonėmis įrodo, kad jo pasiūlyti sprendiniai yra lygiaverčiai ir atitinka techninėje specifikacijoje keliamus reikalavimus. </w:t>
            </w:r>
          </w:p>
          <w:p w14:paraId="710EDBAB" w14:textId="77777777" w:rsidR="009004D1" w:rsidRPr="009004D1" w:rsidRDefault="009004D1" w:rsidP="009004D1">
            <w:pPr>
              <w:jc w:val="both"/>
              <w:rPr>
                <w:rFonts w:ascii="Calibri" w:hAnsi="Calibri" w:cs="Calibri"/>
              </w:rPr>
            </w:pPr>
            <w:r w:rsidRPr="009004D1">
              <w:rPr>
                <w:rFonts w:ascii="Calibri" w:hAnsi="Calibri" w:cs="Calibri"/>
              </w:rPr>
              <w:t xml:space="preserve">Atsižvelgiant į tai, kas aukščiau išdėstyta, Perkančioji organizacija vykdydama Pirkimą privalo užtikrinti konkurenciją ir kartu sudaryti tiekėjams galimybes siūlyti alternatyvius sprendinius, įskaitant teikti pasiūlymus su savo pačių pasirinktais perdraudikais. Todėl nuostatos, kurios numato, kad draudikas privalo pasirinkti tik draudimo brokerio Aon Baltic, UADBB, nurodytus perdraudikus ir neleidžia pasirinkti kitų perdraudikų pažeidžia VPĮ 17 str. ir VPĮ 37 str. 6 d. reikalavimus. </w:t>
            </w:r>
          </w:p>
          <w:p w14:paraId="620E1386" w14:textId="4B056837" w:rsidR="009004D1" w:rsidRPr="009004D1" w:rsidRDefault="009004D1" w:rsidP="009004D1">
            <w:pPr>
              <w:jc w:val="both"/>
              <w:rPr>
                <w:rFonts w:ascii="Calibri" w:hAnsi="Calibri" w:cs="Calibri"/>
              </w:rPr>
            </w:pPr>
            <w:r w:rsidRPr="009004D1">
              <w:rPr>
                <w:rFonts w:ascii="Calibri" w:hAnsi="Calibri" w:cs="Calibri"/>
              </w:rPr>
              <w:t xml:space="preserve">Šiuo aspektu pirmiausiai pažymėtina, kad teisės subjektai, sukurdami civilinius teisinius tarpusavio santykius, paprastai turi galimybę pasirinkti jų interesus labiausiai atitinkantį elgesio variantą. Ši jų laisvė gali būti varžoma tik įstatymo leidėjo įtvirtintais imperatyviaisiais reikalavimais, kurių paskirtis – apginti viešuosius, t. y. visos visuomenės, interesus, viešąją tvarką. Civilinių santykių subjektų elgesio </w:t>
            </w:r>
            <w:proofErr w:type="spellStart"/>
            <w:r w:rsidRPr="009004D1">
              <w:rPr>
                <w:rFonts w:ascii="Calibri" w:hAnsi="Calibri" w:cs="Calibri"/>
              </w:rPr>
              <w:t>dipozityviškumas</w:t>
            </w:r>
            <w:proofErr w:type="spellEnd"/>
            <w:r w:rsidRPr="009004D1">
              <w:rPr>
                <w:rFonts w:ascii="Calibri" w:hAnsi="Calibri" w:cs="Calibri"/>
              </w:rPr>
              <w:t xml:space="preserve">, be kita ko, </w:t>
            </w:r>
            <w:r>
              <w:rPr>
                <w:rFonts w:ascii="Calibri" w:hAnsi="Calibri" w:cs="Calibri"/>
              </w:rPr>
              <w:t>2</w:t>
            </w:r>
            <w:r w:rsidRPr="009004D1">
              <w:rPr>
                <w:rFonts w:ascii="Calibri" w:hAnsi="Calibri" w:cs="Calibri"/>
              </w:rPr>
              <w:t xml:space="preserve">pasireiškia per sutarties laisvės principą (CK 1.2, 6.156 str.), kuris leidžia civilinių teisinių santykių dalyviams laisvai spręsti, ar sudaryti sutartį, savo nuožiūra nustatyti tarpusavio teises bei pareigas, taip pat sudaryti sutartis, kurių CK tiesiogiai neįtvirtinta, jeigu tai neprieštarauja įstatymui. Taigi CK 6.156 str. 1 d. įtvirtintas sutarties laisvės principas leidžia sutarties šalims laisva valia sudaryti sutartis ir savo nuožiūra nustatyti tarpusavio teises bei pareigas, išskyrus atvejus, kai tam tikros sutarties sąlygos nustatytos imperatyviųjų teisės normų. </w:t>
            </w:r>
          </w:p>
          <w:p w14:paraId="510FE4CE" w14:textId="77777777" w:rsidR="009004D1" w:rsidRPr="009004D1" w:rsidRDefault="009004D1" w:rsidP="009004D1">
            <w:pPr>
              <w:jc w:val="both"/>
              <w:rPr>
                <w:rFonts w:ascii="Calibri" w:hAnsi="Calibri" w:cs="Calibri"/>
              </w:rPr>
            </w:pPr>
            <w:r w:rsidRPr="009004D1">
              <w:rPr>
                <w:rFonts w:ascii="Calibri" w:hAnsi="Calibri" w:cs="Calibri"/>
              </w:rPr>
              <w:t xml:space="preserve">Techninės specifikacijos nuostatos, kurios riboja draudikui teisę pasirinkti perdraudikus pažeidžia CK 6.156 str. 1 d. įtvirtintą sutarties laisvės principą. </w:t>
            </w:r>
          </w:p>
          <w:p w14:paraId="3DF2FE2B" w14:textId="77777777" w:rsidR="009004D1" w:rsidRPr="009004D1" w:rsidRDefault="009004D1" w:rsidP="009004D1">
            <w:pPr>
              <w:jc w:val="both"/>
              <w:rPr>
                <w:rFonts w:ascii="Calibri" w:hAnsi="Calibri" w:cs="Calibri"/>
              </w:rPr>
            </w:pPr>
            <w:r w:rsidRPr="009004D1">
              <w:rPr>
                <w:rFonts w:ascii="Calibri" w:hAnsi="Calibri" w:cs="Calibri"/>
              </w:rPr>
              <w:lastRenderedPageBreak/>
              <w:t>Daugelis perdraudikų turi teisę teikti ne tik perdraudimo, bet ir tiesioginio draudimo paslaugas. Tačiau, techninės specifikacijos projekte įtvirtintos nuostatos, kad draudikas turi pasitelkti draudimo brokerio</w:t>
            </w:r>
            <w:r>
              <w:rPr>
                <w:rFonts w:ascii="Calibri" w:hAnsi="Calibri" w:cs="Calibri"/>
              </w:rPr>
              <w:t xml:space="preserve"> </w:t>
            </w:r>
            <w:r w:rsidRPr="009004D1">
              <w:rPr>
                <w:rFonts w:ascii="Calibri" w:hAnsi="Calibri" w:cs="Calibri"/>
              </w:rPr>
              <w:t xml:space="preserve">Aon Baltic, UADBB, sąraše nurodytus perdraudikus apriboja galimybę patiems perdraudikams/draudikas tiesiogiai teikti ar dalyvauti teikiant pasiūlymus Pirkimui jungtinės veiklos, bendro draudimo ar dalinio perdraudimo pagrindu. Techninės specifikacijos projekto nuostatos, kad </w:t>
            </w:r>
            <w:proofErr w:type="spellStart"/>
            <w:r w:rsidRPr="009004D1">
              <w:rPr>
                <w:rFonts w:ascii="Calibri" w:hAnsi="Calibri" w:cs="Calibri"/>
              </w:rPr>
              <w:t>frontuojantis</w:t>
            </w:r>
            <w:proofErr w:type="spellEnd"/>
            <w:r w:rsidRPr="009004D1">
              <w:rPr>
                <w:rFonts w:ascii="Calibri" w:hAnsi="Calibri" w:cs="Calibri"/>
              </w:rPr>
              <w:t xml:space="preserve"> draudikas privalo pasitelkti tik tam tikrus konkrečius perdraudikus ne tik užkerta kelią šių perdraudikų galimybei dalyvauti Pirkime kaip tiesioginiams draudikams, bet neleidžia ir visiems kitiems draudikams, turintiems reikiamus finansinius pajėgumus, sudalyvauti tiesiogiai pirkime. </w:t>
            </w:r>
          </w:p>
          <w:p w14:paraId="4A1374A6" w14:textId="2E0D7CC8" w:rsidR="009004D1" w:rsidRPr="009004D1" w:rsidRDefault="009004D1" w:rsidP="009004D1">
            <w:pPr>
              <w:jc w:val="both"/>
              <w:rPr>
                <w:rFonts w:ascii="Calibri" w:hAnsi="Calibri" w:cs="Calibri"/>
              </w:rPr>
            </w:pPr>
            <w:r w:rsidRPr="009004D1">
              <w:rPr>
                <w:rFonts w:ascii="Calibri" w:hAnsi="Calibri" w:cs="Calibri"/>
              </w:rPr>
              <w:t>Apibendrindami tai, kas aukščiau išdėstyta, reikalaujame Pirkimo sąlygose numatyti galimybę draudikams patiems pasirinkti norimus perdraudikus ir galimybę teikti pasiūlymus tiesiogiai - jungtinės veiklos, bendro draudimo ar dalinio perdraudimo (jei draudiko finansinės galimybės leidžia prisiimti dalį rizikos) pagrindu.</w:t>
            </w:r>
          </w:p>
        </w:tc>
        <w:tc>
          <w:tcPr>
            <w:tcW w:w="2581" w:type="dxa"/>
            <w:vMerge w:val="restart"/>
            <w:vAlign w:val="center"/>
          </w:tcPr>
          <w:p w14:paraId="676EDBE5" w14:textId="3F75D567" w:rsidR="009004D1" w:rsidRPr="009004D1" w:rsidRDefault="009004D1" w:rsidP="009004D1">
            <w:pPr>
              <w:jc w:val="center"/>
              <w:rPr>
                <w:rFonts w:ascii="Calibri" w:hAnsi="Calibri" w:cs="Calibri"/>
              </w:rPr>
            </w:pPr>
            <w:r w:rsidRPr="009004D1">
              <w:rPr>
                <w:rFonts w:ascii="Calibri" w:hAnsi="Calibri" w:cs="Calibri"/>
              </w:rPr>
              <w:lastRenderedPageBreak/>
              <w:t>Perkančioji organizacija atsižvelgs į Rinkos dalyvių pastebėjimus / įžvalgas / rekomendacijas</w:t>
            </w:r>
            <w:r w:rsidR="00647FCD">
              <w:rPr>
                <w:rFonts w:ascii="Calibri" w:hAnsi="Calibri" w:cs="Calibri"/>
              </w:rPr>
              <w:t xml:space="preserve"> / siūlymus</w:t>
            </w:r>
            <w:r w:rsidRPr="009004D1">
              <w:rPr>
                <w:rFonts w:ascii="Calibri" w:hAnsi="Calibri" w:cs="Calibri"/>
              </w:rPr>
              <w:t xml:space="preserve"> bei Bendrosios civilinės atsakomybės draudimo paslaugas vykdys naudodama kitokį pirkimo modelį, o ne </w:t>
            </w:r>
            <w:r w:rsidRPr="009004D1">
              <w:rPr>
                <w:rFonts w:ascii="Calibri" w:eastAsia="Times New Roman" w:hAnsi="Calibri" w:cs="Calibri"/>
                <w:iCs/>
                <w:lang w:val="lv-LV"/>
              </w:rPr>
              <w:t>Frontuojančio draudimo poliso išdavimo paslaug</w:t>
            </w:r>
            <w:r w:rsidRPr="009004D1">
              <w:rPr>
                <w:rFonts w:ascii="Calibri" w:eastAsia="Times New Roman" w:hAnsi="Calibri" w:cs="Calibri"/>
                <w:iCs/>
                <w:lang w:val="lv-LV"/>
              </w:rPr>
              <w:t>ų.</w:t>
            </w:r>
          </w:p>
        </w:tc>
      </w:tr>
      <w:tr w:rsidR="009004D1" w14:paraId="7052B1CE" w14:textId="77777777" w:rsidTr="009004D1">
        <w:tc>
          <w:tcPr>
            <w:tcW w:w="704" w:type="dxa"/>
          </w:tcPr>
          <w:p w14:paraId="703CE034" w14:textId="0EC96E23" w:rsidR="009004D1" w:rsidRPr="009004D1" w:rsidRDefault="009004D1" w:rsidP="009004D1">
            <w:pPr>
              <w:jc w:val="center"/>
              <w:rPr>
                <w:rFonts w:ascii="Calibri" w:hAnsi="Calibri" w:cs="Calibri"/>
              </w:rPr>
            </w:pPr>
            <w:r w:rsidRPr="009004D1">
              <w:rPr>
                <w:rFonts w:ascii="Calibri" w:hAnsi="Calibri" w:cs="Calibri"/>
              </w:rPr>
              <w:t>2.</w:t>
            </w:r>
          </w:p>
        </w:tc>
        <w:tc>
          <w:tcPr>
            <w:tcW w:w="11198" w:type="dxa"/>
          </w:tcPr>
          <w:p w14:paraId="3658E9AC" w14:textId="77777777" w:rsidR="009004D1" w:rsidRPr="009004D1" w:rsidRDefault="009004D1" w:rsidP="009004D1">
            <w:pPr>
              <w:jc w:val="both"/>
              <w:rPr>
                <w:rFonts w:ascii="Calibri" w:hAnsi="Calibri" w:cs="Calibri"/>
              </w:rPr>
            </w:pPr>
            <w:r w:rsidRPr="009004D1">
              <w:rPr>
                <w:rFonts w:ascii="Calibri" w:hAnsi="Calibri" w:cs="Calibri"/>
              </w:rPr>
              <w:t xml:space="preserve"> Perkančioji organizacija techninėje specifikacijoje nurodo &lt;Pasiūlymo kaina tik už </w:t>
            </w:r>
            <w:proofErr w:type="spellStart"/>
            <w:r w:rsidRPr="009004D1">
              <w:rPr>
                <w:rFonts w:ascii="Calibri" w:hAnsi="Calibri" w:cs="Calibri"/>
              </w:rPr>
              <w:t>frontuojančio</w:t>
            </w:r>
            <w:proofErr w:type="spellEnd"/>
            <w:r w:rsidRPr="009004D1">
              <w:rPr>
                <w:rFonts w:ascii="Calibri" w:hAnsi="Calibri" w:cs="Calibri"/>
              </w:rPr>
              <w:t xml:space="preserve"> draudimo poliso išdavimo paslaugą, </w:t>
            </w:r>
            <w:proofErr w:type="spellStart"/>
            <w:r w:rsidRPr="009004D1">
              <w:rPr>
                <w:rFonts w:ascii="Calibri" w:hAnsi="Calibri" w:cs="Calibri"/>
              </w:rPr>
              <w:t>t.y</w:t>
            </w:r>
            <w:proofErr w:type="spellEnd"/>
            <w:r w:rsidRPr="009004D1">
              <w:rPr>
                <w:rFonts w:ascii="Calibri" w:hAnsi="Calibri" w:cs="Calibri"/>
              </w:rPr>
              <w:t xml:space="preserve">. be perdraudimo įmokos dalies pateikiama eurais. Kaina nesikeičia per visą sutarties galiojimo laiką&gt;. Prašome patikslinti, ar tarpininkaujantis brokeris iš </w:t>
            </w:r>
            <w:proofErr w:type="spellStart"/>
            <w:r w:rsidRPr="009004D1">
              <w:rPr>
                <w:rFonts w:ascii="Calibri" w:hAnsi="Calibri" w:cs="Calibri"/>
              </w:rPr>
              <w:t>frontuojantį</w:t>
            </w:r>
            <w:proofErr w:type="spellEnd"/>
            <w:r w:rsidRPr="009004D1">
              <w:rPr>
                <w:rFonts w:ascii="Calibri" w:hAnsi="Calibri" w:cs="Calibri"/>
              </w:rPr>
              <w:t xml:space="preserve"> draudimo polisą išduodančio draudiko gauna 0 Eur komisinį atlygį? </w:t>
            </w:r>
          </w:p>
          <w:p w14:paraId="0C094CAB" w14:textId="77777777" w:rsidR="009004D1" w:rsidRPr="009004D1" w:rsidRDefault="009004D1" w:rsidP="009004D1">
            <w:pPr>
              <w:jc w:val="both"/>
              <w:rPr>
                <w:rFonts w:ascii="Calibri" w:hAnsi="Calibri" w:cs="Calibri"/>
              </w:rPr>
            </w:pPr>
            <w:r w:rsidRPr="009004D1">
              <w:rPr>
                <w:rFonts w:ascii="Calibri" w:hAnsi="Calibri" w:cs="Calibri"/>
              </w:rPr>
              <w:t xml:space="preserve">Planuojamas FRONTUOJANČIO DRAUDIMO POLISO IŠDAVIMO PASLAUGŲ PIRKIMO konkursas, mūsų vertinimu, yra ribojantis konkurenciją ir turėtų būti atšauktas. Pagrindinės konkurencijos ribojimo priežastys: </w:t>
            </w:r>
          </w:p>
          <w:p w14:paraId="5BCF0626" w14:textId="77777777" w:rsidR="009004D1" w:rsidRPr="009004D1" w:rsidRDefault="009004D1" w:rsidP="009004D1">
            <w:pPr>
              <w:numPr>
                <w:ilvl w:val="0"/>
                <w:numId w:val="1"/>
              </w:numPr>
              <w:tabs>
                <w:tab w:val="left" w:pos="325"/>
              </w:tabs>
              <w:jc w:val="both"/>
              <w:rPr>
                <w:rFonts w:ascii="Calibri" w:hAnsi="Calibri" w:cs="Calibri"/>
              </w:rPr>
            </w:pPr>
            <w:r w:rsidRPr="009004D1">
              <w:rPr>
                <w:rFonts w:ascii="Calibri" w:hAnsi="Calibri" w:cs="Calibri"/>
              </w:rPr>
              <w:t xml:space="preserve">Perkančioji organizacija riboja draudikų galimybes pateikti geriausią įmanomą pasiūlymą, nes konkurso metu bus renkamas vienas draudikas, kuris atliks tik frontinio poliso išdavimo paslaugą, bet negali pasiūlyti savo perdraudimo sprendimų; </w:t>
            </w:r>
          </w:p>
          <w:p w14:paraId="302BCB54" w14:textId="77777777" w:rsidR="009004D1" w:rsidRPr="009004D1" w:rsidRDefault="009004D1" w:rsidP="009004D1">
            <w:pPr>
              <w:numPr>
                <w:ilvl w:val="0"/>
                <w:numId w:val="1"/>
              </w:numPr>
              <w:tabs>
                <w:tab w:val="left" w:pos="325"/>
              </w:tabs>
              <w:jc w:val="both"/>
              <w:rPr>
                <w:rFonts w:ascii="Calibri" w:hAnsi="Calibri" w:cs="Calibri"/>
              </w:rPr>
            </w:pPr>
            <w:r w:rsidRPr="009004D1">
              <w:rPr>
                <w:rFonts w:ascii="Calibri" w:hAnsi="Calibri" w:cs="Calibri"/>
              </w:rPr>
              <w:t xml:space="preserve">Perkančioji organizacija apsiriboja save ir apriboja draudikų galimybes pateikti geriausią įmanomą pasiūlymą, nes yra įrašytas baigtinis perdraudikų sąrašas – taip smarkiai sumažinama galimų perdraudikų apimtis, o kartu ir mažinama tikimybė gauti ne tik gerą kainą, bet ir patį draudimo pasiūlymą, Atkreiptinas dėmesys, kad perdraudikų </w:t>
            </w:r>
            <w:proofErr w:type="spellStart"/>
            <w:r w:rsidRPr="009004D1">
              <w:rPr>
                <w:rFonts w:ascii="Calibri" w:hAnsi="Calibri" w:cs="Calibri"/>
              </w:rPr>
              <w:t>sąrašąs</w:t>
            </w:r>
            <w:proofErr w:type="spellEnd"/>
            <w:r w:rsidRPr="009004D1">
              <w:rPr>
                <w:rFonts w:ascii="Calibri" w:hAnsi="Calibri" w:cs="Calibri"/>
              </w:rPr>
              <w:t xml:space="preserve"> sudarytas subjektyviai, neįtraukiant netgi perdraudikų, esančių pasauliniame TOP 20 sąraše. </w:t>
            </w:r>
          </w:p>
          <w:p w14:paraId="1B242218" w14:textId="77777777" w:rsidR="009004D1" w:rsidRPr="009004D1" w:rsidRDefault="009004D1" w:rsidP="009004D1">
            <w:pPr>
              <w:numPr>
                <w:ilvl w:val="0"/>
                <w:numId w:val="1"/>
              </w:numPr>
              <w:tabs>
                <w:tab w:val="left" w:pos="325"/>
              </w:tabs>
              <w:jc w:val="both"/>
              <w:rPr>
                <w:rFonts w:ascii="Calibri" w:hAnsi="Calibri" w:cs="Calibri"/>
              </w:rPr>
            </w:pPr>
            <w:r w:rsidRPr="009004D1">
              <w:rPr>
                <w:rFonts w:ascii="Calibri" w:hAnsi="Calibri" w:cs="Calibri"/>
              </w:rPr>
              <w:t xml:space="preserve">Perkančioji organizacija pateikdama baigtinį konkrečių perdraudikų sąrašą, vietoje to, kad nustatytų objektyvius reikalavimus, taikomus perdraudikui ir perdraudiko reitingui, kuris gali keistis, automatiškai eliminuoja visus Lietuvos draudikus, jeigu jie norėtų pasiremti savo akcininkų perdraudimu, nes nei vienas nėra įrašytas į baigtinį perdraudikų sąrašą. </w:t>
            </w:r>
          </w:p>
          <w:p w14:paraId="3969B3AD" w14:textId="226FA5B0" w:rsidR="009004D1" w:rsidRPr="009004D1" w:rsidRDefault="009004D1" w:rsidP="009004D1">
            <w:pPr>
              <w:numPr>
                <w:ilvl w:val="0"/>
                <w:numId w:val="1"/>
              </w:numPr>
              <w:tabs>
                <w:tab w:val="left" w:pos="325"/>
              </w:tabs>
              <w:jc w:val="both"/>
              <w:rPr>
                <w:rFonts w:ascii="Calibri" w:hAnsi="Calibri" w:cs="Calibri"/>
              </w:rPr>
            </w:pPr>
            <w:r w:rsidRPr="009004D1">
              <w:rPr>
                <w:rFonts w:ascii="Calibri" w:hAnsi="Calibri" w:cs="Calibri"/>
              </w:rPr>
              <w:t xml:space="preserve">Kai Draudikui neleidžiama pačiam susirasti perdraudimo, tai iš jo atimama galimybė pasirinkti norimus partnerius įvertinant jų patikimumą, todėl Draudikas negali tinkamai valdyti savo rizikos. Perdraudikams nevykdant įsipareigojimų, Draudikas rizikuoja savo kaip įmonės reputacija ir kapitalu. </w:t>
            </w:r>
          </w:p>
          <w:p w14:paraId="271ECC7D" w14:textId="77777777" w:rsidR="009004D1" w:rsidRPr="009004D1" w:rsidRDefault="009004D1" w:rsidP="009004D1">
            <w:pPr>
              <w:jc w:val="both"/>
              <w:rPr>
                <w:rFonts w:ascii="Calibri" w:hAnsi="Calibri" w:cs="Calibri"/>
              </w:rPr>
            </w:pPr>
            <w:r w:rsidRPr="009004D1">
              <w:rPr>
                <w:rFonts w:ascii="Calibri" w:hAnsi="Calibri" w:cs="Calibri"/>
              </w:rPr>
              <w:t xml:space="preserve">Remiantis šiais faktais siūlome atšaukti šį planuojamą konkursą kaip neskaidrų, ribojantį konkurenciją, galimai rengiamą vienam konkrečiam draudikui ir keliantį rizikas pačiam draudėjui gauti geriausią įmanomą draudimo sprendimą rinkoje. </w:t>
            </w:r>
          </w:p>
          <w:p w14:paraId="6A72143D" w14:textId="423D5889" w:rsidR="009004D1" w:rsidRPr="009004D1" w:rsidRDefault="009004D1" w:rsidP="009004D1">
            <w:pPr>
              <w:jc w:val="both"/>
              <w:rPr>
                <w:rFonts w:ascii="Calibri" w:hAnsi="Calibri" w:cs="Calibri"/>
              </w:rPr>
            </w:pPr>
            <w:r w:rsidRPr="009004D1">
              <w:rPr>
                <w:rFonts w:ascii="Calibri" w:hAnsi="Calibri" w:cs="Calibri"/>
              </w:rPr>
              <w:t>Neatsižvelgus į šiuos reikalavimus pasiliekame teisę apie susidariusią situaciją bei neskaidrias pirkimo sąlygas informuoti LR Susiekimo ministeriją, LR Konkurencijos tarnyba bei kreiptis į VPT</w:t>
            </w:r>
            <w:r>
              <w:rPr>
                <w:rFonts w:ascii="Calibri" w:hAnsi="Calibri" w:cs="Calibri"/>
              </w:rPr>
              <w:t>.</w:t>
            </w:r>
          </w:p>
        </w:tc>
        <w:tc>
          <w:tcPr>
            <w:tcW w:w="2581" w:type="dxa"/>
            <w:vMerge/>
          </w:tcPr>
          <w:p w14:paraId="357F50FC" w14:textId="77777777" w:rsidR="009004D1" w:rsidRDefault="009004D1" w:rsidP="009004D1">
            <w:pPr>
              <w:jc w:val="center"/>
              <w:rPr>
                <w:rFonts w:ascii="Calibri" w:hAnsi="Calibri" w:cs="Calibri"/>
                <w:b/>
                <w:bCs/>
              </w:rPr>
            </w:pPr>
          </w:p>
        </w:tc>
      </w:tr>
    </w:tbl>
    <w:p w14:paraId="50E7710F" w14:textId="77777777" w:rsidR="009004D1" w:rsidRDefault="009004D1" w:rsidP="009004D1">
      <w:pPr>
        <w:jc w:val="center"/>
      </w:pPr>
    </w:p>
    <w:sectPr w:rsidR="009004D1" w:rsidSect="009004D1">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7E39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6074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D1"/>
    <w:rsid w:val="00647FCD"/>
    <w:rsid w:val="00802B35"/>
    <w:rsid w:val="009004D1"/>
    <w:rsid w:val="00D7531D"/>
    <w:rsid w:val="00E43D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7CAE"/>
  <w15:chartTrackingRefBased/>
  <w15:docId w15:val="{8F90E2D7-9144-4698-A2BC-7DF88CF2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4D1"/>
    <w:rPr>
      <w:rFonts w:eastAsiaTheme="majorEastAsia" w:cstheme="majorBidi"/>
      <w:color w:val="272727" w:themeColor="text1" w:themeTint="D8"/>
    </w:rPr>
  </w:style>
  <w:style w:type="paragraph" w:styleId="Title">
    <w:name w:val="Title"/>
    <w:basedOn w:val="Normal"/>
    <w:next w:val="Normal"/>
    <w:link w:val="TitleChar"/>
    <w:uiPriority w:val="10"/>
    <w:qFormat/>
    <w:rsid w:val="00900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4D1"/>
    <w:pPr>
      <w:spacing w:before="160"/>
      <w:jc w:val="center"/>
    </w:pPr>
    <w:rPr>
      <w:i/>
      <w:iCs/>
      <w:color w:val="404040" w:themeColor="text1" w:themeTint="BF"/>
    </w:rPr>
  </w:style>
  <w:style w:type="character" w:customStyle="1" w:styleId="QuoteChar">
    <w:name w:val="Quote Char"/>
    <w:basedOn w:val="DefaultParagraphFont"/>
    <w:link w:val="Quote"/>
    <w:uiPriority w:val="29"/>
    <w:rsid w:val="009004D1"/>
    <w:rPr>
      <w:i/>
      <w:iCs/>
      <w:color w:val="404040" w:themeColor="text1" w:themeTint="BF"/>
    </w:rPr>
  </w:style>
  <w:style w:type="paragraph" w:styleId="ListParagraph">
    <w:name w:val="List Paragraph"/>
    <w:basedOn w:val="Normal"/>
    <w:uiPriority w:val="34"/>
    <w:qFormat/>
    <w:rsid w:val="009004D1"/>
    <w:pPr>
      <w:ind w:left="720"/>
      <w:contextualSpacing/>
    </w:pPr>
  </w:style>
  <w:style w:type="character" w:styleId="IntenseEmphasis">
    <w:name w:val="Intense Emphasis"/>
    <w:basedOn w:val="DefaultParagraphFont"/>
    <w:uiPriority w:val="21"/>
    <w:qFormat/>
    <w:rsid w:val="009004D1"/>
    <w:rPr>
      <w:i/>
      <w:iCs/>
      <w:color w:val="0F4761" w:themeColor="accent1" w:themeShade="BF"/>
    </w:rPr>
  </w:style>
  <w:style w:type="paragraph" w:styleId="IntenseQuote">
    <w:name w:val="Intense Quote"/>
    <w:basedOn w:val="Normal"/>
    <w:next w:val="Normal"/>
    <w:link w:val="IntenseQuoteChar"/>
    <w:uiPriority w:val="30"/>
    <w:qFormat/>
    <w:rsid w:val="00900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4D1"/>
    <w:rPr>
      <w:i/>
      <w:iCs/>
      <w:color w:val="0F4761" w:themeColor="accent1" w:themeShade="BF"/>
    </w:rPr>
  </w:style>
  <w:style w:type="character" w:styleId="IntenseReference">
    <w:name w:val="Intense Reference"/>
    <w:basedOn w:val="DefaultParagraphFont"/>
    <w:uiPriority w:val="32"/>
    <w:qFormat/>
    <w:rsid w:val="009004D1"/>
    <w:rPr>
      <w:b/>
      <w:bCs/>
      <w:smallCaps/>
      <w:color w:val="0F4761" w:themeColor="accent1" w:themeShade="BF"/>
      <w:spacing w:val="5"/>
    </w:rPr>
  </w:style>
  <w:style w:type="table" w:styleId="TableGrid">
    <w:name w:val="Table Grid"/>
    <w:basedOn w:val="TableNormal"/>
    <w:uiPriority w:val="39"/>
    <w:rsid w:val="0090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4383</Words>
  <Characters>2499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Veličkienė</dc:creator>
  <cp:keywords/>
  <dc:description/>
  <cp:lastModifiedBy>Asta Veličkienė</cp:lastModifiedBy>
  <cp:revision>1</cp:revision>
  <dcterms:created xsi:type="dcterms:W3CDTF">2025-10-02T07:01:00Z</dcterms:created>
  <dcterms:modified xsi:type="dcterms:W3CDTF">2025-10-02T07:12:00Z</dcterms:modified>
</cp:coreProperties>
</file>