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75DA" w14:textId="77777777" w:rsidR="00DC6FC9" w:rsidRDefault="00DC6FC9">
      <w:pPr>
        <w:widowControl w:val="0"/>
        <w:spacing w:after="0" w:line="276" w:lineRule="auto"/>
      </w:pPr>
    </w:p>
    <w:p w14:paraId="0CF3F75A" w14:textId="77777777" w:rsidR="00DC6FC9" w:rsidRPr="00EC7334" w:rsidRDefault="00000000">
      <w:pPr>
        <w:ind w:firstLine="567"/>
        <w:jc w:val="center"/>
      </w:pPr>
      <w:r w:rsidRPr="00EC7334">
        <w:t>PASIŪLYMŲ VERTINIMO KRITERIJAI IR SĄLYGOS</w:t>
      </w:r>
    </w:p>
    <w:p w14:paraId="0664F24B" w14:textId="77777777" w:rsidR="00DC6FC9" w:rsidRPr="00EC7334" w:rsidRDefault="00DC6FC9">
      <w:pPr>
        <w:spacing w:after="0" w:line="360" w:lineRule="auto"/>
        <w:ind w:firstLine="567"/>
        <w:jc w:val="both"/>
      </w:pPr>
    </w:p>
    <w:p w14:paraId="69AFDC5E" w14:textId="396F0076" w:rsidR="00DC6FC9" w:rsidRDefault="00000000" w:rsidP="00BE26A4">
      <w:pPr>
        <w:spacing w:after="0" w:line="240" w:lineRule="auto"/>
        <w:ind w:firstLine="567"/>
        <w:jc w:val="both"/>
      </w:pPr>
      <w:r w:rsidRPr="00EC7334">
        <w:t xml:space="preserve">Perkančiosios organizacijos neatmesti pasiūlymai vertinami pagal kainos ir kokybės santykį šiame priede nurodyta tvarka. </w:t>
      </w:r>
      <w:bookmarkStart w:id="0" w:name="docs-internal-guid-d48f1f38-7fff-d6e5-6d"/>
      <w:bookmarkEnd w:id="0"/>
      <w:r w:rsidRPr="00EC7334">
        <w:t xml:space="preserve">Vertinant pasiūlymus bus atsižvelgiama į idėjos originalumą, unikalumą, elementų atitikimą projekto tematikai, organišką ir estetišką parodų (ekspozicijų) elementų stiliaus suradimą, stilistikos nuoseklumą, koncepcijos kūrybiškumą bei naujovių panaudojimą. </w:t>
      </w:r>
      <w:r w:rsidR="00F45AB6">
        <w:t>Kokybinį vertinimą</w:t>
      </w:r>
      <w:r w:rsidRPr="00EC7334">
        <w:t xml:space="preserve"> atliks ne mažiau kaip du nepriklausomi ekspertai. Komisija ekonomiškai naudingiausią pasiūlymą išrenka pagal kainos ir kokybės santykį 20/80 (pasiūlymo techninės charakteristikos vertinamos kokybiškai). Pasiūlymai vertinami remiantis šiais kriterijais: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366"/>
        <w:gridCol w:w="2184"/>
        <w:gridCol w:w="3344"/>
      </w:tblGrid>
      <w:tr w:rsidR="006A1479" w14:paraId="2E9E85F6" w14:textId="77777777" w:rsidTr="00BE26A4">
        <w:trPr>
          <w:cantSplit/>
        </w:trPr>
        <w:tc>
          <w:tcPr>
            <w:tcW w:w="735" w:type="dxa"/>
            <w:shd w:val="clear" w:color="auto" w:fill="B7B7B7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50174834" w14:textId="77777777" w:rsidR="006A1479" w:rsidRPr="0046501A" w:rsidRDefault="006A1479" w:rsidP="00642F7B">
            <w:pPr>
              <w:widowControl w:val="0"/>
              <w:spacing w:line="240" w:lineRule="auto"/>
            </w:pPr>
            <w:r w:rsidRPr="0046501A">
              <w:t>Eil.</w:t>
            </w:r>
          </w:p>
          <w:p w14:paraId="2839CD08" w14:textId="77777777" w:rsidR="006A1479" w:rsidRPr="0046501A" w:rsidRDefault="006A1479" w:rsidP="00642F7B">
            <w:pPr>
              <w:widowControl w:val="0"/>
              <w:spacing w:line="240" w:lineRule="auto"/>
            </w:pPr>
            <w:r w:rsidRPr="0046501A">
              <w:t>Nr.</w:t>
            </w:r>
          </w:p>
        </w:tc>
        <w:tc>
          <w:tcPr>
            <w:tcW w:w="3366" w:type="dxa"/>
            <w:shd w:val="clear" w:color="auto" w:fill="B7B7B7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4C7B7316" w14:textId="05F65C5C" w:rsidR="006A1479" w:rsidRPr="0046501A" w:rsidRDefault="006A1479" w:rsidP="00642F7B">
            <w:pPr>
              <w:widowControl w:val="0"/>
              <w:spacing w:line="240" w:lineRule="auto"/>
            </w:pPr>
            <w:r w:rsidRPr="0046501A">
              <w:t>Vertinimo kriterijus (K1–K</w:t>
            </w:r>
            <w:r>
              <w:t>4</w:t>
            </w:r>
            <w:r w:rsidRPr="0046501A">
              <w:t>)</w:t>
            </w:r>
          </w:p>
          <w:p w14:paraId="56929410" w14:textId="626DE38E" w:rsidR="006A1479" w:rsidRPr="0046501A" w:rsidRDefault="006A1479" w:rsidP="00642F7B">
            <w:pPr>
              <w:widowControl w:val="0"/>
              <w:spacing w:line="240" w:lineRule="auto"/>
            </w:pPr>
          </w:p>
        </w:tc>
        <w:tc>
          <w:tcPr>
            <w:tcW w:w="2184" w:type="dxa"/>
            <w:shd w:val="clear" w:color="auto" w:fill="B7B7B7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50EADDC0" w14:textId="14B523F0" w:rsidR="006A1479" w:rsidRPr="0046501A" w:rsidRDefault="006A1479" w:rsidP="006A1479">
            <w:pPr>
              <w:widowControl w:val="0"/>
              <w:spacing w:line="240" w:lineRule="auto"/>
              <w:jc w:val="center"/>
            </w:pPr>
            <w:r w:rsidRPr="0046501A">
              <w:t>Vertinimo kriterijų (K1–K</w:t>
            </w:r>
            <w:r>
              <w:t>4</w:t>
            </w:r>
            <w:r w:rsidRPr="0046501A">
              <w:t>) lyginamasis svoris ekonominio naudingumo</w:t>
            </w:r>
            <w:r>
              <w:t xml:space="preserve"> </w:t>
            </w:r>
            <w:r w:rsidRPr="0046501A">
              <w:t>įvertinime, % (B)</w:t>
            </w:r>
          </w:p>
        </w:tc>
        <w:tc>
          <w:tcPr>
            <w:tcW w:w="3344" w:type="dxa"/>
            <w:shd w:val="clear" w:color="auto" w:fill="B7B7B7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5D49F720" w14:textId="77777777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r w:rsidRPr="0046501A">
              <w:t xml:space="preserve">Vertinimo kriterijų </w:t>
            </w:r>
          </w:p>
          <w:p w14:paraId="799A616F" w14:textId="13B8547C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r w:rsidRPr="0046501A">
              <w:t>(K1–K</w:t>
            </w:r>
            <w:r>
              <w:t>4</w:t>
            </w:r>
            <w:r w:rsidRPr="0046501A">
              <w:t>) balai apskaičiuojami</w:t>
            </w:r>
          </w:p>
          <w:p w14:paraId="3298E539" w14:textId="77777777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r w:rsidRPr="0046501A">
              <w:t>pagal formules:</w:t>
            </w:r>
          </w:p>
        </w:tc>
      </w:tr>
      <w:tr w:rsidR="006A1479" w14:paraId="5A10DB13" w14:textId="77777777" w:rsidTr="00BE26A4">
        <w:trPr>
          <w:cantSplit/>
          <w:trHeight w:val="454"/>
        </w:trPr>
        <w:tc>
          <w:tcPr>
            <w:tcW w:w="735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1286086F" w14:textId="77777777" w:rsidR="006A1479" w:rsidRPr="0046501A" w:rsidRDefault="006A1479" w:rsidP="00642F7B">
            <w:pPr>
              <w:widowControl w:val="0"/>
              <w:spacing w:line="240" w:lineRule="auto"/>
            </w:pPr>
          </w:p>
        </w:tc>
        <w:tc>
          <w:tcPr>
            <w:tcW w:w="3366" w:type="dxa"/>
            <w:shd w:val="clear" w:color="auto" w:fill="D9D9D9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3AFE4A8A" w14:textId="77777777" w:rsidR="006A1479" w:rsidRPr="0046501A" w:rsidRDefault="006A1479" w:rsidP="00642F7B">
            <w:pPr>
              <w:widowControl w:val="0"/>
              <w:spacing w:line="240" w:lineRule="auto"/>
            </w:pPr>
            <w:r w:rsidRPr="0046501A">
              <w:t>A</w:t>
            </w:r>
          </w:p>
        </w:tc>
        <w:tc>
          <w:tcPr>
            <w:tcW w:w="2184" w:type="dxa"/>
            <w:shd w:val="clear" w:color="auto" w:fill="D9D9D9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487E5D29" w14:textId="77777777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r w:rsidRPr="0046501A">
              <w:t>B</w:t>
            </w:r>
          </w:p>
        </w:tc>
        <w:tc>
          <w:tcPr>
            <w:tcW w:w="3344" w:type="dxa"/>
            <w:shd w:val="clear" w:color="auto" w:fill="D9D9D9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32C8BD3F" w14:textId="77777777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r w:rsidRPr="0046501A">
              <w:t>C</w:t>
            </w:r>
          </w:p>
        </w:tc>
      </w:tr>
      <w:tr w:rsidR="006A1479" w14:paraId="529FA8EA" w14:textId="77777777" w:rsidTr="00BE26A4">
        <w:trPr>
          <w:trHeight w:val="2064"/>
        </w:trPr>
        <w:tc>
          <w:tcPr>
            <w:tcW w:w="735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53B142CA" w14:textId="77777777" w:rsidR="006A1479" w:rsidRPr="0046501A" w:rsidRDefault="006A1479" w:rsidP="0064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6501A">
              <w:t>1.</w:t>
            </w:r>
          </w:p>
        </w:tc>
        <w:tc>
          <w:tcPr>
            <w:tcW w:w="3366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7CB9E652" w14:textId="77F99FAD" w:rsidR="006A1479" w:rsidRPr="00EC7334" w:rsidRDefault="006A1479" w:rsidP="006A1479">
            <w:pPr>
              <w:pStyle w:val="Lentelsturinys"/>
              <w:spacing w:after="0" w:line="288" w:lineRule="auto"/>
              <w:rPr>
                <w:b/>
                <w:bCs/>
              </w:rPr>
            </w:pPr>
            <w:r w:rsidRPr="0046501A">
              <w:rPr>
                <w:b/>
              </w:rPr>
              <w:t>K1 –</w:t>
            </w:r>
            <w:r w:rsidRPr="00EC7334">
              <w:rPr>
                <w:b/>
                <w:bCs/>
              </w:rPr>
              <w:t xml:space="preserve"> Konceptualumo, temos atskleidimo.</w:t>
            </w:r>
          </w:p>
          <w:p w14:paraId="34263B86" w14:textId="72DF4966" w:rsidR="006A1479" w:rsidRPr="006A1479" w:rsidRDefault="006A1479" w:rsidP="006A1479">
            <w:pPr>
              <w:spacing w:line="240" w:lineRule="auto"/>
              <w:rPr>
                <w:b/>
              </w:rPr>
            </w:pPr>
            <w:r w:rsidRPr="00EC7334">
              <w:t>Vertinama, kaip išpildyta</w:t>
            </w:r>
            <w:r>
              <w:t xml:space="preserve"> </w:t>
            </w:r>
            <w:r w:rsidRPr="00EC7334">
              <w:t>ekspozicijos koncepcija, atskleista pagrindinė ekspozicijos tema.</w:t>
            </w:r>
            <w:r w:rsidRPr="0046501A">
              <w:rPr>
                <w:b/>
              </w:rPr>
              <w:br/>
            </w:r>
            <w:r w:rsidRPr="0046501A">
              <w:t xml:space="preserve">(nuo </w:t>
            </w:r>
            <w:r>
              <w:t>1</w:t>
            </w:r>
            <w:r w:rsidRPr="0046501A">
              <w:t xml:space="preserve"> iki 3 balų)</w:t>
            </w:r>
          </w:p>
        </w:tc>
        <w:tc>
          <w:tcPr>
            <w:tcW w:w="2184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39C65727" w14:textId="01A68871" w:rsidR="006A1479" w:rsidRPr="0046501A" w:rsidRDefault="006A1479" w:rsidP="0064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</w:t>
            </w:r>
          </w:p>
        </w:tc>
        <w:tc>
          <w:tcPr>
            <w:tcW w:w="3344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090A33FC" w14:textId="77777777" w:rsidR="006A1479" w:rsidRPr="0046501A" w:rsidRDefault="006A1479" w:rsidP="00642F7B">
            <w:pPr>
              <w:widowControl w:val="0"/>
              <w:spacing w:line="240" w:lineRule="auto"/>
              <w:jc w:val="center"/>
              <w:rPr>
                <w:vertAlign w:val="subscript"/>
              </w:rPr>
            </w:pPr>
            <w:r w:rsidRPr="0046501A">
              <w:t>R</w:t>
            </w:r>
            <w:r w:rsidRPr="0046501A">
              <w:rPr>
                <w:vertAlign w:val="subscript"/>
              </w:rPr>
              <w:t>p1</w:t>
            </w:r>
          </w:p>
          <w:p w14:paraId="67790297" w14:textId="71D87158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r w:rsidRPr="0046501A">
              <w:t>K</w:t>
            </w:r>
            <w:r w:rsidRPr="0046501A">
              <w:rPr>
                <w:vertAlign w:val="subscript"/>
              </w:rPr>
              <w:t>1</w:t>
            </w:r>
            <w:r w:rsidRPr="0046501A">
              <w:t xml:space="preserve"> = ----- x </w:t>
            </w:r>
            <w:r>
              <w:t>30</w:t>
            </w:r>
          </w:p>
          <w:p w14:paraId="286555F7" w14:textId="77777777" w:rsidR="006A1479" w:rsidRPr="0046501A" w:rsidRDefault="006A1479" w:rsidP="0064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vertAlign w:val="subscript"/>
              </w:rPr>
            </w:pPr>
            <w:proofErr w:type="spellStart"/>
            <w:r w:rsidRPr="0046501A">
              <w:t>R</w:t>
            </w:r>
            <w:r w:rsidRPr="0046501A">
              <w:rPr>
                <w:vertAlign w:val="subscript"/>
              </w:rPr>
              <w:t>max</w:t>
            </w:r>
            <w:proofErr w:type="spellEnd"/>
          </w:p>
        </w:tc>
      </w:tr>
      <w:tr w:rsidR="006A1479" w14:paraId="21C80328" w14:textId="77777777" w:rsidTr="00BE26A4">
        <w:tc>
          <w:tcPr>
            <w:tcW w:w="735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521FFE16" w14:textId="77777777" w:rsidR="006A1479" w:rsidRPr="0046501A" w:rsidRDefault="006A1479" w:rsidP="00642F7B">
            <w:pPr>
              <w:widowControl w:val="0"/>
              <w:spacing w:line="240" w:lineRule="auto"/>
            </w:pPr>
            <w:r w:rsidRPr="0046501A">
              <w:t>2.</w:t>
            </w:r>
          </w:p>
        </w:tc>
        <w:tc>
          <w:tcPr>
            <w:tcW w:w="3366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57D0D0EC" w14:textId="77777777" w:rsidR="006A1479" w:rsidRPr="00EC7334" w:rsidRDefault="006A1479" w:rsidP="006A1479">
            <w:pPr>
              <w:pStyle w:val="Lentelsturinys"/>
              <w:spacing w:after="0" w:line="288" w:lineRule="auto"/>
              <w:rPr>
                <w:b/>
                <w:bCs/>
              </w:rPr>
            </w:pPr>
            <w:r w:rsidRPr="0046501A">
              <w:rPr>
                <w:b/>
              </w:rPr>
              <w:t>K</w:t>
            </w:r>
            <w:r>
              <w:rPr>
                <w:b/>
              </w:rPr>
              <w:t>2</w:t>
            </w:r>
            <w:r w:rsidRPr="0046501A">
              <w:rPr>
                <w:b/>
              </w:rPr>
              <w:t xml:space="preserve"> </w:t>
            </w:r>
            <w:r w:rsidRPr="0046501A">
              <w:t>–</w:t>
            </w:r>
            <w:r w:rsidRPr="0046501A">
              <w:rPr>
                <w:b/>
              </w:rPr>
              <w:t xml:space="preserve"> </w:t>
            </w:r>
            <w:r w:rsidRPr="00EC7334">
              <w:rPr>
                <w:b/>
                <w:bCs/>
              </w:rPr>
              <w:t>Vizualumo.</w:t>
            </w:r>
          </w:p>
          <w:p w14:paraId="715D79D9" w14:textId="5301FA85" w:rsidR="006A1479" w:rsidRPr="0046501A" w:rsidRDefault="006A1479" w:rsidP="006A1479">
            <w:pPr>
              <w:widowControl w:val="0"/>
              <w:spacing w:line="240" w:lineRule="auto"/>
            </w:pPr>
            <w:r w:rsidRPr="00EC7334">
              <w:t>Vertinama, kaip išpildyti vizualiniai sprendiniai, jų dermė su ekspozicijos tema, dizaino vieningumas, originalumas ir estetiškumas</w:t>
            </w:r>
            <w:r w:rsidRPr="0046501A">
              <w:t xml:space="preserve"> (nuo </w:t>
            </w:r>
            <w:r>
              <w:t>1</w:t>
            </w:r>
            <w:r w:rsidRPr="0046501A">
              <w:t xml:space="preserve"> iki 3 balų)</w:t>
            </w:r>
          </w:p>
        </w:tc>
        <w:tc>
          <w:tcPr>
            <w:tcW w:w="2184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2A188041" w14:textId="16471168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r>
              <w:t>25</w:t>
            </w:r>
          </w:p>
        </w:tc>
        <w:tc>
          <w:tcPr>
            <w:tcW w:w="3344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08FD125C" w14:textId="77777777" w:rsidR="006A1479" w:rsidRPr="0046501A" w:rsidRDefault="006A1479" w:rsidP="00642F7B">
            <w:pPr>
              <w:widowControl w:val="0"/>
              <w:spacing w:line="240" w:lineRule="auto"/>
              <w:jc w:val="center"/>
              <w:rPr>
                <w:vertAlign w:val="subscript"/>
              </w:rPr>
            </w:pPr>
            <w:r w:rsidRPr="0046501A">
              <w:t>R</w:t>
            </w:r>
            <w:r w:rsidRPr="0046501A">
              <w:rPr>
                <w:vertAlign w:val="subscript"/>
              </w:rPr>
              <w:t>p2</w:t>
            </w:r>
          </w:p>
          <w:p w14:paraId="6FB6179B" w14:textId="10A16B32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r w:rsidRPr="0046501A">
              <w:t>K</w:t>
            </w:r>
            <w:r w:rsidRPr="0046501A">
              <w:rPr>
                <w:vertAlign w:val="subscript"/>
              </w:rPr>
              <w:t>2</w:t>
            </w:r>
            <w:r w:rsidRPr="0046501A">
              <w:t xml:space="preserve"> = ----- x </w:t>
            </w:r>
            <w:r>
              <w:t>25</w:t>
            </w:r>
          </w:p>
          <w:p w14:paraId="37B47A63" w14:textId="77777777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proofErr w:type="spellStart"/>
            <w:r w:rsidRPr="0046501A">
              <w:t>R</w:t>
            </w:r>
            <w:r w:rsidRPr="0046501A">
              <w:rPr>
                <w:vertAlign w:val="subscript"/>
              </w:rPr>
              <w:t>max</w:t>
            </w:r>
            <w:proofErr w:type="spellEnd"/>
          </w:p>
        </w:tc>
      </w:tr>
      <w:tr w:rsidR="006A1479" w14:paraId="04010DED" w14:textId="77777777" w:rsidTr="00BE26A4">
        <w:tc>
          <w:tcPr>
            <w:tcW w:w="735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112DCB2F" w14:textId="77777777" w:rsidR="006A1479" w:rsidRPr="0046501A" w:rsidRDefault="006A1479" w:rsidP="00642F7B">
            <w:pPr>
              <w:widowControl w:val="0"/>
              <w:spacing w:line="240" w:lineRule="auto"/>
            </w:pPr>
            <w:r w:rsidRPr="0046501A">
              <w:t>3.</w:t>
            </w:r>
          </w:p>
        </w:tc>
        <w:tc>
          <w:tcPr>
            <w:tcW w:w="3366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443835AB" w14:textId="77777777" w:rsidR="006A1479" w:rsidRPr="00EC7334" w:rsidRDefault="006A1479" w:rsidP="006A1479">
            <w:pPr>
              <w:pStyle w:val="Lentelsturinys"/>
              <w:spacing w:after="0" w:line="288" w:lineRule="auto"/>
              <w:jc w:val="both"/>
              <w:rPr>
                <w:b/>
                <w:bCs/>
              </w:rPr>
            </w:pPr>
            <w:r w:rsidRPr="0046501A">
              <w:rPr>
                <w:b/>
              </w:rPr>
              <w:t>K</w:t>
            </w:r>
            <w:r>
              <w:rPr>
                <w:b/>
              </w:rPr>
              <w:t>3</w:t>
            </w:r>
            <w:r w:rsidRPr="0046501A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proofErr w:type="spellStart"/>
            <w:r w:rsidRPr="00EC7334">
              <w:rPr>
                <w:b/>
                <w:bCs/>
              </w:rPr>
              <w:t>Scenarij</w:t>
            </w:r>
            <w:proofErr w:type="spellEnd"/>
            <w:r w:rsidRPr="00EC7334">
              <w:rPr>
                <w:b/>
                <w:bCs/>
                <w:lang w:val="fi-FI"/>
              </w:rPr>
              <w:t>aus</w:t>
            </w:r>
            <w:r w:rsidRPr="00EC7334">
              <w:rPr>
                <w:b/>
                <w:bCs/>
              </w:rPr>
              <w:t>.</w:t>
            </w:r>
          </w:p>
          <w:p w14:paraId="3B6FC00E" w14:textId="77777777" w:rsidR="006A1479" w:rsidRPr="00EC7334" w:rsidRDefault="006A1479" w:rsidP="006A1479">
            <w:pPr>
              <w:pStyle w:val="Lentelsturinys"/>
              <w:spacing w:after="0" w:line="288" w:lineRule="auto"/>
              <w:jc w:val="both"/>
            </w:pPr>
            <w:r w:rsidRPr="00EC7334">
              <w:t>Meniniai / istoriniai – scenarijai. Kiekvienai audiovizualinei daliai.</w:t>
            </w:r>
          </w:p>
          <w:p w14:paraId="24D87FA6" w14:textId="4927B83F" w:rsidR="006A1479" w:rsidRPr="0046501A" w:rsidRDefault="006A1479" w:rsidP="006A1479">
            <w:pPr>
              <w:widowControl w:val="0"/>
              <w:spacing w:line="240" w:lineRule="auto"/>
            </w:pPr>
            <w:r w:rsidRPr="00EC7334">
              <w:t>Kiek scenarijus menine ir istorine prasme sprendžia projekto užduotis. Ar ir kaip aprašymas (scenarijus) meniškai ir emociškai įtaigiai perteikia atitinkamo istorinio laikotarpio dvasią</w:t>
            </w:r>
            <w:r w:rsidRPr="0046501A">
              <w:rPr>
                <w:b/>
              </w:rPr>
              <w:br/>
            </w:r>
            <w:r w:rsidRPr="0046501A">
              <w:t>(nuo 0 iki 3 balų)</w:t>
            </w:r>
          </w:p>
        </w:tc>
        <w:tc>
          <w:tcPr>
            <w:tcW w:w="2184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20A5D847" w14:textId="3DE4935D" w:rsidR="006A1479" w:rsidRPr="0046501A" w:rsidRDefault="007C27E3" w:rsidP="0064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  <w:r w:rsidR="006A1479">
              <w:t>5</w:t>
            </w:r>
          </w:p>
        </w:tc>
        <w:tc>
          <w:tcPr>
            <w:tcW w:w="3344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1566CE86" w14:textId="77777777" w:rsidR="006A1479" w:rsidRPr="0046501A" w:rsidRDefault="006A1479" w:rsidP="00642F7B">
            <w:pPr>
              <w:widowControl w:val="0"/>
              <w:spacing w:line="240" w:lineRule="auto"/>
              <w:jc w:val="center"/>
              <w:rPr>
                <w:vertAlign w:val="subscript"/>
              </w:rPr>
            </w:pPr>
            <w:r w:rsidRPr="0046501A">
              <w:t>R</w:t>
            </w:r>
            <w:r w:rsidRPr="0046501A">
              <w:rPr>
                <w:vertAlign w:val="subscript"/>
              </w:rPr>
              <w:t>p3</w:t>
            </w:r>
          </w:p>
          <w:p w14:paraId="240D9D09" w14:textId="77777777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r w:rsidRPr="0046501A">
              <w:t>K</w:t>
            </w:r>
            <w:r w:rsidRPr="0046501A">
              <w:rPr>
                <w:vertAlign w:val="subscript"/>
              </w:rPr>
              <w:t>3</w:t>
            </w:r>
            <w:r w:rsidRPr="0046501A">
              <w:t xml:space="preserve"> = ----- x </w:t>
            </w:r>
            <w:r>
              <w:t>15</w:t>
            </w:r>
          </w:p>
          <w:p w14:paraId="394E1825" w14:textId="77777777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proofErr w:type="spellStart"/>
            <w:r w:rsidRPr="0046501A">
              <w:t>R</w:t>
            </w:r>
            <w:r w:rsidRPr="0046501A">
              <w:rPr>
                <w:vertAlign w:val="subscript"/>
              </w:rPr>
              <w:t>max</w:t>
            </w:r>
            <w:proofErr w:type="spellEnd"/>
          </w:p>
        </w:tc>
      </w:tr>
      <w:tr w:rsidR="006A1479" w14:paraId="7B83CDED" w14:textId="77777777" w:rsidTr="00BE26A4">
        <w:tc>
          <w:tcPr>
            <w:tcW w:w="735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4716EA3A" w14:textId="4A736031" w:rsidR="006A1479" w:rsidRPr="0046501A" w:rsidRDefault="006A1479" w:rsidP="0064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4</w:t>
            </w:r>
            <w:r w:rsidRPr="0046501A">
              <w:t>.</w:t>
            </w:r>
          </w:p>
        </w:tc>
        <w:tc>
          <w:tcPr>
            <w:tcW w:w="3366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5524833E" w14:textId="2EC9D382" w:rsidR="006A1479" w:rsidRPr="0046501A" w:rsidRDefault="006A1479" w:rsidP="00642F7B">
            <w:pPr>
              <w:widowControl w:val="0"/>
              <w:spacing w:line="240" w:lineRule="auto"/>
              <w:rPr>
                <w:b/>
              </w:rPr>
            </w:pPr>
            <w:r w:rsidRPr="0046501A">
              <w:rPr>
                <w:b/>
              </w:rPr>
              <w:t>K</w:t>
            </w:r>
            <w:r>
              <w:rPr>
                <w:b/>
              </w:rPr>
              <w:t>4</w:t>
            </w:r>
            <w:r w:rsidRPr="0046501A">
              <w:rPr>
                <w:b/>
              </w:rPr>
              <w:t xml:space="preserve"> –</w:t>
            </w:r>
            <w:r>
              <w:rPr>
                <w:b/>
              </w:rPr>
              <w:t xml:space="preserve"> K</w:t>
            </w:r>
            <w:r w:rsidRPr="0046501A">
              <w:rPr>
                <w:b/>
              </w:rPr>
              <w:t>aina</w:t>
            </w:r>
          </w:p>
        </w:tc>
        <w:tc>
          <w:tcPr>
            <w:tcW w:w="2184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74CBC8FF" w14:textId="6C2B6F89" w:rsidR="006A1479" w:rsidRPr="0046501A" w:rsidRDefault="006A1479" w:rsidP="0064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  <w:r w:rsidRPr="0046501A">
              <w:t>0</w:t>
            </w:r>
          </w:p>
        </w:tc>
        <w:tc>
          <w:tcPr>
            <w:tcW w:w="3344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48EAD8EB" w14:textId="77777777" w:rsidR="006A1479" w:rsidRPr="0046501A" w:rsidRDefault="006A1479" w:rsidP="00642F7B">
            <w:pPr>
              <w:widowControl w:val="0"/>
              <w:spacing w:line="240" w:lineRule="auto"/>
              <w:jc w:val="center"/>
              <w:rPr>
                <w:vertAlign w:val="subscript"/>
              </w:rPr>
            </w:pPr>
            <w:proofErr w:type="spellStart"/>
            <w:r w:rsidRPr="0046501A">
              <w:t>C</w:t>
            </w:r>
            <w:r w:rsidRPr="0046501A">
              <w:rPr>
                <w:vertAlign w:val="subscript"/>
              </w:rPr>
              <w:t>min</w:t>
            </w:r>
            <w:proofErr w:type="spellEnd"/>
          </w:p>
          <w:p w14:paraId="749099FE" w14:textId="77777777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r w:rsidRPr="0046501A">
              <w:t>K</w:t>
            </w:r>
            <w:r w:rsidRPr="0046501A">
              <w:rPr>
                <w:vertAlign w:val="subscript"/>
              </w:rPr>
              <w:t>5</w:t>
            </w:r>
            <w:r w:rsidRPr="0046501A">
              <w:t xml:space="preserve"> = ----- x 10</w:t>
            </w:r>
          </w:p>
          <w:p w14:paraId="6A709151" w14:textId="77777777" w:rsidR="006A1479" w:rsidRPr="0046501A" w:rsidRDefault="006A1479" w:rsidP="00642F7B">
            <w:pPr>
              <w:widowControl w:val="0"/>
              <w:spacing w:line="240" w:lineRule="auto"/>
              <w:jc w:val="center"/>
            </w:pPr>
            <w:proofErr w:type="spellStart"/>
            <w:r w:rsidRPr="0046501A">
              <w:t>C</w:t>
            </w:r>
            <w:r w:rsidRPr="0046501A">
              <w:rPr>
                <w:vertAlign w:val="subscript"/>
              </w:rPr>
              <w:t>p</w:t>
            </w:r>
            <w:proofErr w:type="spellEnd"/>
          </w:p>
        </w:tc>
      </w:tr>
      <w:tr w:rsidR="006A1479" w14:paraId="0A454D93" w14:textId="77777777" w:rsidTr="00BE26A4">
        <w:tc>
          <w:tcPr>
            <w:tcW w:w="735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0A8006D2" w14:textId="77777777" w:rsidR="006A1479" w:rsidRPr="0046501A" w:rsidRDefault="006A1479" w:rsidP="0064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6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6C92545E" w14:textId="77777777" w:rsidR="006A1479" w:rsidRPr="0046501A" w:rsidRDefault="006A1479" w:rsidP="0064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84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44BB8F30" w14:textId="77777777" w:rsidR="006A1479" w:rsidRPr="0046501A" w:rsidRDefault="006A1479" w:rsidP="0064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46501A">
              <w:t>Ʃ 100</w:t>
            </w:r>
          </w:p>
        </w:tc>
        <w:tc>
          <w:tcPr>
            <w:tcW w:w="3344" w:type="dxa"/>
            <w:tcMar>
              <w:top w:w="93" w:type="dxa"/>
              <w:left w:w="93" w:type="dxa"/>
              <w:bottom w:w="93" w:type="dxa"/>
              <w:right w:w="93" w:type="dxa"/>
            </w:tcMar>
            <w:vAlign w:val="center"/>
          </w:tcPr>
          <w:p w14:paraId="6A70F3C9" w14:textId="77777777" w:rsidR="006A1479" w:rsidRPr="0046501A" w:rsidRDefault="006A1479" w:rsidP="0064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A1479" w:rsidRPr="00B43CDE" w14:paraId="65156540" w14:textId="77777777" w:rsidTr="006A1479">
        <w:trPr>
          <w:trHeight w:val="420"/>
        </w:trPr>
        <w:tc>
          <w:tcPr>
            <w:tcW w:w="962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B4EE" w14:textId="77777777" w:rsidR="006A1479" w:rsidRPr="0046501A" w:rsidRDefault="006A1479" w:rsidP="00642F7B">
            <w:pPr>
              <w:widowControl w:val="0"/>
              <w:spacing w:line="240" w:lineRule="auto"/>
            </w:pPr>
            <w:r w:rsidRPr="0046501A">
              <w:rPr>
                <w:i/>
              </w:rPr>
              <w:t>Pastabos</w:t>
            </w:r>
            <w:r w:rsidRPr="0046501A">
              <w:t>:</w:t>
            </w:r>
          </w:p>
          <w:p w14:paraId="714CB000" w14:textId="6579A2C8" w:rsidR="006A1479" w:rsidRPr="0046501A" w:rsidRDefault="006A1479" w:rsidP="006A1479">
            <w:pPr>
              <w:widowControl w:val="0"/>
              <w:numPr>
                <w:ilvl w:val="0"/>
                <w:numId w:val="3"/>
              </w:numPr>
              <w:tabs>
                <w:tab w:val="left" w:pos="630"/>
              </w:tabs>
              <w:suppressAutoHyphens w:val="0"/>
              <w:spacing w:after="0" w:line="240" w:lineRule="auto"/>
              <w:ind w:left="630" w:hanging="630"/>
              <w:jc w:val="both"/>
            </w:pPr>
            <w:r w:rsidRPr="0046501A">
              <w:t xml:space="preserve">Atliekant </w:t>
            </w:r>
            <w:r>
              <w:t xml:space="preserve">vertinimą </w:t>
            </w:r>
            <w:r w:rsidRPr="0046501A">
              <w:t>pagal vertinimo kriterijus K1–K</w:t>
            </w:r>
            <w:r>
              <w:t>4</w:t>
            </w:r>
            <w:r w:rsidRPr="0046501A">
              <w:t xml:space="preserve"> skaičiavimus, skaičiavimai nurodomi dviejų skaičių po kablelio tikslumu.</w:t>
            </w:r>
          </w:p>
          <w:p w14:paraId="3EFF77B5" w14:textId="69C41686" w:rsidR="006A1479" w:rsidRPr="0046501A" w:rsidRDefault="006A1479" w:rsidP="006A1479">
            <w:pPr>
              <w:widowControl w:val="0"/>
              <w:numPr>
                <w:ilvl w:val="0"/>
                <w:numId w:val="3"/>
              </w:numPr>
              <w:tabs>
                <w:tab w:val="left" w:pos="630"/>
              </w:tabs>
              <w:suppressAutoHyphens w:val="0"/>
              <w:spacing w:after="0" w:line="240" w:lineRule="auto"/>
              <w:ind w:left="630" w:hanging="630"/>
              <w:jc w:val="both"/>
            </w:pPr>
            <w:r w:rsidRPr="0046501A">
              <w:t>Vertinimo kriterijų K1–K</w:t>
            </w:r>
            <w:r>
              <w:t>3</w:t>
            </w:r>
            <w:r w:rsidRPr="0046501A">
              <w:t xml:space="preserve"> balai skiriami </w:t>
            </w:r>
            <w:r w:rsidRPr="00796EBB">
              <w:t xml:space="preserve">vadovaujantis </w:t>
            </w:r>
            <w:r>
              <w:t xml:space="preserve">3 </w:t>
            </w:r>
            <w:r w:rsidRPr="00796EBB">
              <w:t>punkte pateiktais vertinimo balų apibrėžimais.</w:t>
            </w:r>
          </w:p>
          <w:p w14:paraId="69A020BC" w14:textId="1C70D4F7" w:rsidR="006A1479" w:rsidRPr="009E5CAE" w:rsidRDefault="006A1479" w:rsidP="006A1479">
            <w:pPr>
              <w:widowControl w:val="0"/>
              <w:numPr>
                <w:ilvl w:val="0"/>
                <w:numId w:val="3"/>
              </w:numPr>
              <w:tabs>
                <w:tab w:val="left" w:pos="630"/>
              </w:tabs>
              <w:suppressAutoHyphens w:val="0"/>
              <w:spacing w:after="0" w:line="240" w:lineRule="auto"/>
              <w:ind w:left="630" w:hanging="630"/>
              <w:jc w:val="both"/>
            </w:pPr>
            <w:r w:rsidRPr="009E5CAE">
              <w:t>Vertinimo kriterijaus K</w:t>
            </w:r>
            <w:r>
              <w:t>4</w:t>
            </w:r>
            <w:r w:rsidRPr="009E5CAE">
              <w:t xml:space="preserve"> balai apskaičiuojami vadovaujantis tiekėjo pateiktu kainos pasiūlymu, pateiktu pagal konkurso sąlygų </w:t>
            </w:r>
            <w:r>
              <w:t>6</w:t>
            </w:r>
            <w:r w:rsidRPr="009E5CAE">
              <w:t xml:space="preserve"> priede „CVP IS Voke 1 pateikiami dokumentai“ pateiktą dokumentą „Kainos pasiūlymas“.</w:t>
            </w:r>
          </w:p>
          <w:p w14:paraId="3F14BF2A" w14:textId="77777777" w:rsidR="006A1479" w:rsidRPr="0046501A" w:rsidRDefault="006A1479" w:rsidP="00642F7B">
            <w:pPr>
              <w:widowControl w:val="0"/>
              <w:tabs>
                <w:tab w:val="left" w:pos="630"/>
              </w:tabs>
              <w:spacing w:line="240" w:lineRule="auto"/>
              <w:ind w:firstLine="630"/>
            </w:pPr>
            <w:r w:rsidRPr="009E5CAE">
              <w:t>Čia:</w:t>
            </w:r>
          </w:p>
          <w:p w14:paraId="19F67332" w14:textId="550142CE" w:rsidR="006A1479" w:rsidRPr="0046501A" w:rsidRDefault="006A1479" w:rsidP="006A1479">
            <w:pPr>
              <w:widowControl w:val="0"/>
              <w:numPr>
                <w:ilvl w:val="0"/>
                <w:numId w:val="4"/>
              </w:numPr>
              <w:tabs>
                <w:tab w:val="left" w:pos="630"/>
              </w:tabs>
              <w:suppressAutoHyphens w:val="0"/>
              <w:spacing w:after="0" w:line="240" w:lineRule="auto"/>
              <w:ind w:left="630" w:hanging="630"/>
              <w:jc w:val="both"/>
            </w:pPr>
            <w:proofErr w:type="spellStart"/>
            <w:r w:rsidRPr="0046501A">
              <w:rPr>
                <w:b/>
              </w:rPr>
              <w:t>K</w:t>
            </w:r>
            <w:r w:rsidRPr="0046501A">
              <w:rPr>
                <w:b/>
                <w:vertAlign w:val="subscript"/>
              </w:rPr>
              <w:t>x</w:t>
            </w:r>
            <w:proofErr w:type="spellEnd"/>
            <w:r w:rsidRPr="0046501A">
              <w:rPr>
                <w:b/>
              </w:rPr>
              <w:t xml:space="preserve"> (K</w:t>
            </w:r>
            <w:r w:rsidRPr="0046501A">
              <w:rPr>
                <w:b/>
                <w:vertAlign w:val="subscript"/>
              </w:rPr>
              <w:t>1</w:t>
            </w:r>
            <w:r w:rsidRPr="0046501A">
              <w:rPr>
                <w:b/>
              </w:rPr>
              <w:t>–K</w:t>
            </w:r>
            <w:r>
              <w:rPr>
                <w:b/>
                <w:vertAlign w:val="subscript"/>
              </w:rPr>
              <w:t>4</w:t>
            </w:r>
            <w:r w:rsidRPr="0046501A">
              <w:rPr>
                <w:b/>
              </w:rPr>
              <w:t>)</w:t>
            </w:r>
            <w:r w:rsidRPr="0046501A">
              <w:t xml:space="preserve"> – vertinimo kriterijus;</w:t>
            </w:r>
          </w:p>
          <w:p w14:paraId="1EADFCD7" w14:textId="5C13906C" w:rsidR="006A1479" w:rsidRPr="0046501A" w:rsidRDefault="006A1479" w:rsidP="006A1479">
            <w:pPr>
              <w:widowControl w:val="0"/>
              <w:numPr>
                <w:ilvl w:val="0"/>
                <w:numId w:val="4"/>
              </w:numPr>
              <w:tabs>
                <w:tab w:val="left" w:pos="630"/>
              </w:tabs>
              <w:suppressAutoHyphens w:val="0"/>
              <w:spacing w:after="0" w:line="240" w:lineRule="auto"/>
              <w:ind w:left="630" w:hanging="630"/>
              <w:jc w:val="both"/>
            </w:pPr>
            <w:proofErr w:type="spellStart"/>
            <w:r w:rsidRPr="0046501A">
              <w:rPr>
                <w:b/>
              </w:rPr>
              <w:t>R</w:t>
            </w:r>
            <w:r w:rsidRPr="0046501A">
              <w:rPr>
                <w:b/>
                <w:vertAlign w:val="subscript"/>
              </w:rPr>
              <w:t>px</w:t>
            </w:r>
            <w:proofErr w:type="spellEnd"/>
            <w:r w:rsidRPr="0046501A">
              <w:rPr>
                <w:b/>
              </w:rPr>
              <w:t xml:space="preserve"> (R</w:t>
            </w:r>
            <w:r w:rsidRPr="0046501A">
              <w:rPr>
                <w:b/>
                <w:vertAlign w:val="subscript"/>
              </w:rPr>
              <w:t>p1</w:t>
            </w:r>
            <w:r w:rsidRPr="0046501A">
              <w:rPr>
                <w:b/>
              </w:rPr>
              <w:t>–Rp</w:t>
            </w:r>
            <w:r>
              <w:rPr>
                <w:b/>
                <w:vertAlign w:val="subscript"/>
              </w:rPr>
              <w:t>3</w:t>
            </w:r>
            <w:r w:rsidRPr="0046501A">
              <w:rPr>
                <w:b/>
              </w:rPr>
              <w:t>)</w:t>
            </w:r>
            <w:r w:rsidRPr="0046501A">
              <w:t xml:space="preserve"> – vertinamo parametro (vertinimo kriterijaus) reikšmė, kurią sudaro vertinimo metu parametrui suteiktų balų vidurkis, t. y. kiekvienas vertinimo komisijos narys, vertindamas parametro atitikimą konkurso sąlygų nustatytiems reikalavimams (pagal vertinimo kriterijus </w:t>
            </w:r>
            <w:proofErr w:type="spellStart"/>
            <w:r w:rsidRPr="0046501A">
              <w:t>K</w:t>
            </w:r>
            <w:r w:rsidRPr="0046501A">
              <w:rPr>
                <w:vertAlign w:val="subscript"/>
              </w:rPr>
              <w:t>x</w:t>
            </w:r>
            <w:proofErr w:type="spellEnd"/>
            <w:r w:rsidRPr="0046501A">
              <w:t xml:space="preserve"> (K</w:t>
            </w:r>
            <w:r w:rsidRPr="0046501A">
              <w:rPr>
                <w:vertAlign w:val="subscript"/>
              </w:rPr>
              <w:t>1</w:t>
            </w:r>
            <w:r w:rsidRPr="0046501A">
              <w:t>–K</w:t>
            </w:r>
            <w:r>
              <w:rPr>
                <w:vertAlign w:val="subscript"/>
              </w:rPr>
              <w:t>3</w:t>
            </w:r>
            <w:r w:rsidRPr="0046501A">
              <w:t xml:space="preserve">)), suteikia parametrui tam tikrą įvertinimo balą; visų vertinimo komisijos narių suteikti balai yra sumuojami ir apskaičiuojamas įvertinimo parametro vidurkis </w:t>
            </w:r>
            <w:proofErr w:type="spellStart"/>
            <w:r w:rsidRPr="0046501A">
              <w:t>R</w:t>
            </w:r>
            <w:r w:rsidRPr="0046501A">
              <w:rPr>
                <w:vertAlign w:val="subscript"/>
              </w:rPr>
              <w:t>px</w:t>
            </w:r>
            <w:proofErr w:type="spellEnd"/>
            <w:r w:rsidRPr="0046501A">
              <w:t xml:space="preserve"> (R</w:t>
            </w:r>
            <w:r w:rsidRPr="0046501A">
              <w:rPr>
                <w:vertAlign w:val="subscript"/>
              </w:rPr>
              <w:t>p1</w:t>
            </w:r>
            <w:r w:rsidRPr="0046501A">
              <w:t>–R</w:t>
            </w:r>
            <w:r w:rsidRPr="0046501A">
              <w:rPr>
                <w:vertAlign w:val="subscript"/>
              </w:rPr>
              <w:t>p</w:t>
            </w:r>
            <w:r>
              <w:rPr>
                <w:vertAlign w:val="subscript"/>
              </w:rPr>
              <w:t>3</w:t>
            </w:r>
            <w:r w:rsidRPr="0046501A">
              <w:t>);</w:t>
            </w:r>
          </w:p>
          <w:p w14:paraId="13C97603" w14:textId="77777777" w:rsidR="006A1479" w:rsidRPr="0046501A" w:rsidRDefault="006A1479" w:rsidP="006A1479">
            <w:pPr>
              <w:widowControl w:val="0"/>
              <w:numPr>
                <w:ilvl w:val="0"/>
                <w:numId w:val="4"/>
              </w:numPr>
              <w:tabs>
                <w:tab w:val="left" w:pos="630"/>
              </w:tabs>
              <w:suppressAutoHyphens w:val="0"/>
              <w:spacing w:after="0" w:line="240" w:lineRule="auto"/>
              <w:ind w:left="630" w:hanging="630"/>
              <w:jc w:val="both"/>
            </w:pPr>
            <w:proofErr w:type="spellStart"/>
            <w:r w:rsidRPr="0046501A">
              <w:rPr>
                <w:b/>
              </w:rPr>
              <w:t>R</w:t>
            </w:r>
            <w:r w:rsidRPr="0046501A">
              <w:rPr>
                <w:b/>
                <w:vertAlign w:val="subscript"/>
              </w:rPr>
              <w:t>max</w:t>
            </w:r>
            <w:proofErr w:type="spellEnd"/>
            <w:r w:rsidRPr="0046501A">
              <w:t xml:space="preserve"> – geriausia galima to paties vertinimo kriterijaus reikšmė, t. y. 3 (trys) balai;</w:t>
            </w:r>
          </w:p>
          <w:p w14:paraId="32C10385" w14:textId="75986BCD" w:rsidR="006A1479" w:rsidRPr="0046501A" w:rsidRDefault="006A1479" w:rsidP="006A1479">
            <w:pPr>
              <w:widowControl w:val="0"/>
              <w:numPr>
                <w:ilvl w:val="0"/>
                <w:numId w:val="4"/>
              </w:numPr>
              <w:tabs>
                <w:tab w:val="left" w:pos="630"/>
              </w:tabs>
              <w:suppressAutoHyphens w:val="0"/>
              <w:spacing w:after="0" w:line="240" w:lineRule="auto"/>
              <w:ind w:left="630" w:hanging="630"/>
              <w:jc w:val="both"/>
            </w:pPr>
            <w:proofErr w:type="spellStart"/>
            <w:r w:rsidRPr="0046501A">
              <w:rPr>
                <w:b/>
              </w:rPr>
              <w:t>C</w:t>
            </w:r>
            <w:r w:rsidRPr="0046501A">
              <w:rPr>
                <w:b/>
                <w:vertAlign w:val="subscript"/>
              </w:rPr>
              <w:t>min</w:t>
            </w:r>
            <w:proofErr w:type="spellEnd"/>
            <w:r w:rsidRPr="0046501A">
              <w:t xml:space="preserve"> – mažiausia iš visų pasiūlytų tiekėjų kainų (Eur be PVM);</w:t>
            </w:r>
          </w:p>
          <w:p w14:paraId="31B0C229" w14:textId="736C9F3D" w:rsidR="006A1479" w:rsidRPr="0046501A" w:rsidRDefault="006A1479" w:rsidP="006A147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0"/>
              </w:tabs>
              <w:suppressAutoHyphens w:val="0"/>
              <w:spacing w:after="0" w:line="240" w:lineRule="auto"/>
              <w:ind w:left="630" w:hanging="630"/>
              <w:jc w:val="both"/>
            </w:pPr>
            <w:proofErr w:type="spellStart"/>
            <w:r w:rsidRPr="0046501A">
              <w:rPr>
                <w:b/>
              </w:rPr>
              <w:t>C</w:t>
            </w:r>
            <w:r w:rsidRPr="0046501A">
              <w:rPr>
                <w:b/>
                <w:vertAlign w:val="subscript"/>
              </w:rPr>
              <w:t>p</w:t>
            </w:r>
            <w:proofErr w:type="spellEnd"/>
            <w:r w:rsidRPr="0046501A">
              <w:t xml:space="preserve"> – vertinamo pasiūlymo tiekėjo paslaugų kaina (Eur be PVM).</w:t>
            </w:r>
          </w:p>
        </w:tc>
      </w:tr>
    </w:tbl>
    <w:p w14:paraId="7FA48F3E" w14:textId="77777777" w:rsidR="00DC6FC9" w:rsidRPr="00EC7334" w:rsidRDefault="00000000" w:rsidP="00BE26A4">
      <w:pPr>
        <w:pStyle w:val="Pagrindinistekstas"/>
        <w:spacing w:after="0" w:line="240" w:lineRule="auto"/>
        <w:jc w:val="both"/>
      </w:pPr>
      <w:r w:rsidRPr="00EC7334">
        <w:t>Pasiūlymų vertinimas vyksta naudojant šiame dokumente pateiktas pasiūlymų vertinimo kriterijus: </w:t>
      </w:r>
    </w:p>
    <w:p w14:paraId="67184C1C" w14:textId="77777777" w:rsidR="00DC6FC9" w:rsidRPr="008350FF" w:rsidRDefault="00000000" w:rsidP="00BE26A4">
      <w:pPr>
        <w:pStyle w:val="Pagrindinistekstas"/>
        <w:numPr>
          <w:ilvl w:val="1"/>
          <w:numId w:val="1"/>
        </w:numPr>
        <w:tabs>
          <w:tab w:val="left" w:pos="0"/>
        </w:tabs>
        <w:spacing w:after="0" w:line="240" w:lineRule="auto"/>
        <w:jc w:val="both"/>
      </w:pPr>
      <w:r w:rsidRPr="00EC7334">
        <w:t xml:space="preserve"> kiekvienas vertintojas vertina pasiūlymo techninius duomenis ir įvertina kiekvieną pasiūlymo atitikimo techninėje specifikacijoje suformuluotiems reikalavimams vertinimo kriterijaus parametrą balais nuo 1 </w:t>
      </w:r>
      <w:r w:rsidRPr="008350FF">
        <w:t>iki 3; </w:t>
      </w:r>
    </w:p>
    <w:p w14:paraId="2A2CC17D" w14:textId="02DB178F" w:rsidR="00DC6FC9" w:rsidRPr="008350FF" w:rsidRDefault="00000000" w:rsidP="00BE26A4">
      <w:pPr>
        <w:pStyle w:val="Pagrindinistekstas"/>
        <w:numPr>
          <w:ilvl w:val="1"/>
          <w:numId w:val="1"/>
        </w:numPr>
        <w:tabs>
          <w:tab w:val="left" w:pos="0"/>
        </w:tabs>
        <w:spacing w:after="0" w:line="240" w:lineRule="auto"/>
        <w:jc w:val="both"/>
      </w:pPr>
      <w:r w:rsidRPr="008350FF">
        <w:t xml:space="preserve">kiekvienam parametrui apskaičiuojamas </w:t>
      </w:r>
      <w:r w:rsidRPr="00B444CA">
        <w:t>vertinimo vidurkis. Jeigu ekspertų vertinimų aritmetinis vidurkis bet kuriame ekspertų vertinamame kriterijuje (pagal nurodytus kriterijus lentelėje) yra lygus 1, pasiūlymas atmetamas.</w:t>
      </w:r>
    </w:p>
    <w:p w14:paraId="1207A0CB" w14:textId="114BE8DC" w:rsidR="00DC6FC9" w:rsidRPr="00EC7334" w:rsidRDefault="00000000" w:rsidP="00BE26A4">
      <w:pPr>
        <w:pStyle w:val="Pagrindinistekstas"/>
        <w:numPr>
          <w:ilvl w:val="1"/>
          <w:numId w:val="1"/>
        </w:numPr>
        <w:tabs>
          <w:tab w:val="left" w:pos="0"/>
        </w:tabs>
        <w:spacing w:after="0" w:line="240" w:lineRule="auto"/>
        <w:jc w:val="both"/>
      </w:pPr>
      <w:r w:rsidRPr="00EC7334">
        <w:t>Siekiant palengvinti vertinimą ir suvienodinti galimas kriterijaus balų interpretacijas, sudaryta 3 balų skalė – 1 (silpnai); 2 (gerai); 3 (puikiai). Žemiau pateikiamas ekspertinio vertinimo pagal ekonominio naudingumo kriterijus aprašymas. </w:t>
      </w:r>
    </w:p>
    <w:tbl>
      <w:tblPr>
        <w:tblW w:w="9264" w:type="dxa"/>
        <w:tblInd w:w="177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45"/>
        <w:gridCol w:w="2281"/>
        <w:gridCol w:w="2434"/>
        <w:gridCol w:w="2604"/>
      </w:tblGrid>
      <w:tr w:rsidR="00DC6FC9" w:rsidRPr="00EC7334" w14:paraId="4EFAB7C8" w14:textId="77777777" w:rsidTr="008350FF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510E" w14:textId="77777777" w:rsidR="00DC6FC9" w:rsidRPr="00EC7334" w:rsidRDefault="00000000">
            <w:pPr>
              <w:pStyle w:val="Lentelsturinys"/>
              <w:spacing w:after="0" w:line="240" w:lineRule="auto"/>
              <w:jc w:val="center"/>
            </w:pPr>
            <w:bookmarkStart w:id="1" w:name="_Hlk209530673"/>
            <w:r w:rsidRPr="00EC7334">
              <w:t>Parametrai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609A" w14:textId="77777777" w:rsidR="00DC6FC9" w:rsidRPr="00EC7334" w:rsidRDefault="00000000">
            <w:pPr>
              <w:pStyle w:val="Lentelsturinys"/>
              <w:spacing w:after="0" w:line="240" w:lineRule="auto"/>
              <w:jc w:val="center"/>
            </w:pPr>
            <w:r w:rsidRPr="00EC7334">
              <w:t>Puikiai</w:t>
            </w:r>
          </w:p>
          <w:p w14:paraId="1DE0B79C" w14:textId="77777777" w:rsidR="00DC6FC9" w:rsidRPr="00EC7334" w:rsidRDefault="00000000">
            <w:pPr>
              <w:pStyle w:val="Lentelsturinys"/>
              <w:spacing w:after="0" w:line="240" w:lineRule="auto"/>
              <w:jc w:val="center"/>
            </w:pPr>
            <w:r w:rsidRPr="00EC7334">
              <w:t>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8FF9" w14:textId="77777777" w:rsidR="00DC6FC9" w:rsidRPr="00EC7334" w:rsidRDefault="00000000">
            <w:pPr>
              <w:pStyle w:val="Lentelsturinys"/>
              <w:spacing w:after="0" w:line="240" w:lineRule="auto"/>
              <w:jc w:val="center"/>
            </w:pPr>
            <w:r w:rsidRPr="00EC7334">
              <w:t>Gerai</w:t>
            </w:r>
          </w:p>
          <w:p w14:paraId="37D0150E" w14:textId="77777777" w:rsidR="00DC6FC9" w:rsidRPr="00EC7334" w:rsidRDefault="00000000">
            <w:pPr>
              <w:pStyle w:val="Lentelsturinys"/>
              <w:spacing w:after="0" w:line="240" w:lineRule="auto"/>
              <w:jc w:val="center"/>
            </w:pPr>
            <w:r w:rsidRPr="00EC7334"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8C82" w14:textId="77777777" w:rsidR="00DC6FC9" w:rsidRPr="00EC7334" w:rsidRDefault="00000000">
            <w:pPr>
              <w:pStyle w:val="Lentelsturinys"/>
              <w:spacing w:after="0" w:line="240" w:lineRule="auto"/>
              <w:jc w:val="center"/>
            </w:pPr>
            <w:r w:rsidRPr="00EC7334">
              <w:t>Silpnai/Labai silpnai</w:t>
            </w:r>
          </w:p>
          <w:p w14:paraId="434F2993" w14:textId="77777777" w:rsidR="00DC6FC9" w:rsidRPr="00EC7334" w:rsidRDefault="00000000">
            <w:pPr>
              <w:pStyle w:val="Lentelsturinys"/>
              <w:spacing w:after="0" w:line="240" w:lineRule="auto"/>
              <w:jc w:val="center"/>
            </w:pPr>
            <w:r w:rsidRPr="00EC7334">
              <w:t>1</w:t>
            </w:r>
          </w:p>
        </w:tc>
      </w:tr>
      <w:tr w:rsidR="00DC6FC9" w:rsidRPr="00EC7334" w14:paraId="65210C19" w14:textId="77777777" w:rsidTr="008350FF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329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Konceptualumo, </w:t>
            </w:r>
          </w:p>
          <w:p w14:paraId="784224A7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temos atskleidimo 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13AE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Ekspozicijos idėja išpildyta  savitai ir unikaliai, jos sprendiniai originalūs, aiškiai atspindi Tiekėjo savarankiškos intelektinės ir kūrybinės veiklos rezultatą.</w:t>
            </w:r>
          </w:p>
          <w:p w14:paraId="3850BB2D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lastRenderedPageBreak/>
              <w:t>- Pagrindinė tema aiškiai atskleista.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7356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lastRenderedPageBreak/>
              <w:t xml:space="preserve">- Ekspozicijos koncepcijos išpildyme yra savitų ir originalių aspektų, tačiau jų nėra daug, koncepcijos sprendiniams trūksta išradingumo, naujumo, unikalumo. Tiekėjo pastangos gana vidutiniškos </w:t>
            </w:r>
            <w:r w:rsidRPr="00EC7334">
              <w:lastRenderedPageBreak/>
              <w:t>kūrybiniam rezultatui pasiekti.</w:t>
            </w:r>
          </w:p>
          <w:p w14:paraId="2D3A5062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Pagrindinė tema atskleista iš dalies;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8489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lastRenderedPageBreak/>
              <w:t>- Ekspozicijos koncepcijos išpildyme nėra savitų ir originalių aspektų, koncepcijos sprendiniuose nėra išradingumo, naujumo, unikalumo požymių.</w:t>
            </w:r>
          </w:p>
          <w:p w14:paraId="472B59CE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 xml:space="preserve">- Pagrindinė tema neatskleista arba perrašytos iš pirkimo </w:t>
            </w:r>
            <w:r w:rsidRPr="00EC7334">
              <w:lastRenderedPageBreak/>
              <w:t>sąlygose pateiktos informacijos.</w:t>
            </w:r>
          </w:p>
        </w:tc>
      </w:tr>
      <w:tr w:rsidR="00DC6FC9" w:rsidRPr="00EC7334" w14:paraId="49AED0AA" w14:textId="77777777" w:rsidTr="008350FF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1A3C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lastRenderedPageBreak/>
              <w:t>Vizualumo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5301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Ekspozicijos vizualiniai sprendiniai originalūs ir estetiški.</w:t>
            </w:r>
          </w:p>
          <w:p w14:paraId="3ED613B9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Ekspozicijos ir audiovizualinių sprendimų dizainas –   vieningas.</w:t>
            </w:r>
            <w:r w:rsidRPr="00EC7334">
              <w:br/>
              <w:t>- Siūlomi vizualiniai ir erdviniai sprendiniai puikiai perteikia ir atskleidžia ekspozicijos temą.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6930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Ekspozicijos vizualiniai ir erdviniai sprendiniai iš dalies originalūs ir estetiški.</w:t>
            </w:r>
          </w:p>
          <w:p w14:paraId="0B332D22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Audiovizualinių sprendimų dizainas iš dalies vieningas.</w:t>
            </w:r>
          </w:p>
          <w:p w14:paraId="45572AE6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Siūlomi vizualiniai ir erdviniai sprendiniai tik dalinai perteikia ir atskleidžia ekspozicijos temą.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8036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 xml:space="preserve">- Ekspozicijos vizualiniai ir erdviniai sprendiniai neoriginalūs ir nepakankamai patrauklūs, jie tik </w:t>
            </w:r>
            <w:proofErr w:type="spellStart"/>
            <w:r w:rsidRPr="00EC7334">
              <w:t>paviršutinai</w:t>
            </w:r>
            <w:proofErr w:type="spellEnd"/>
            <w:r w:rsidRPr="00EC7334">
              <w:t xml:space="preserve"> atitinka ar visai neatitinka techninėje specifikacijoje jiems keliamų reikalavimų.</w:t>
            </w:r>
          </w:p>
          <w:p w14:paraId="1FE47C79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Audiovizualinių sprendimų dizainas  nevieningas.</w:t>
            </w:r>
          </w:p>
          <w:p w14:paraId="1B87F42B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 xml:space="preserve">- Siūlomi vizualiniai ir erdviniai sprendiniai neturi ryšio arba </w:t>
            </w:r>
            <w:proofErr w:type="spellStart"/>
            <w:r w:rsidRPr="00EC7334">
              <w:t>disonuoja</w:t>
            </w:r>
            <w:proofErr w:type="spellEnd"/>
            <w:r w:rsidRPr="00EC7334">
              <w:t xml:space="preserve"> su ekspozicijos tema, nepadeda geriau jos suprasti ar net skatina klaidingą supratimą.</w:t>
            </w:r>
          </w:p>
        </w:tc>
      </w:tr>
      <w:tr w:rsidR="00DC6FC9" w:rsidRPr="00EC7334" w14:paraId="1D6809E7" w14:textId="77777777" w:rsidTr="008350FF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8B1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Scenarijaus 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AD76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Pateikti meniniai / istoriniai scenarijai  įtaigiai perteikia idėjos turinį ir daro stiprų emocinį poveikį lankytojui.</w:t>
            </w:r>
          </w:p>
          <w:p w14:paraId="0C695592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Scenarijus menine ir istorine prasme atitinka projekto užduotis, emociškai įtaigiai perteikiama istorinio laikotarpio dvasia.</w:t>
            </w:r>
          </w:p>
          <w:p w14:paraId="40048360" w14:textId="77777777" w:rsidR="00DC6FC9" w:rsidRPr="00EC7334" w:rsidRDefault="00DC6FC9">
            <w:pPr>
              <w:pStyle w:val="Lentelsturinys"/>
              <w:spacing w:after="0" w:line="240" w:lineRule="auto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E2B4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Pateikti meniniai / istoriniai scenarijai  perteikia idėjos turinį tačiau nėra įtaigūs, gali padaryti tik silpną emocinį poveikį lankytojams.</w:t>
            </w:r>
          </w:p>
          <w:p w14:paraId="5675CB49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Scenarijus menine ir istorine prasme atitinka projekto užduotis, tačiau nesudomina domėtis plačiau. 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9CB2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- Pateikti meniniai / istoriniai scenarijai  neįtaigūs, negali padaryti emocinio poveikio lankytojui,</w:t>
            </w:r>
          </w:p>
          <w:p w14:paraId="4BFBFEBA" w14:textId="77777777" w:rsidR="00DC6FC9" w:rsidRPr="00EC7334" w:rsidRDefault="00000000">
            <w:pPr>
              <w:pStyle w:val="Lentelsturinys"/>
              <w:spacing w:after="0" w:line="240" w:lineRule="auto"/>
              <w:jc w:val="both"/>
            </w:pPr>
            <w:r w:rsidRPr="00EC7334">
              <w:t>nepadeda geriau suprasti temos ar net skatina klaidingą supratimą.</w:t>
            </w:r>
          </w:p>
        </w:tc>
      </w:tr>
      <w:bookmarkEnd w:id="1"/>
    </w:tbl>
    <w:p w14:paraId="6D71964D" w14:textId="77777777" w:rsidR="00DC6FC9" w:rsidRPr="00EC7334" w:rsidRDefault="00DC6FC9">
      <w:pPr>
        <w:pStyle w:val="Pagrindinistekstas"/>
        <w:ind w:left="182"/>
      </w:pPr>
    </w:p>
    <w:p w14:paraId="39A00015" w14:textId="77777777" w:rsidR="00DC6FC9" w:rsidRDefault="00000000">
      <w:pPr>
        <w:pStyle w:val="Pagrindinistekstas"/>
        <w:spacing w:after="0" w:line="288" w:lineRule="auto"/>
        <w:jc w:val="both"/>
      </w:pPr>
      <w:r w:rsidRPr="00EC7334">
        <w:t>Atlikus balų skaičiavimą, jei vienas iš tiekėjų pasitraukia (ar yra pašalinamas) iš pirkimo, tokiais atvejais bus perskaičiuojami jau suteikti balai t. y. skaičiavimas bus vykdomas iš naujo, į skaičiavimus neįtraukiant pasitraukusio ar atmesto pasiūlymo.</w:t>
      </w:r>
    </w:p>
    <w:p w14:paraId="4A300610" w14:textId="77777777" w:rsidR="00DC6FC9" w:rsidRDefault="00DC6FC9">
      <w:pPr>
        <w:pStyle w:val="Pagrindinistekstas"/>
      </w:pPr>
    </w:p>
    <w:sectPr w:rsidR="00DC6FC9">
      <w:pgSz w:w="11906" w:h="16838"/>
      <w:pgMar w:top="1276" w:right="567" w:bottom="1134" w:left="1701" w:header="0" w:footer="0" w:gutter="0"/>
      <w:pgNumType w:start="1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E663F1AD-5BFE-4991-9425-482208B19E67}"/>
    <w:embedItalic r:id="rId2" w:fontKey="{E3AB749C-E22C-42E5-889A-6FE0BE061CDF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A250B6F9-4E14-4478-94FE-611A1464FE5C}"/>
    <w:embedItalic r:id="rId4" w:fontKey="{CB7F6D4C-7D6D-40F8-85E9-9C360E1603D6}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  <w:embedRegular r:id="rId5" w:fontKey="{6A67B9C0-0CC5-43CA-8553-A6CBDAFF0EFD}"/>
    <w:embedItalic r:id="rId6" w:fontKey="{D34275EF-F7D9-4E34-8023-622E7A26D2C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0DA2"/>
    <w:multiLevelType w:val="multilevel"/>
    <w:tmpl w:val="643E2EBE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610B1B6E"/>
    <w:multiLevelType w:val="multilevel"/>
    <w:tmpl w:val="1C4C08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55F42D6"/>
    <w:multiLevelType w:val="multilevel"/>
    <w:tmpl w:val="B164DC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055100"/>
    <w:multiLevelType w:val="multilevel"/>
    <w:tmpl w:val="6C5EC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1662908">
    <w:abstractNumId w:val="0"/>
  </w:num>
  <w:num w:numId="2" w16cid:durableId="1848523961">
    <w:abstractNumId w:val="3"/>
  </w:num>
  <w:num w:numId="3" w16cid:durableId="2114325381">
    <w:abstractNumId w:val="1"/>
  </w:num>
  <w:num w:numId="4" w16cid:durableId="1865096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C9"/>
    <w:rsid w:val="0022241E"/>
    <w:rsid w:val="004963CB"/>
    <w:rsid w:val="006075C9"/>
    <w:rsid w:val="006A1479"/>
    <w:rsid w:val="007C27E3"/>
    <w:rsid w:val="007E13DC"/>
    <w:rsid w:val="008350FF"/>
    <w:rsid w:val="00A54B09"/>
    <w:rsid w:val="00B444CA"/>
    <w:rsid w:val="00BE26A4"/>
    <w:rsid w:val="00DC6FC9"/>
    <w:rsid w:val="00E275C0"/>
    <w:rsid w:val="00EA2C8A"/>
    <w:rsid w:val="00EC7334"/>
    <w:rsid w:val="00F45AB6"/>
    <w:rsid w:val="00FD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80A3"/>
  <w15:docId w15:val="{EBA2620F-7381-4582-B670-4246D50D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28C6"/>
    <w:pPr>
      <w:spacing w:after="160" w:line="259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672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2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28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28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28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28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28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28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28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6728C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6728C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6728C6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6728C6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6728C6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6728C6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6728C6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6728C6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6728C6"/>
    <w:rPr>
      <w:rFonts w:eastAsiaTheme="majorEastAsia" w:cstheme="majorBidi"/>
      <w:color w:val="272727" w:themeColor="text1" w:themeTint="D8"/>
      <w:kern w:val="0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6728C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6728C6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6728C6"/>
    <w:rPr>
      <w:rFonts w:ascii="Times New Roman" w:hAnsi="Times New Roman"/>
      <w:i/>
      <w:iCs/>
      <w:color w:val="404040" w:themeColor="text1" w:themeTint="BF"/>
      <w:kern w:val="0"/>
      <w:sz w:val="24"/>
    </w:rPr>
  </w:style>
  <w:style w:type="character" w:styleId="Rykuspabraukimas">
    <w:name w:val="Intense Emphasis"/>
    <w:basedOn w:val="Numatytasispastraiposriftas"/>
    <w:uiPriority w:val="21"/>
    <w:qFormat/>
    <w:rsid w:val="006728C6"/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6728C6"/>
    <w:rPr>
      <w:rFonts w:ascii="Times New Roman" w:hAnsi="Times New Roman"/>
      <w:i/>
      <w:iCs/>
      <w:color w:val="0F4761" w:themeColor="accent1" w:themeShade="BF"/>
      <w:kern w:val="0"/>
      <w:sz w:val="24"/>
    </w:rPr>
  </w:style>
  <w:style w:type="character" w:styleId="Rykinuoroda">
    <w:name w:val="Intense Reference"/>
    <w:basedOn w:val="Numatytasispastraiposriftas"/>
    <w:uiPriority w:val="32"/>
    <w:qFormat/>
    <w:rsid w:val="006728C6"/>
    <w:rPr>
      <w:b/>
      <w:bCs/>
      <w:smallCaps/>
      <w:color w:val="0F4761" w:themeColor="accent1" w:themeShade="BF"/>
      <w:spacing w:val="5"/>
    </w:rPr>
  </w:style>
  <w:style w:type="character" w:customStyle="1" w:styleId="Internetosaitas">
    <w:name w:val="Interneto saitas"/>
    <w:basedOn w:val="Numatytasispastraiposriftas"/>
    <w:uiPriority w:val="99"/>
    <w:unhideWhenUsed/>
    <w:rsid w:val="002164A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2164AF"/>
    <w:rPr>
      <w:color w:val="605E5C"/>
      <w:shd w:val="clear" w:color="auto" w:fill="E1DFDD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character" w:customStyle="1" w:styleId="Numeravimosimboliai">
    <w:name w:val="Numeravimo simboliai"/>
    <w:qFormat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2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Pr>
      <w:rFonts w:ascii="Aptos" w:eastAsia="Aptos" w:hAnsi="Aptos" w:cs="Aptos"/>
      <w:color w:val="595959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28C6"/>
    <w:pPr>
      <w:spacing w:before="160"/>
      <w:jc w:val="center"/>
    </w:pPr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28C6"/>
    <w:pPr>
      <w:ind w:left="720"/>
      <w:contextualSpacing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28C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yiv3622906290ydp4f8e9787msonormal">
    <w:name w:val="yiv3622906290ydp4f8e9787msonormal"/>
    <w:basedOn w:val="prastasis"/>
    <w:qFormat/>
    <w:rsid w:val="006728C6"/>
    <w:pPr>
      <w:spacing w:beforeAutospacing="1" w:afterAutospacing="1" w:line="240" w:lineRule="auto"/>
    </w:pPr>
  </w:style>
  <w:style w:type="paragraph" w:customStyle="1" w:styleId="yiv7284768919ydpcd227a04yiv2168799078ydp500bec66msonormal">
    <w:name w:val="yiv7284768919ydpcd227a04yiv2168799078ydp500bec66msonormal"/>
    <w:basedOn w:val="prastasis"/>
    <w:qFormat/>
    <w:rsid w:val="0034511A"/>
    <w:pPr>
      <w:spacing w:beforeAutospacing="1" w:afterAutospacing="1" w:line="240" w:lineRule="auto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34511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c7dDf4bqhgUHvyLSUXc2kBXQnmg==">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3968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Zarasu Savivaldybe</cp:lastModifiedBy>
  <cp:revision>10</cp:revision>
  <cp:lastPrinted>2025-09-30T13:15:00Z</cp:lastPrinted>
  <dcterms:created xsi:type="dcterms:W3CDTF">2025-09-23T11:49:00Z</dcterms:created>
  <dcterms:modified xsi:type="dcterms:W3CDTF">2025-10-03T08:22:00Z</dcterms:modified>
  <dc:language>lt-LT</dc:language>
</cp:coreProperties>
</file>