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899A" w14:textId="695E4E3A" w:rsidR="00A02DDB" w:rsidRPr="00AF1B4C" w:rsidRDefault="00A02DDB" w:rsidP="00AF1B4C">
      <w:pPr>
        <w:spacing w:after="0" w:line="276" w:lineRule="auto"/>
        <w:rPr>
          <w:rFonts w:cstheme="minorHAnsi"/>
          <w:b/>
          <w:bCs/>
          <w:shd w:val="clear" w:color="auto" w:fill="FFFFFF"/>
        </w:rPr>
      </w:pPr>
      <w:r w:rsidRPr="00AF1B4C">
        <w:rPr>
          <w:rFonts w:cstheme="minorHAnsi"/>
          <w:b/>
          <w:bCs/>
          <w:shd w:val="clear" w:color="auto" w:fill="FFFFFF"/>
        </w:rPr>
        <w:t>Paklausimai</w:t>
      </w:r>
    </w:p>
    <w:p w14:paraId="715BF550" w14:textId="66F10311" w:rsidR="00DC389C" w:rsidRPr="00AF1B4C" w:rsidRDefault="00A02DDB" w:rsidP="00AF1B4C">
      <w:pPr>
        <w:spacing w:line="276" w:lineRule="auto"/>
        <w:rPr>
          <w:rFonts w:cstheme="minorHAnsi"/>
          <w:shd w:val="clear" w:color="auto" w:fill="FFFFFF"/>
        </w:rPr>
      </w:pPr>
      <w:r w:rsidRPr="00AF1B4C">
        <w:rPr>
          <w:rFonts w:cstheme="minorHAnsi"/>
          <w:shd w:val="clear" w:color="auto" w:fill="FFFFFF"/>
        </w:rPr>
        <w:t>Susipažinę su viešojo pirkimo „Vaikų žaidimų aikštelės įrengimas Žeimių miestelyje“ technine specifikacija (pirkimo sąlygų 3 priedas), norime atkreipti dėmesį, kad tam tikri reikalavimai dirbtinai riboja tiekėjų konkurenciją ir neatitinka VPĮ 17 str. 1 d. bei 37 str. 3–5 d. reikalavimų dėl nediskriminavimo, proporcingumo ir tiekėjų lygiateisiškumo:</w:t>
      </w:r>
      <w:r w:rsidRPr="00AF1B4C">
        <w:rPr>
          <w:rFonts w:cstheme="minorHAnsi"/>
        </w:rPr>
        <w:br/>
      </w:r>
      <w:r w:rsidRPr="00AF1B4C">
        <w:rPr>
          <w:rFonts w:cstheme="minorHAnsi"/>
          <w:shd w:val="clear" w:color="auto" w:fill="FFFFFF"/>
        </w:rPr>
        <w:t>1. Pertekliniai matmenų reikalavimai su maža paklaida (±50 mm) apriboja kitų gamintojų pasiūlymus. Reikalaujami itin tikslūs įrenginių matmenys nėra esminis įrenginio kriterijus jo funkcijai atlikti, bet apriboja realią konkurenciją. Prašome taikyti apytikslius intervalus arba didesnes paklaidas.</w:t>
      </w:r>
      <w:r w:rsidRPr="00AF1B4C">
        <w:rPr>
          <w:rFonts w:cstheme="minorHAnsi"/>
        </w:rPr>
        <w:br/>
      </w:r>
      <w:r w:rsidRPr="00AF1B4C">
        <w:rPr>
          <w:rFonts w:cstheme="minorHAnsi"/>
          <w:shd w:val="clear" w:color="auto" w:fill="FFFFFF"/>
        </w:rPr>
        <w:t>2. Techninėje specifikacijoje (1.2 p.) nurodyta, kad įrenginys turi būti pagamintas iš aukštu slėgiu apdorotos medienos, metalo, HPL ir kitų medžiagų, „arba lygiaverčių“. Tačiau nėra aišku, ar galima siūlyti konstrukcinius sprendimus, kuriuose iš viso nebūtų medienos, bet būtų naudojamos ne prastesnės kokybės ir ilgaamžiškumo medžiagos kaip cinkuotas ir milteliniu būdu dažytas plienas. Prašome paaiškinti, ar konstrukcijos be medienos, bet atitinkančios visus kitus kokybės ir saugumo kriterijus, bus laikomos lygiavertėmis.</w:t>
      </w:r>
      <w:r w:rsidRPr="00AF1B4C">
        <w:rPr>
          <w:rFonts w:cstheme="minorHAnsi"/>
        </w:rPr>
        <w:br/>
      </w:r>
      <w:r w:rsidRPr="00AF1B4C">
        <w:rPr>
          <w:rFonts w:cstheme="minorHAnsi"/>
          <w:shd w:val="clear" w:color="auto" w:fill="FFFFFF"/>
        </w:rPr>
        <w:t>3. Čiuožykloms reikalaujama HDPE plastiko, nors nerūdijančio plieno čiuožyklos – įprasta, patvari ir lygiavertė alternatyva. Prašome papildyti reikalavimą formuluote: „arba lygiavertė medžiaga“.</w:t>
      </w:r>
      <w:r w:rsidRPr="00AF1B4C">
        <w:rPr>
          <w:rFonts w:cstheme="minorHAnsi"/>
        </w:rPr>
        <w:br/>
      </w:r>
      <w:r w:rsidRPr="00AF1B4C">
        <w:rPr>
          <w:rFonts w:cstheme="minorHAnsi"/>
          <w:shd w:val="clear" w:color="auto" w:fill="FFFFFF"/>
        </w:rPr>
        <w:t>4. Spyruoklinių sūpynių konstrukcija („nejudanti į šonus“, dviguba sėdynė ir pan.) atitinka tik konkretaus gamintojo (</w:t>
      </w:r>
      <w:proofErr w:type="spellStart"/>
      <w:r w:rsidRPr="00AF1B4C">
        <w:rPr>
          <w:rFonts w:cstheme="minorHAnsi"/>
          <w:shd w:val="clear" w:color="auto" w:fill="FFFFFF"/>
        </w:rPr>
        <w:t>Fixman</w:t>
      </w:r>
      <w:proofErr w:type="spellEnd"/>
      <w:r w:rsidRPr="00AF1B4C">
        <w:rPr>
          <w:rFonts w:cstheme="minorHAnsi"/>
          <w:shd w:val="clear" w:color="auto" w:fill="FFFFFF"/>
        </w:rPr>
        <w:t xml:space="preserve">) sprendimą. Tradicinė spyruoklė, leidžianti judėjimą visomis kryptimis, yra plačiai naudojama praktikoje, atitinka EN 1176 standartą ir turi tą pačią funkciją – užtikrinti </w:t>
      </w:r>
      <w:proofErr w:type="spellStart"/>
      <w:r w:rsidRPr="00AF1B4C">
        <w:rPr>
          <w:rFonts w:cstheme="minorHAnsi"/>
          <w:shd w:val="clear" w:color="auto" w:fill="FFFFFF"/>
        </w:rPr>
        <w:t>supimosi</w:t>
      </w:r>
      <w:proofErr w:type="spellEnd"/>
      <w:r w:rsidRPr="00AF1B4C">
        <w:rPr>
          <w:rFonts w:cstheme="minorHAnsi"/>
          <w:shd w:val="clear" w:color="auto" w:fill="FFFFFF"/>
        </w:rPr>
        <w:t xml:space="preserve"> galimybę mažesnio amžiaus vaikams. Todėl šis reikalavimas neproporcingai apriboja konkurenciją, neatsižvelgiant į alternatyvius, funkciškai lygiaverčius sprendimus. Prašome techninėje specifikacijoje nurodyti tik funkciją ir atsisakyti perteklinio konstrukcijos apibrėžimo.</w:t>
      </w:r>
      <w:r w:rsidRPr="00AF1B4C">
        <w:rPr>
          <w:rFonts w:cstheme="minorHAnsi"/>
        </w:rPr>
        <w:br/>
      </w:r>
      <w:r w:rsidRPr="00AF1B4C">
        <w:rPr>
          <w:rFonts w:cstheme="minorHAnsi"/>
          <w:shd w:val="clear" w:color="auto" w:fill="FFFFFF"/>
        </w:rPr>
        <w:t>5. Karuselės aprašymas (4 metalinės sijos, medinė konstrukcija) riboja dizaino pasirinkimą. Prašome leisti alternatyvas su kita konstrukcija, jei atitinka saugos reikalavimus.</w:t>
      </w:r>
      <w:r w:rsidRPr="00AF1B4C">
        <w:rPr>
          <w:rFonts w:cstheme="minorHAnsi"/>
        </w:rPr>
        <w:br/>
      </w:r>
      <w:r w:rsidRPr="00AF1B4C">
        <w:rPr>
          <w:rFonts w:cstheme="minorHAnsi"/>
          <w:shd w:val="clear" w:color="auto" w:fill="FFFFFF"/>
        </w:rPr>
        <w:t>Atsižvelgiant į VPĮ principus, prašome koreguoti techninę specifikaciją taip, kad būtų sudarytos sąlygos skaidriam ir konkurencingam pirkimui – tai leistų dalyvauti platesniam tiekėjų ratui, užtikrintų didesnį pasirinkimą ir leistų perkančiajai organizacijai įsigyti optimaliausią sprendimą už konkurencingiausią kainą.</w:t>
      </w:r>
    </w:p>
    <w:p w14:paraId="4116F41C" w14:textId="55F2CF47" w:rsidR="00A02DDB" w:rsidRPr="00AF1B4C" w:rsidRDefault="00A02DDB" w:rsidP="00AF1B4C">
      <w:pPr>
        <w:spacing w:line="276" w:lineRule="auto"/>
        <w:rPr>
          <w:rFonts w:cstheme="minorHAnsi"/>
          <w:b/>
          <w:bCs/>
          <w:shd w:val="clear" w:color="auto" w:fill="FFFFFF"/>
        </w:rPr>
      </w:pPr>
      <w:r w:rsidRPr="00AF1B4C">
        <w:rPr>
          <w:rFonts w:cstheme="minorHAnsi"/>
          <w:b/>
          <w:bCs/>
          <w:shd w:val="clear" w:color="auto" w:fill="FFFFFF"/>
        </w:rPr>
        <w:t>Atsakymai</w:t>
      </w:r>
    </w:p>
    <w:p w14:paraId="21F4A2F5" w14:textId="77777777" w:rsidR="00A02DDB" w:rsidRPr="00AF1B4C" w:rsidRDefault="00A02DDB" w:rsidP="00AF1B4C">
      <w:pPr>
        <w:pStyle w:val="Sraopastraipa"/>
        <w:numPr>
          <w:ilvl w:val="0"/>
          <w:numId w:val="1"/>
        </w:numPr>
        <w:tabs>
          <w:tab w:val="left" w:pos="426"/>
        </w:tabs>
        <w:spacing w:after="0" w:line="276" w:lineRule="auto"/>
        <w:ind w:left="0" w:firstLine="0"/>
        <w:contextualSpacing w:val="0"/>
        <w:rPr>
          <w:rFonts w:eastAsia="Times New Roman" w:cstheme="minorHAnsi"/>
        </w:rPr>
      </w:pPr>
      <w:r w:rsidRPr="00AF1B4C">
        <w:rPr>
          <w:rFonts w:eastAsia="Times New Roman" w:cstheme="minorHAnsi"/>
        </w:rPr>
        <w:t xml:space="preserve">Nurodyta matmenų paklaida </w:t>
      </w:r>
      <w:r w:rsidRPr="00AF1B4C">
        <w:rPr>
          <w:rFonts w:eastAsia="Times New Roman" w:cstheme="minorHAnsi"/>
        </w:rPr>
        <w:t>(</w:t>
      </w:r>
      <w:r w:rsidRPr="00AF1B4C">
        <w:rPr>
          <w:rFonts w:eastAsia="Times New Roman" w:cstheme="minorHAnsi"/>
        </w:rPr>
        <w:t>±50 mm</w:t>
      </w:r>
      <w:r w:rsidRPr="00AF1B4C">
        <w:rPr>
          <w:rFonts w:eastAsia="Times New Roman" w:cstheme="minorHAnsi"/>
        </w:rPr>
        <w:t>)</w:t>
      </w:r>
      <w:r w:rsidRPr="00AF1B4C">
        <w:rPr>
          <w:rFonts w:eastAsia="Times New Roman" w:cstheme="minorHAnsi"/>
        </w:rPr>
        <w:t xml:space="preserve"> yra pakankama gamybos ir montavimo </w:t>
      </w:r>
      <w:proofErr w:type="spellStart"/>
      <w:r w:rsidRPr="00AF1B4C">
        <w:rPr>
          <w:rFonts w:eastAsia="Times New Roman" w:cstheme="minorHAnsi"/>
        </w:rPr>
        <w:t>tolerancijoms</w:t>
      </w:r>
      <w:proofErr w:type="spellEnd"/>
      <w:r w:rsidRPr="00AF1B4C">
        <w:rPr>
          <w:rFonts w:eastAsia="Times New Roman" w:cstheme="minorHAnsi"/>
        </w:rPr>
        <w:t xml:space="preserve"> užtikrinti, tuo pačiu ribojant esminių parametrų iškraipymą, tad prašymas netenkinamas.</w:t>
      </w:r>
    </w:p>
    <w:p w14:paraId="64741009" w14:textId="77777777" w:rsidR="00A02DDB" w:rsidRPr="00AF1B4C" w:rsidRDefault="00A02DDB" w:rsidP="00AF1B4C">
      <w:pPr>
        <w:pStyle w:val="Sraopastraipa"/>
        <w:numPr>
          <w:ilvl w:val="0"/>
          <w:numId w:val="1"/>
        </w:numPr>
        <w:tabs>
          <w:tab w:val="left" w:pos="426"/>
        </w:tabs>
        <w:spacing w:after="0" w:line="276" w:lineRule="auto"/>
        <w:ind w:left="0" w:firstLine="0"/>
        <w:contextualSpacing w:val="0"/>
        <w:rPr>
          <w:rFonts w:eastAsia="Times New Roman" w:cstheme="minorHAnsi"/>
        </w:rPr>
      </w:pPr>
      <w:r w:rsidRPr="00AF1B4C">
        <w:rPr>
          <w:rFonts w:eastAsia="Times New Roman" w:cstheme="minorHAnsi"/>
        </w:rPr>
        <w:t>Techninėje s</w:t>
      </w:r>
      <w:r w:rsidRPr="00AF1B4C">
        <w:rPr>
          <w:rFonts w:eastAsia="Times New Roman" w:cstheme="minorHAnsi"/>
        </w:rPr>
        <w:t>pecifikacijoje</w:t>
      </w:r>
      <w:r w:rsidRPr="00AF1B4C">
        <w:rPr>
          <w:rFonts w:eastAsia="Times New Roman" w:cstheme="minorHAnsi"/>
        </w:rPr>
        <w:t xml:space="preserve"> </w:t>
      </w:r>
      <w:r w:rsidRPr="00AF1B4C">
        <w:rPr>
          <w:rFonts w:eastAsia="Times New Roman" w:cstheme="minorHAnsi"/>
        </w:rPr>
        <w:t xml:space="preserve">(1.2 p.) aiškiai nurodyta, kad įrenginiai turi būti pagaminti iš medienos (aukštu slėgiu impregnuotos), metalo, HPL arba lygiaverčių medžiagų. Medienos naudojimas – esminis estetinis ir koncepcinis aikštelės elementas, derinamas prie aplinkos architektūros. Konstrukcijos, kuriose visiškai atsisakoma medienos, neatitinka Užsakovo numatyto dizaino sprendinio ir bendro vizualinio integralumo, todėl laikytinos </w:t>
      </w:r>
      <w:r w:rsidRPr="00AF1B4C">
        <w:rPr>
          <w:rStyle w:val="Grietas"/>
          <w:rFonts w:eastAsia="Times New Roman" w:cstheme="minorHAnsi"/>
          <w:b w:val="0"/>
          <w:bCs w:val="0"/>
        </w:rPr>
        <w:t>ne lygiavertėmis</w:t>
      </w:r>
      <w:r w:rsidRPr="00AF1B4C">
        <w:rPr>
          <w:rFonts w:eastAsia="Times New Roman" w:cstheme="minorHAnsi"/>
        </w:rPr>
        <w:t>. Prašymas netenkinamas.</w:t>
      </w:r>
    </w:p>
    <w:p w14:paraId="3EFEC600" w14:textId="77777777" w:rsidR="00A02DDB" w:rsidRPr="00AF1B4C" w:rsidRDefault="00A02DDB" w:rsidP="00AF1B4C">
      <w:pPr>
        <w:pStyle w:val="Sraopastraipa"/>
        <w:numPr>
          <w:ilvl w:val="0"/>
          <w:numId w:val="1"/>
        </w:numPr>
        <w:tabs>
          <w:tab w:val="left" w:pos="426"/>
        </w:tabs>
        <w:spacing w:after="0" w:line="276" w:lineRule="auto"/>
        <w:ind w:left="0" w:firstLine="0"/>
        <w:contextualSpacing w:val="0"/>
        <w:rPr>
          <w:rFonts w:eastAsia="Times New Roman" w:cstheme="minorHAnsi"/>
        </w:rPr>
      </w:pPr>
      <w:r w:rsidRPr="00AF1B4C">
        <w:rPr>
          <w:rFonts w:eastAsia="Times New Roman" w:cstheme="minorHAnsi"/>
        </w:rPr>
        <w:t>HDPE</w:t>
      </w:r>
      <w:r w:rsidRPr="00AF1B4C">
        <w:rPr>
          <w:rFonts w:eastAsia="Times New Roman" w:cstheme="minorHAnsi"/>
        </w:rPr>
        <w:t xml:space="preserve"> plastiko</w:t>
      </w:r>
      <w:r w:rsidRPr="00AF1B4C">
        <w:rPr>
          <w:rFonts w:eastAsia="Times New Roman" w:cstheme="minorHAnsi"/>
        </w:rPr>
        <w:t xml:space="preserve"> čiuožyklos pasirinktos dėl savo saugumo, priežiūros paprastumo, šiluminio laidumo (neįkaista saulėje) bei derėjimo prie kitų įrenginių medžiagų. Nors nerūdijantis plienas </w:t>
      </w:r>
      <w:r w:rsidRPr="00AF1B4C">
        <w:rPr>
          <w:rFonts w:eastAsia="Times New Roman" w:cstheme="minorHAnsi"/>
        </w:rPr>
        <w:lastRenderedPageBreak/>
        <w:t xml:space="preserve">plačiai naudojamas, šiuo atveju jis </w:t>
      </w:r>
      <w:r w:rsidRPr="00AF1B4C">
        <w:rPr>
          <w:rStyle w:val="Grietas"/>
          <w:rFonts w:eastAsia="Times New Roman" w:cstheme="minorHAnsi"/>
          <w:b w:val="0"/>
          <w:bCs w:val="0"/>
        </w:rPr>
        <w:t>nelaikomas lygiaverte medžiaga</w:t>
      </w:r>
      <w:r w:rsidRPr="00AF1B4C">
        <w:rPr>
          <w:rFonts w:eastAsia="Times New Roman" w:cstheme="minorHAnsi"/>
        </w:rPr>
        <w:t>, nes neatitinka pasirinktos medžiagų dermės ir gali kelti papildomų saugumo (perkaitimo) aspektų. Specifikacijos keisti neplanuojama, prašymas netenkinamas.</w:t>
      </w:r>
    </w:p>
    <w:p w14:paraId="5360D1FD" w14:textId="77777777" w:rsidR="00A02DDB" w:rsidRPr="00AF1B4C" w:rsidRDefault="00A02DDB" w:rsidP="00AF1B4C">
      <w:pPr>
        <w:pStyle w:val="Sraopastraipa"/>
        <w:numPr>
          <w:ilvl w:val="0"/>
          <w:numId w:val="1"/>
        </w:numPr>
        <w:tabs>
          <w:tab w:val="left" w:pos="426"/>
        </w:tabs>
        <w:spacing w:after="0" w:line="276" w:lineRule="auto"/>
        <w:ind w:left="0" w:firstLine="0"/>
        <w:contextualSpacing w:val="0"/>
        <w:rPr>
          <w:rFonts w:eastAsia="Times New Roman" w:cstheme="minorHAnsi"/>
        </w:rPr>
      </w:pPr>
      <w:r w:rsidRPr="00AF1B4C">
        <w:rPr>
          <w:rFonts w:eastAsia="Times New Roman" w:cstheme="minorHAnsi"/>
        </w:rPr>
        <w:t xml:space="preserve">Techninėje specifikacijoje numatytas konstrukcinis sprendimas („nejudanti į šonus“ konstrukcija, dviguba sėdynė) pasirinktas sąmoningai, įvertinus mažesnio amžiaus vaikų saugumą ir </w:t>
      </w:r>
      <w:proofErr w:type="spellStart"/>
      <w:r w:rsidRPr="00AF1B4C">
        <w:rPr>
          <w:rFonts w:eastAsia="Times New Roman" w:cstheme="minorHAnsi"/>
        </w:rPr>
        <w:t>supimosi</w:t>
      </w:r>
      <w:proofErr w:type="spellEnd"/>
      <w:r w:rsidRPr="00AF1B4C">
        <w:rPr>
          <w:rFonts w:eastAsia="Times New Roman" w:cstheme="minorHAnsi"/>
        </w:rPr>
        <w:t xml:space="preserve"> stabilumą. Nors alternatyvūs sprendimai galimai atitinka EN 1176 standartą, jų judėjimo kryptys ir veikimo principas ženkliai skiriasi. Todėl šiuo atveju konstrukcija </w:t>
      </w:r>
      <w:r w:rsidRPr="00AF1B4C">
        <w:rPr>
          <w:rStyle w:val="Grietas"/>
          <w:rFonts w:eastAsia="Times New Roman" w:cstheme="minorHAnsi"/>
          <w:b w:val="0"/>
          <w:bCs w:val="0"/>
        </w:rPr>
        <w:t>nėra laikoma lygiaverte</w:t>
      </w:r>
      <w:r w:rsidRPr="00AF1B4C">
        <w:rPr>
          <w:rFonts w:eastAsia="Times New Roman" w:cstheme="minorHAnsi"/>
        </w:rPr>
        <w:t>, o specifikacijoje įvardintas sprendimas yra būtinas. Prašymas netenkinamas.</w:t>
      </w:r>
    </w:p>
    <w:p w14:paraId="2B258667" w14:textId="58586D2A" w:rsidR="00A02DDB" w:rsidRPr="00AF1B4C" w:rsidRDefault="00A02DDB" w:rsidP="00AF1B4C">
      <w:pPr>
        <w:pStyle w:val="Sraopastraipa"/>
        <w:numPr>
          <w:ilvl w:val="0"/>
          <w:numId w:val="1"/>
        </w:numPr>
        <w:tabs>
          <w:tab w:val="left" w:pos="426"/>
        </w:tabs>
        <w:spacing w:after="0" w:line="276" w:lineRule="auto"/>
        <w:ind w:left="0" w:firstLine="0"/>
        <w:contextualSpacing w:val="0"/>
        <w:rPr>
          <w:rFonts w:eastAsia="Times New Roman" w:cstheme="minorHAnsi"/>
        </w:rPr>
      </w:pPr>
      <w:r w:rsidRPr="00AF1B4C">
        <w:rPr>
          <w:rFonts w:eastAsia="Times New Roman" w:cstheme="minorHAnsi"/>
          <w:lang w:eastAsia="lt-LT"/>
          <w14:ligatures w14:val="none"/>
        </w:rPr>
        <w:t>Karuselės konstrukcija su 4 metalinėmis sijomis ir mediniu pagrindu parinkta dėl konkretaus dizaino, patvarumo ir saugumo derinio. Toks sprendimas užtikrina ne tik funkcionalumą, bet ir vizualinį vientisumą su kitais aikštelės įrenginiais. Alternatyvios konstrukcijos, nors ir galimai atitinkančios saugos reikalavimus, keistų bendrą sprendinį, todėl nelaikomos lygiavertėmis. Prašymas netenkinamas.</w:t>
      </w:r>
    </w:p>
    <w:p w14:paraId="22703D76" w14:textId="77777777" w:rsidR="00A02DDB" w:rsidRPr="00AF1B4C" w:rsidRDefault="00A02DDB" w:rsidP="00AF1B4C">
      <w:pPr>
        <w:spacing w:line="276" w:lineRule="auto"/>
        <w:rPr>
          <w:rFonts w:cstheme="minorHAnsi"/>
        </w:rPr>
      </w:pPr>
    </w:p>
    <w:sectPr w:rsidR="00A02DDB" w:rsidRPr="00AF1B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E5B84"/>
    <w:multiLevelType w:val="hybridMultilevel"/>
    <w:tmpl w:val="ED545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02906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DB"/>
    <w:rsid w:val="00406DF0"/>
    <w:rsid w:val="004E442D"/>
    <w:rsid w:val="00A02DDB"/>
    <w:rsid w:val="00AF1B4C"/>
    <w:rsid w:val="00B05809"/>
    <w:rsid w:val="00DC3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FF75"/>
  <w15:chartTrackingRefBased/>
  <w15:docId w15:val="{4D348727-4978-4531-A882-D0B29CC2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2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2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2DD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2DD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2DD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2D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2D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2D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2D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2D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02D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2D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2DD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2DD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2D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2D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2D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2D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2D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2D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2D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2D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2DDB"/>
    <w:rPr>
      <w:i/>
      <w:iCs/>
      <w:color w:val="404040" w:themeColor="text1" w:themeTint="BF"/>
    </w:rPr>
  </w:style>
  <w:style w:type="paragraph" w:styleId="Sraopastraipa">
    <w:name w:val="List Paragraph"/>
    <w:basedOn w:val="prastasis"/>
    <w:uiPriority w:val="34"/>
    <w:qFormat/>
    <w:rsid w:val="00A02DDB"/>
    <w:pPr>
      <w:ind w:left="720"/>
      <w:contextualSpacing/>
    </w:pPr>
  </w:style>
  <w:style w:type="character" w:styleId="Rykuspabraukimas">
    <w:name w:val="Intense Emphasis"/>
    <w:basedOn w:val="Numatytasispastraiposriftas"/>
    <w:uiPriority w:val="21"/>
    <w:qFormat/>
    <w:rsid w:val="00A02DDB"/>
    <w:rPr>
      <w:i/>
      <w:iCs/>
      <w:color w:val="2F5496" w:themeColor="accent1" w:themeShade="BF"/>
    </w:rPr>
  </w:style>
  <w:style w:type="paragraph" w:styleId="Iskirtacitata">
    <w:name w:val="Intense Quote"/>
    <w:basedOn w:val="prastasis"/>
    <w:next w:val="prastasis"/>
    <w:link w:val="IskirtacitataDiagrama"/>
    <w:uiPriority w:val="30"/>
    <w:qFormat/>
    <w:rsid w:val="00A02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2DDB"/>
    <w:rPr>
      <w:i/>
      <w:iCs/>
      <w:color w:val="2F5496" w:themeColor="accent1" w:themeShade="BF"/>
    </w:rPr>
  </w:style>
  <w:style w:type="character" w:styleId="Rykinuoroda">
    <w:name w:val="Intense Reference"/>
    <w:basedOn w:val="Numatytasispastraiposriftas"/>
    <w:uiPriority w:val="32"/>
    <w:qFormat/>
    <w:rsid w:val="00A02DDB"/>
    <w:rPr>
      <w:b/>
      <w:bCs/>
      <w:smallCaps/>
      <w:color w:val="2F5496" w:themeColor="accent1" w:themeShade="BF"/>
      <w:spacing w:val="5"/>
    </w:rPr>
  </w:style>
  <w:style w:type="character" w:styleId="Grietas">
    <w:name w:val="Strong"/>
    <w:basedOn w:val="Numatytasispastraiposriftas"/>
    <w:uiPriority w:val="22"/>
    <w:qFormat/>
    <w:rsid w:val="00A02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2794</Words>
  <Characters>1594</Characters>
  <Application>Microsoft Office Word</Application>
  <DocSecurity>0</DocSecurity>
  <Lines>13</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cp:revision>
  <dcterms:created xsi:type="dcterms:W3CDTF">2025-10-03T08:13:00Z</dcterms:created>
  <dcterms:modified xsi:type="dcterms:W3CDTF">2025-10-03T08:23:00Z</dcterms:modified>
</cp:coreProperties>
</file>