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A85015">
        <w:rPr>
          <w:rFonts w:ascii="Calibri" w:eastAsia="Calibri" w:hAnsi="Calibri" w:cs="Arial"/>
          <w:b/>
          <w:bCs/>
          <w:caps/>
          <w:spacing w:val="20"/>
          <w:sz w:val="28"/>
          <w:szCs w:val="28"/>
          <w:lang w:eastAsia="lt-LT"/>
        </w:rPr>
        <w:t>medicininių prietais</w:t>
      </w:r>
      <w:r w:rsidR="00EE5A37">
        <w:rPr>
          <w:rFonts w:ascii="Calibri" w:eastAsia="Calibri" w:hAnsi="Calibri" w:cs="Arial"/>
          <w:b/>
          <w:bCs/>
          <w:caps/>
          <w:spacing w:val="20"/>
          <w:sz w:val="28"/>
          <w:szCs w:val="28"/>
          <w:lang w:eastAsia="lt-LT"/>
        </w:rPr>
        <w:t>ų ir reikmenų</w:t>
      </w:r>
      <w:r w:rsidR="000979C2">
        <w:rPr>
          <w:rFonts w:ascii="Calibri" w:eastAsia="Calibri" w:hAnsi="Calibri" w:cs="Arial"/>
          <w:b/>
          <w:bCs/>
          <w:caps/>
          <w:spacing w:val="20"/>
          <w:sz w:val="28"/>
          <w:szCs w:val="28"/>
          <w:lang w:eastAsia="lt-LT"/>
        </w:rPr>
        <w:t xml:space="preserve"> </w:t>
      </w:r>
    </w:p>
    <w:p w:rsidR="001D789C" w:rsidRPr="001407FD" w:rsidRDefault="001D789C" w:rsidP="001D789C">
      <w:pPr>
        <w:spacing w:line="276" w:lineRule="auto"/>
        <w:jc w:val="center"/>
        <w:rPr>
          <w:rFonts w:ascii="Calibri" w:eastAsia="Calibri" w:hAnsi="Calibri" w:cs="Arial"/>
          <w:i/>
          <w:iCs/>
          <w:sz w:val="24"/>
          <w:szCs w:val="24"/>
          <w:lang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015050">
      <w:pPr>
        <w:numPr>
          <w:ilvl w:val="0"/>
          <w:numId w:val="1"/>
        </w:numPr>
        <w:spacing w:after="0" w:line="240" w:lineRule="auto"/>
        <w:contextualSpacing/>
        <w:jc w:val="center"/>
        <w:rPr>
          <w:rFonts w:ascii="Calibri" w:eastAsia="Calibri" w:hAnsi="Calibri" w:cs="Calibri"/>
          <w:b/>
          <w:bCs/>
          <w:sz w:val="21"/>
          <w:szCs w:val="21"/>
          <w:lang w:eastAsia="lt-LT"/>
        </w:rPr>
      </w:pPr>
      <w:bookmarkStart w:id="0" w:name="_Toc329443224"/>
      <w:r w:rsidRPr="001D789C">
        <w:rPr>
          <w:rFonts w:ascii="Calibri" w:eastAsia="Calibri" w:hAnsi="Calibri" w:cs="Calibri"/>
          <w:b/>
          <w:bCs/>
          <w:sz w:val="21"/>
          <w:szCs w:val="21"/>
          <w:lang w:eastAsia="lt-LT"/>
        </w:rPr>
        <w:t xml:space="preserve">  INFORMACIJA APIE TIEKĖJĄ</w:t>
      </w:r>
      <w:bookmarkEnd w:id="0"/>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7"/>
      <w:r w:rsidRPr="001D789C">
        <w:rPr>
          <w:rFonts w:ascii="Calibri" w:eastAsia="Calibri" w:hAnsi="Calibri" w:cs="Calibri"/>
          <w:b/>
          <w:bCs/>
          <w:sz w:val="21"/>
          <w:szCs w:val="21"/>
          <w:lang w:eastAsia="lt-LT"/>
        </w:rPr>
        <w:t xml:space="preserve">  INFORMACIJA APIE ŪKIO SUBJEKTUS</w:t>
      </w:r>
      <w:bookmarkEnd w:id="1"/>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015050">
      <w:pPr>
        <w:numPr>
          <w:ilvl w:val="0"/>
          <w:numId w:val="5"/>
        </w:numPr>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015050">
      <w:pPr>
        <w:numPr>
          <w:ilvl w:val="1"/>
          <w:numId w:val="1"/>
        </w:numPr>
        <w:spacing w:line="20" w:lineRule="atLeast"/>
        <w:ind w:left="567" w:right="-285" w:hanging="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015050">
      <w:pPr>
        <w:widowControl w:val="0"/>
        <w:numPr>
          <w:ilvl w:val="1"/>
          <w:numId w:val="1"/>
        </w:numPr>
        <w:shd w:val="clear" w:color="auto" w:fill="FFFFFF"/>
        <w:spacing w:after="0" w:line="240" w:lineRule="auto"/>
        <w:ind w:left="567" w:right="-285" w:hanging="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015050">
      <w:pPr>
        <w:spacing w:after="0" w:line="240" w:lineRule="auto"/>
        <w:ind w:right="-285"/>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w:t>
      </w:r>
      <w:r w:rsidR="00730BC8">
        <w:rPr>
          <w:rFonts w:ascii="Calibri" w:eastAsia="Calibri" w:hAnsi="Calibri" w:cs="Calibri"/>
          <w:sz w:val="21"/>
          <w:szCs w:val="21"/>
          <w:lang w:eastAsia="lt-LT"/>
        </w:rPr>
        <w:t>4</w:t>
      </w:r>
      <w:bookmarkStart w:id="2" w:name="_GoBack"/>
      <w:bookmarkEnd w:id="2"/>
      <w:r w:rsidRPr="001D789C">
        <w:rPr>
          <w:rFonts w:ascii="Calibri" w:eastAsia="Calibri" w:hAnsi="Calibri" w:cs="Calibri"/>
          <w:sz w:val="21"/>
          <w:szCs w:val="21"/>
          <w:lang w:eastAsia="lt-LT"/>
        </w:rPr>
        <w:t xml:space="preserve"> priedas) </w:t>
      </w:r>
    </w:p>
    <w:p w:rsidR="001D789C" w:rsidRPr="001D789C" w:rsidRDefault="001D789C" w:rsidP="00015050">
      <w:pPr>
        <w:tabs>
          <w:tab w:val="left" w:pos="993"/>
        </w:tabs>
        <w:spacing w:after="0" w:line="240" w:lineRule="auto"/>
        <w:ind w:left="567" w:right="-711" w:hanging="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015050">
      <w:pPr>
        <w:spacing w:after="0" w:line="240" w:lineRule="auto"/>
        <w:ind w:right="-711" w:firstLine="567"/>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8E2CA0" w:rsidRDefault="008E2CA0" w:rsidP="008E2CA0">
      <w:pPr>
        <w:pStyle w:val="ListParagraph"/>
        <w:numPr>
          <w:ilvl w:val="0"/>
          <w:numId w:val="1"/>
        </w:numPr>
        <w:spacing w:after="0" w:line="240" w:lineRule="auto"/>
        <w:jc w:val="center"/>
        <w:rPr>
          <w:rFonts w:ascii="Calibri" w:eastAsia="Calibri" w:hAnsi="Calibri" w:cs="Calibri"/>
          <w:b/>
          <w:bCs/>
          <w:sz w:val="21"/>
          <w:szCs w:val="21"/>
          <w:lang w:eastAsia="lt-LT"/>
        </w:rPr>
      </w:pPr>
      <w:r>
        <w:rPr>
          <w:rFonts w:ascii="Calibri" w:eastAsia="Calibri" w:hAnsi="Calibri" w:cs="Calibri"/>
          <w:b/>
          <w:bCs/>
          <w:sz w:val="21"/>
          <w:szCs w:val="21"/>
          <w:lang w:eastAsia="lt-LT"/>
        </w:rPr>
        <w:t xml:space="preserve"> </w:t>
      </w:r>
      <w:r w:rsidR="001D789C" w:rsidRPr="008E2CA0">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8E2CA0">
      <w:pPr>
        <w:spacing w:after="0" w:line="240" w:lineRule="auto"/>
        <w:ind w:left="567" w:hanging="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TableGrid"/>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6C4C72">
        <w:tc>
          <w:tcPr>
            <w:tcW w:w="0" w:type="auto"/>
            <w:tcBorders>
              <w:bottom w:val="single" w:sz="4" w:space="0" w:color="auto"/>
            </w:tcBorders>
          </w:tcPr>
          <w:p w:rsidR="001D789C" w:rsidRPr="001D789C" w:rsidRDefault="000979C2" w:rsidP="000979C2">
            <w:pPr>
              <w:rPr>
                <w:rFonts w:hAnsi="Calibri" w:cs="Calibri"/>
                <w:bCs/>
              </w:rPr>
            </w:pPr>
            <w:r>
              <w:rPr>
                <w:rFonts w:ascii="Calibri" w:hAnsi="Calibri" w:cs="Calibri"/>
                <w:bCs/>
              </w:rPr>
              <w:t>4</w:t>
            </w:r>
            <w:r w:rsidR="001D789C" w:rsidRPr="001D789C">
              <w:rPr>
                <w:rFonts w:ascii="Calibri" w:hAnsi="Calibri" w:cs="Calibri"/>
                <w:bCs/>
              </w:rPr>
              <w:t>.</w:t>
            </w:r>
          </w:p>
        </w:tc>
        <w:tc>
          <w:tcPr>
            <w:tcW w:w="3478" w:type="dxa"/>
            <w:tcBorders>
              <w:bottom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Borders>
              <w:bottom w:val="single" w:sz="4" w:space="0" w:color="auto"/>
            </w:tcBorders>
          </w:tcPr>
          <w:p w:rsidR="001D789C" w:rsidRPr="001D789C" w:rsidRDefault="001D789C" w:rsidP="001D789C">
            <w:pPr>
              <w:rPr>
                <w:rFonts w:hAnsi="Calibri" w:cs="Calibri"/>
                <w:highlight w:val="yellow"/>
              </w:rPr>
            </w:pPr>
          </w:p>
        </w:tc>
        <w:tc>
          <w:tcPr>
            <w:tcW w:w="0" w:type="auto"/>
            <w:tcBorders>
              <w:bottom w:val="single" w:sz="4" w:space="0" w:color="auto"/>
            </w:tcBorders>
          </w:tcPr>
          <w:p w:rsidR="001D789C" w:rsidRPr="001D789C" w:rsidRDefault="001D789C" w:rsidP="001D789C">
            <w:pPr>
              <w:rPr>
                <w:rFonts w:hAnsi="Calibri" w:cs="Calibri"/>
              </w:rPr>
            </w:pPr>
          </w:p>
        </w:tc>
        <w:tc>
          <w:tcPr>
            <w:tcW w:w="0" w:type="auto"/>
            <w:tcBorders>
              <w:bottom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left w:val="single" w:sz="4" w:space="0" w:color="auto"/>
              <w:bottom w:val="single" w:sz="4" w:space="0" w:color="auto"/>
              <w:right w:val="single" w:sz="4" w:space="0" w:color="auto"/>
            </w:tcBorders>
          </w:tcPr>
          <w:p w:rsidR="001D789C" w:rsidRPr="001D789C" w:rsidRDefault="000979C2" w:rsidP="000979C2">
            <w:pPr>
              <w:rPr>
                <w:rFonts w:hAnsi="Calibri" w:cs="Calibri"/>
                <w:bCs/>
                <w:sz w:val="21"/>
                <w:szCs w:val="21"/>
              </w:rPr>
            </w:pPr>
            <w:r>
              <w:rPr>
                <w:rFonts w:hAnsi="Calibri" w:cs="Calibri"/>
                <w:bCs/>
                <w:sz w:val="21"/>
                <w:szCs w:val="21"/>
              </w:rPr>
              <w:t>5</w:t>
            </w:r>
            <w:r w:rsidR="001D789C" w:rsidRPr="001D789C">
              <w:rPr>
                <w:rFonts w:hAnsi="Calibri" w:cs="Calibri"/>
                <w:bCs/>
                <w:sz w:val="21"/>
                <w:szCs w:val="21"/>
              </w:rPr>
              <w:t>.</w:t>
            </w:r>
          </w:p>
        </w:tc>
        <w:tc>
          <w:tcPr>
            <w:tcW w:w="3478"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tcBorders>
          </w:tcPr>
          <w:p w:rsidR="001D789C" w:rsidRPr="001D789C" w:rsidRDefault="001D789C" w:rsidP="001D789C">
            <w:pPr>
              <w:rPr>
                <w:rFonts w:hAnsi="Calibri" w:cs="Calibri"/>
                <w:bCs/>
                <w:sz w:val="21"/>
                <w:szCs w:val="21"/>
              </w:rPr>
            </w:pPr>
          </w:p>
        </w:tc>
        <w:tc>
          <w:tcPr>
            <w:tcW w:w="3478" w:type="dxa"/>
            <w:tcBorders>
              <w:top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Borders>
              <w:top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tcBorders>
          </w:tcPr>
          <w:p w:rsidR="001D789C" w:rsidRPr="001D789C" w:rsidRDefault="001D789C" w:rsidP="001D789C">
            <w:pPr>
              <w:rPr>
                <w:rFonts w:hAnsi="Calibri" w:cs="Calibri"/>
              </w:rPr>
            </w:pPr>
          </w:p>
        </w:tc>
        <w:tc>
          <w:tcPr>
            <w:tcW w:w="0" w:type="auto"/>
            <w:tcBorders>
              <w:top w:val="single" w:sz="4" w:space="0" w:color="auto"/>
            </w:tcBorders>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0979C2" w:rsidP="001D789C">
            <w:pPr>
              <w:rPr>
                <w:rFonts w:ascii="Calibri" w:hAnsi="Calibri" w:cs="Calibri"/>
              </w:rPr>
            </w:pPr>
            <w:r>
              <w:rPr>
                <w:rFonts w:ascii="Calibri" w:hAnsi="Calibri" w:cs="Calibri"/>
              </w:rPr>
              <w:t>6</w:t>
            </w:r>
            <w:r w:rsidR="001D789C" w:rsidRPr="001D789C">
              <w:rPr>
                <w:rFonts w:ascii="Calibri" w:hAnsi="Calibri" w:cs="Calibri"/>
              </w:rPr>
              <w:t>.</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lastRenderedPageBreak/>
        <w:t>Pasirašydamas šį pasiūlymą, tvirtinu,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8E2CA0" w:rsidRPr="001D789C" w:rsidRDefault="008E2CA0"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Tiekėjas, visi tiekėjų grupės nariai (jei dalyvauja tiekėjų grupė), bei ūkio subjektai, kurių </w:t>
      </w:r>
      <w:proofErr w:type="spellStart"/>
      <w:r>
        <w:rPr>
          <w:rFonts w:ascii="Calibri" w:eastAsia="Calibri" w:hAnsi="Calibri" w:cs="Calibri"/>
          <w:sz w:val="21"/>
          <w:szCs w:val="21"/>
          <w:lang w:eastAsia="lt-LT"/>
        </w:rPr>
        <w:t>pajėgumais</w:t>
      </w:r>
      <w:proofErr w:type="spellEnd"/>
      <w:r>
        <w:rPr>
          <w:rFonts w:ascii="Calibri" w:eastAsia="Calibri" w:hAnsi="Calibri" w:cs="Calibri"/>
          <w:sz w:val="21"/>
          <w:szCs w:val="21"/>
          <w:lang w:eastAsia="lt-LT"/>
        </w:rPr>
        <w:t xml:space="preserve"> remiuosi (jei tokių yra) VPĮ 46 str. 2</w:t>
      </w:r>
      <w:r w:rsidRPr="008E2CA0">
        <w:rPr>
          <w:rFonts w:ascii="Calibri" w:eastAsia="Calibri" w:hAnsi="Calibri" w:cs="Calibri"/>
          <w:sz w:val="21"/>
          <w:szCs w:val="21"/>
          <w:vertAlign w:val="superscript"/>
          <w:lang w:eastAsia="lt-LT"/>
        </w:rPr>
        <w:t>1</w:t>
      </w:r>
      <w:r>
        <w:rPr>
          <w:rFonts w:ascii="Calibri" w:eastAsia="Calibri" w:hAnsi="Calibri" w:cs="Calibri"/>
          <w:sz w:val="21"/>
          <w:szCs w:val="21"/>
          <w:lang w:eastAsia="lt-LT"/>
        </w:rPr>
        <w:t xml:space="preserve"> d. nustatyto pašalinimo pagrindo neturime;</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0979C2">
        <w:rPr>
          <w:rFonts w:ascii="Calibri" w:eastAsia="Calibri" w:hAnsi="Calibri" w:cs="Calibri"/>
          <w:sz w:val="21"/>
          <w:szCs w:val="21"/>
          <w:lang w:eastAsia="lt-LT"/>
        </w:rPr>
        <w:t>8</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0979C2">
        <w:rPr>
          <w:rFonts w:ascii="Calibri" w:eastAsia="Calibri" w:hAnsi="Calibri" w:cs="Calibri"/>
          <w:sz w:val="21"/>
          <w:szCs w:val="21"/>
          <w:lang w:eastAsia="lt-LT"/>
        </w:rPr>
        <w:t>5</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015050">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67BDA"/>
    <w:multiLevelType w:val="hybridMultilevel"/>
    <w:tmpl w:val="499C62E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4"/>
  </w:num>
  <w:num w:numId="2">
    <w:abstractNumId w:val="0"/>
  </w:num>
  <w:num w:numId="3">
    <w:abstractNumId w:val="3"/>
  </w:num>
  <w:num w:numId="4">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4"/>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015050"/>
    <w:rsid w:val="00070E16"/>
    <w:rsid w:val="000979C2"/>
    <w:rsid w:val="00133544"/>
    <w:rsid w:val="00137E72"/>
    <w:rsid w:val="001407FD"/>
    <w:rsid w:val="001837E4"/>
    <w:rsid w:val="001D789C"/>
    <w:rsid w:val="00332AC0"/>
    <w:rsid w:val="00346E00"/>
    <w:rsid w:val="00544FBB"/>
    <w:rsid w:val="005617CC"/>
    <w:rsid w:val="006C4C72"/>
    <w:rsid w:val="00730BC8"/>
    <w:rsid w:val="0089554F"/>
    <w:rsid w:val="008E2CA0"/>
    <w:rsid w:val="008F7FB9"/>
    <w:rsid w:val="00A22B2A"/>
    <w:rsid w:val="00A4419F"/>
    <w:rsid w:val="00A85015"/>
    <w:rsid w:val="00D2602F"/>
    <w:rsid w:val="00EE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9969"/>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3653</Words>
  <Characters>2083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Ilona Kontautienė</cp:lastModifiedBy>
  <cp:revision>3</cp:revision>
  <cp:lastPrinted>2023-03-10T09:11:00Z</cp:lastPrinted>
  <dcterms:created xsi:type="dcterms:W3CDTF">2025-10-02T06:55:00Z</dcterms:created>
  <dcterms:modified xsi:type="dcterms:W3CDTF">2025-10-02T10:09:00Z</dcterms:modified>
</cp:coreProperties>
</file>