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D1C53" w:rsidRDefault="00B90A76" w:rsidP="00B90A76">
      <w:pPr>
        <w:pStyle w:val="Header"/>
        <w:tabs>
          <w:tab w:val="clear" w:pos="4153"/>
          <w:tab w:val="clear" w:pos="8306"/>
        </w:tabs>
        <w:jc w:val="center"/>
        <w:rPr>
          <w:rFonts w:asciiTheme="majorHAnsi" w:hAnsiTheme="majorHAnsi"/>
          <w:sz w:val="22"/>
          <w:szCs w:val="22"/>
        </w:rPr>
      </w:pPr>
      <w:r w:rsidRPr="008D1C53">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D1C53" w:rsidRDefault="00B90A76" w:rsidP="00B90A76">
      <w:pPr>
        <w:pStyle w:val="Header"/>
        <w:tabs>
          <w:tab w:val="clear" w:pos="4153"/>
          <w:tab w:val="clear" w:pos="8306"/>
        </w:tabs>
        <w:jc w:val="center"/>
        <w:rPr>
          <w:rFonts w:asciiTheme="majorHAnsi" w:hAnsiTheme="majorHAnsi"/>
          <w:sz w:val="22"/>
          <w:szCs w:val="22"/>
        </w:rPr>
      </w:pPr>
    </w:p>
    <w:p w:rsidR="00B90A76" w:rsidRPr="008D1C53" w:rsidRDefault="00B90A76" w:rsidP="00B90A76">
      <w:pPr>
        <w:pStyle w:val="Caption"/>
        <w:rPr>
          <w:rFonts w:asciiTheme="majorHAnsi" w:hAnsiTheme="majorHAnsi"/>
          <w:bCs w:val="0"/>
          <w:sz w:val="22"/>
          <w:szCs w:val="22"/>
          <w:lang w:val="lt-LT"/>
        </w:rPr>
      </w:pPr>
      <w:r w:rsidRPr="008D1C53">
        <w:rPr>
          <w:rFonts w:asciiTheme="majorHAnsi" w:hAnsiTheme="majorHAnsi"/>
          <w:bCs w:val="0"/>
          <w:sz w:val="22"/>
          <w:szCs w:val="22"/>
          <w:lang w:val="lt-LT"/>
        </w:rPr>
        <w:t xml:space="preserve">LIETUVOS SVEIKATOS MOKSLŲ UNIVERSITETO LIGONINĖ </w:t>
      </w:r>
    </w:p>
    <w:p w:rsidR="00B90A76" w:rsidRPr="008D1C53" w:rsidRDefault="00B90A76" w:rsidP="00B90A76">
      <w:pPr>
        <w:jc w:val="center"/>
        <w:rPr>
          <w:rFonts w:asciiTheme="majorHAnsi" w:hAnsiTheme="majorHAnsi"/>
          <w:b/>
          <w:sz w:val="22"/>
          <w:szCs w:val="22"/>
        </w:rPr>
      </w:pPr>
      <w:r w:rsidRPr="008D1C53">
        <w:rPr>
          <w:rFonts w:asciiTheme="majorHAnsi" w:hAnsiTheme="majorHAnsi"/>
          <w:b/>
          <w:sz w:val="22"/>
          <w:szCs w:val="22"/>
        </w:rPr>
        <w:t>KAUNO KLINIKOS</w:t>
      </w:r>
    </w:p>
    <w:p w:rsidR="00B90A76" w:rsidRPr="008D1C53" w:rsidRDefault="00B90A76" w:rsidP="00B90A76">
      <w:pPr>
        <w:rPr>
          <w:rFonts w:asciiTheme="majorHAnsi" w:hAnsiTheme="majorHAnsi"/>
          <w:b/>
          <w:sz w:val="16"/>
          <w:szCs w:val="16"/>
        </w:rPr>
      </w:pPr>
    </w:p>
    <w:p w:rsidR="00683AEC" w:rsidRPr="008D1C53" w:rsidRDefault="00B90A76" w:rsidP="00B90A76">
      <w:pPr>
        <w:jc w:val="center"/>
        <w:rPr>
          <w:rFonts w:asciiTheme="majorHAnsi" w:hAnsiTheme="majorHAnsi"/>
          <w:sz w:val="20"/>
          <w:szCs w:val="16"/>
        </w:rPr>
      </w:pPr>
      <w:r w:rsidRPr="008D1C53">
        <w:rPr>
          <w:rFonts w:asciiTheme="majorHAnsi" w:hAnsiTheme="majorHAnsi"/>
          <w:sz w:val="20"/>
          <w:szCs w:val="16"/>
        </w:rPr>
        <w:t>Viešoji įstaiga, Eivenių g. 2, 50161 Kaunas, tel. (8 37) 32 63 60, (8 37) 32 69 75,</w:t>
      </w:r>
    </w:p>
    <w:p w:rsidR="00683AEC" w:rsidRPr="008D1C53" w:rsidRDefault="00B90A76" w:rsidP="00B90A76">
      <w:pPr>
        <w:jc w:val="center"/>
        <w:rPr>
          <w:rFonts w:asciiTheme="majorHAnsi" w:hAnsiTheme="majorHAnsi"/>
          <w:sz w:val="20"/>
          <w:szCs w:val="16"/>
        </w:rPr>
      </w:pPr>
      <w:r w:rsidRPr="008D1C53">
        <w:rPr>
          <w:rFonts w:asciiTheme="majorHAnsi" w:hAnsiTheme="majorHAnsi"/>
          <w:sz w:val="20"/>
          <w:szCs w:val="16"/>
        </w:rPr>
        <w:t xml:space="preserve"> faks. (8 37) 32 64 27, el.p. rastine@kaunoklinikos.lt.  </w:t>
      </w:r>
    </w:p>
    <w:p w:rsidR="00B90A76" w:rsidRPr="008D1C53" w:rsidRDefault="00B90A76" w:rsidP="00B90A76">
      <w:pPr>
        <w:jc w:val="center"/>
        <w:rPr>
          <w:rFonts w:asciiTheme="majorHAnsi" w:hAnsiTheme="majorHAnsi"/>
          <w:sz w:val="20"/>
          <w:szCs w:val="16"/>
        </w:rPr>
      </w:pPr>
      <w:r w:rsidRPr="008D1C53">
        <w:rPr>
          <w:rFonts w:asciiTheme="majorHAnsi" w:hAnsiTheme="majorHAnsi"/>
          <w:sz w:val="20"/>
          <w:szCs w:val="16"/>
        </w:rPr>
        <w:t>Duomenys kaupiami ir saugomi Juridinių asmenų registre, kodas 135163499</w:t>
      </w:r>
    </w:p>
    <w:p w:rsidR="00B90A76" w:rsidRPr="008D1C53" w:rsidRDefault="00B90A76" w:rsidP="00B90A76">
      <w:pPr>
        <w:jc w:val="center"/>
        <w:rPr>
          <w:rFonts w:asciiTheme="majorHAnsi" w:hAnsiTheme="majorHAnsi"/>
          <w:sz w:val="16"/>
          <w:szCs w:val="16"/>
        </w:rPr>
      </w:pPr>
      <w:r w:rsidRPr="008D1C53">
        <w:rPr>
          <w:rFonts w:asciiTheme="majorHAnsi" w:hAnsiTheme="majorHAnsi"/>
          <w:sz w:val="16"/>
          <w:szCs w:val="16"/>
        </w:rPr>
        <w:t>_______________________________________________________________________________________________</w:t>
      </w:r>
      <w:r w:rsidR="00A3526A" w:rsidRPr="008D1C53">
        <w:rPr>
          <w:rFonts w:asciiTheme="majorHAnsi" w:hAnsiTheme="majorHAnsi"/>
          <w:sz w:val="16"/>
          <w:szCs w:val="16"/>
        </w:rPr>
        <w:t>________________</w:t>
      </w:r>
    </w:p>
    <w:p w:rsidR="00B90A76" w:rsidRPr="008D1C53" w:rsidRDefault="00B90A76" w:rsidP="00B90A76">
      <w:pPr>
        <w:pStyle w:val="Patvirtinta"/>
        <w:ind w:left="5670"/>
        <w:rPr>
          <w:rFonts w:asciiTheme="majorHAnsi" w:hAnsiTheme="majorHAnsi"/>
          <w:i/>
          <w:sz w:val="22"/>
          <w:szCs w:val="22"/>
          <w:lang w:val="lt-LT"/>
        </w:rPr>
      </w:pPr>
    </w:p>
    <w:p w:rsidR="006D28DA" w:rsidRPr="008D1C53" w:rsidRDefault="006D28DA" w:rsidP="00B90A76">
      <w:pPr>
        <w:pStyle w:val="Patvirtinta"/>
        <w:ind w:left="5670"/>
        <w:rPr>
          <w:rFonts w:asciiTheme="majorHAnsi" w:hAnsiTheme="majorHAnsi"/>
          <w:i/>
          <w:sz w:val="22"/>
          <w:szCs w:val="22"/>
          <w:lang w:val="lt-LT"/>
        </w:rPr>
      </w:pPr>
    </w:p>
    <w:p w:rsidR="00B90A76" w:rsidRPr="008D1C53" w:rsidRDefault="00B90A76" w:rsidP="00B90A76">
      <w:pPr>
        <w:tabs>
          <w:tab w:val="right" w:leader="underscore" w:pos="8505"/>
        </w:tabs>
        <w:jc w:val="center"/>
        <w:rPr>
          <w:rFonts w:asciiTheme="majorHAnsi" w:hAnsiTheme="majorHAnsi"/>
          <w:i/>
          <w:sz w:val="22"/>
          <w:szCs w:val="22"/>
        </w:rPr>
      </w:pPr>
    </w:p>
    <w:p w:rsidR="00B90A76" w:rsidRPr="008D1C53" w:rsidRDefault="00B90A76" w:rsidP="00B90A76">
      <w:pPr>
        <w:jc w:val="center"/>
        <w:rPr>
          <w:rFonts w:asciiTheme="majorHAnsi" w:hAnsiTheme="majorHAnsi"/>
          <w:b/>
          <w:sz w:val="22"/>
          <w:szCs w:val="22"/>
        </w:rPr>
      </w:pPr>
      <w:r w:rsidRPr="008D1C53">
        <w:rPr>
          <w:rFonts w:asciiTheme="majorHAnsi" w:hAnsiTheme="majorHAnsi"/>
          <w:b/>
          <w:sz w:val="22"/>
          <w:szCs w:val="22"/>
        </w:rPr>
        <w:t xml:space="preserve">ATVIRO KONKURSO </w:t>
      </w:r>
      <w:r w:rsidR="00366ED5" w:rsidRPr="008D1C53">
        <w:rPr>
          <w:rFonts w:asciiTheme="majorHAnsi" w:hAnsiTheme="majorHAnsi"/>
          <w:b/>
          <w:sz w:val="22"/>
          <w:szCs w:val="22"/>
        </w:rPr>
        <w:t>SĄLYGOS</w:t>
      </w:r>
    </w:p>
    <w:p w:rsidR="00434298" w:rsidRPr="008D1C53" w:rsidRDefault="00434298" w:rsidP="00B90A76">
      <w:pPr>
        <w:jc w:val="center"/>
        <w:rPr>
          <w:rFonts w:asciiTheme="majorHAnsi" w:hAnsiTheme="majorHAnsi"/>
          <w:b/>
        </w:rPr>
      </w:pPr>
    </w:p>
    <w:p w:rsidR="00560CF4" w:rsidRPr="008D1C53" w:rsidRDefault="008D1C53" w:rsidP="00B90A76">
      <w:pPr>
        <w:jc w:val="center"/>
        <w:rPr>
          <w:rFonts w:asciiTheme="majorHAnsi" w:hAnsiTheme="majorHAnsi"/>
          <w:b/>
          <w:sz w:val="22"/>
          <w:szCs w:val="22"/>
        </w:rPr>
      </w:pPr>
      <w:r w:rsidRPr="008D1C53">
        <w:rPr>
          <w:rFonts w:asciiTheme="majorHAnsi" w:hAnsiTheme="majorHAnsi"/>
          <w:b/>
          <w:sz w:val="22"/>
          <w:szCs w:val="22"/>
        </w:rPr>
        <w:t xml:space="preserve">REAGENTAI IR PAPILDOMOS PRIEMONĖS KRAUJO IR AUDINIŲ SKYSČIŲ TYRIMŲ ATLIKIMUI KARTU SU AUTOMATIZUOTOS SISTEMOS ĮSIGIJIMU PANAUDOS BŪDU  </w:t>
      </w:r>
    </w:p>
    <w:p w:rsidR="008D1C53" w:rsidRPr="008D1C53" w:rsidRDefault="008D1C53" w:rsidP="00B90A76">
      <w:pPr>
        <w:jc w:val="center"/>
        <w:rPr>
          <w:rFonts w:asciiTheme="majorHAnsi" w:hAnsiTheme="majorHAnsi"/>
          <w:b/>
          <w:color w:val="000000"/>
          <w:sz w:val="22"/>
          <w:szCs w:val="22"/>
        </w:rPr>
      </w:pPr>
    </w:p>
    <w:p w:rsidR="00B90A76" w:rsidRPr="008D1C53" w:rsidRDefault="00B90A76" w:rsidP="00B90A76">
      <w:pPr>
        <w:jc w:val="center"/>
        <w:rPr>
          <w:rFonts w:asciiTheme="majorHAnsi" w:hAnsiTheme="majorHAnsi"/>
          <w:b/>
          <w:color w:val="000000"/>
          <w:sz w:val="22"/>
          <w:szCs w:val="22"/>
        </w:rPr>
      </w:pPr>
      <w:r w:rsidRPr="008D1C53">
        <w:rPr>
          <w:rFonts w:asciiTheme="majorHAnsi" w:hAnsiTheme="majorHAnsi"/>
          <w:b/>
          <w:color w:val="000000"/>
          <w:sz w:val="22"/>
          <w:szCs w:val="22"/>
        </w:rPr>
        <w:t>TURINYS</w:t>
      </w:r>
    </w:p>
    <w:p w:rsidR="003E2F1B" w:rsidRPr="008D1C53" w:rsidRDefault="003E2F1B" w:rsidP="003E2F1B">
      <w:pPr>
        <w:rPr>
          <w:rFonts w:asciiTheme="majorHAnsi" w:hAnsiTheme="majorHAnsi"/>
          <w:bCs/>
          <w:caps/>
          <w:color w:val="000000"/>
          <w:sz w:val="22"/>
          <w:szCs w:val="22"/>
        </w:rPr>
      </w:pPr>
    </w:p>
    <w:p w:rsidR="00717EB2" w:rsidRPr="008D1C53" w:rsidRDefault="00717EB2" w:rsidP="00717EB2">
      <w:pPr>
        <w:jc w:val="center"/>
        <w:rPr>
          <w:rFonts w:asciiTheme="majorHAnsi" w:hAnsiTheme="majorHAnsi"/>
          <w:sz w:val="22"/>
          <w:szCs w:val="22"/>
        </w:rPr>
      </w:pPr>
    </w:p>
    <w:tbl>
      <w:tblPr>
        <w:tblW w:w="0" w:type="auto"/>
        <w:tblLook w:val="01E0" w:firstRow="1" w:lastRow="1" w:firstColumn="1" w:lastColumn="1" w:noHBand="0" w:noVBand="0"/>
      </w:tblPr>
      <w:tblGrid>
        <w:gridCol w:w="852"/>
        <w:gridCol w:w="8781"/>
      </w:tblGrid>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w:t>
            </w:r>
          </w:p>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2.</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BENDROSIOS NUOSTATOS</w:t>
            </w:r>
          </w:p>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PIRKIMO OBJEKTAS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3.</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TIEKĖJŲ PAŠALINIMO PAGRINDAI IR REIKALAUJAMA KVALIFIKACIJA</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4.</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ŪKIO SUBJEKTŲ GRUPĖS DALYVAVIMAS PIRKIMO PROCEDŪROSE</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5.</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RENGIMAS, PATEIKIMAS, KEITIMAS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6.</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ŠIFRAVIMAS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7.</w:t>
            </w:r>
          </w:p>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8.</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GALIOJIMO UŽTIKRINIMAS</w:t>
            </w:r>
          </w:p>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PAVYZDŽIŲ PATEIKIMAS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9.</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PIRKIMO DOKUMENTŲ PAAIŠKINIMAS IR PATIKSLINIMAS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10.</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SUSIPAŽINIMAS SU GAUTAIS PASIŪLYMAIS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11.</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NAGRINĖJIMAS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12.</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ELEKTRONINIS AUKCIONAS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13.</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ATMETIMO PRIEŽASTYS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14.</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VERTINIMAS IR PALYGINIMAS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15.</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PASIŪLYMŲ EILĖ IR LAIMĖTOJO NUSTATYMAS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16.</w:t>
            </w: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PRETENZIJŲ IR SKUNDŲ NAGRINĖJIMAS</w:t>
            </w:r>
          </w:p>
        </w:tc>
      </w:tr>
      <w:tr w:rsidR="00717EB2" w:rsidRPr="008D1C53" w:rsidTr="00717EB2">
        <w:tc>
          <w:tcPr>
            <w:tcW w:w="856"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17.</w:t>
            </w:r>
          </w:p>
          <w:p w:rsidR="00717EB2" w:rsidRPr="008D1C53" w:rsidRDefault="00717EB2" w:rsidP="00717EB2">
            <w:pPr>
              <w:jc w:val="both"/>
              <w:rPr>
                <w:rFonts w:asciiTheme="majorHAnsi" w:hAnsiTheme="majorHAnsi"/>
                <w:sz w:val="22"/>
                <w:szCs w:val="22"/>
              </w:rPr>
            </w:pPr>
          </w:p>
        </w:tc>
        <w:tc>
          <w:tcPr>
            <w:tcW w:w="8860" w:type="dxa"/>
          </w:tcPr>
          <w:p w:rsidR="00717EB2" w:rsidRPr="008D1C53" w:rsidRDefault="00717EB2" w:rsidP="00717EB2">
            <w:pPr>
              <w:jc w:val="both"/>
              <w:rPr>
                <w:rFonts w:asciiTheme="majorHAnsi" w:hAnsiTheme="majorHAnsi"/>
                <w:sz w:val="22"/>
                <w:szCs w:val="22"/>
              </w:rPr>
            </w:pPr>
            <w:r w:rsidRPr="008D1C53">
              <w:rPr>
                <w:rFonts w:asciiTheme="majorHAnsi" w:hAnsiTheme="majorHAnsi"/>
                <w:sz w:val="22"/>
                <w:szCs w:val="22"/>
              </w:rPr>
              <w:t>PIRKIMO SUTARTIES PASIRAŠYMAS IR SĄLYGOS</w:t>
            </w:r>
          </w:p>
          <w:p w:rsidR="00717EB2" w:rsidRPr="008D1C53" w:rsidRDefault="00717EB2" w:rsidP="00717EB2">
            <w:pPr>
              <w:jc w:val="both"/>
              <w:rPr>
                <w:rFonts w:asciiTheme="majorHAnsi" w:hAnsiTheme="majorHAnsi"/>
                <w:sz w:val="22"/>
                <w:szCs w:val="22"/>
              </w:rPr>
            </w:pPr>
          </w:p>
        </w:tc>
      </w:tr>
    </w:tbl>
    <w:p w:rsidR="00B90A76" w:rsidRPr="008D1C53" w:rsidRDefault="00B90A76" w:rsidP="00E1318B">
      <w:pPr>
        <w:ind w:left="-907" w:firstLine="902"/>
        <w:rPr>
          <w:rFonts w:asciiTheme="majorHAnsi" w:hAnsiTheme="majorHAnsi"/>
          <w:bCs/>
          <w:caps/>
          <w:color w:val="000000"/>
          <w:sz w:val="22"/>
          <w:szCs w:val="22"/>
        </w:rPr>
      </w:pPr>
    </w:p>
    <w:p w:rsidR="00D245C0" w:rsidRPr="008D1C53" w:rsidRDefault="00D245C0" w:rsidP="00E1318B">
      <w:pPr>
        <w:ind w:left="-907" w:firstLine="902"/>
        <w:rPr>
          <w:rFonts w:asciiTheme="majorHAnsi" w:hAnsiTheme="majorHAnsi"/>
          <w:bCs/>
          <w:caps/>
          <w:color w:val="000000"/>
          <w:sz w:val="22"/>
          <w:szCs w:val="22"/>
        </w:rPr>
      </w:pPr>
      <w:r w:rsidRPr="008D1C53">
        <w:rPr>
          <w:rFonts w:asciiTheme="majorHAnsi" w:hAnsiTheme="majorHAnsi"/>
          <w:bCs/>
          <w:caps/>
          <w:color w:val="000000"/>
          <w:sz w:val="22"/>
          <w:szCs w:val="22"/>
        </w:rPr>
        <w:t>PRIEDAI:</w:t>
      </w:r>
    </w:p>
    <w:p w:rsidR="00D63B47" w:rsidRPr="008D1C53" w:rsidRDefault="00D63B47" w:rsidP="00D63B47">
      <w:pPr>
        <w:jc w:val="both"/>
        <w:rPr>
          <w:rFonts w:asciiTheme="majorHAnsi" w:hAnsiTheme="majorHAnsi"/>
          <w:sz w:val="22"/>
          <w:szCs w:val="22"/>
        </w:rPr>
      </w:pPr>
      <w:r w:rsidRPr="008D1C53">
        <w:rPr>
          <w:rFonts w:asciiTheme="majorHAnsi" w:hAnsiTheme="majorHAnsi"/>
          <w:sz w:val="22"/>
          <w:szCs w:val="22"/>
        </w:rPr>
        <w:t>1. Pasiūlymo forma (1</w:t>
      </w:r>
      <w:r w:rsidR="0001747C" w:rsidRPr="008D1C53">
        <w:rPr>
          <w:rFonts w:asciiTheme="majorHAnsi" w:hAnsiTheme="majorHAnsi"/>
          <w:sz w:val="22"/>
          <w:szCs w:val="22"/>
        </w:rPr>
        <w:t xml:space="preserve"> </w:t>
      </w:r>
      <w:r w:rsidRPr="008D1C53">
        <w:rPr>
          <w:rFonts w:asciiTheme="majorHAnsi" w:hAnsiTheme="majorHAnsi"/>
          <w:sz w:val="22"/>
          <w:szCs w:val="22"/>
        </w:rPr>
        <w:t>priedas);</w:t>
      </w:r>
    </w:p>
    <w:p w:rsidR="00D63B47" w:rsidRPr="008D1C53" w:rsidRDefault="00D63B47" w:rsidP="00D63B47">
      <w:pPr>
        <w:jc w:val="both"/>
        <w:rPr>
          <w:rFonts w:asciiTheme="majorHAnsi" w:hAnsiTheme="majorHAnsi"/>
          <w:sz w:val="22"/>
          <w:szCs w:val="22"/>
        </w:rPr>
      </w:pPr>
      <w:r w:rsidRPr="008D1C53">
        <w:rPr>
          <w:rFonts w:asciiTheme="majorHAnsi" w:hAnsiTheme="majorHAnsi"/>
          <w:sz w:val="22"/>
          <w:szCs w:val="22"/>
        </w:rPr>
        <w:t xml:space="preserve">2. </w:t>
      </w:r>
      <w:r w:rsidRPr="008D1C53">
        <w:rPr>
          <w:rFonts w:asciiTheme="majorHAnsi" w:hAnsiTheme="majorHAnsi"/>
          <w:bCs/>
          <w:sz w:val="22"/>
          <w:szCs w:val="22"/>
        </w:rPr>
        <w:t xml:space="preserve">Sutarties projektas </w:t>
      </w:r>
      <w:r w:rsidRPr="008D1C53">
        <w:rPr>
          <w:rFonts w:asciiTheme="majorHAnsi" w:hAnsiTheme="majorHAnsi"/>
          <w:sz w:val="22"/>
          <w:szCs w:val="22"/>
        </w:rPr>
        <w:t>(2</w:t>
      </w:r>
      <w:r w:rsidR="0001747C" w:rsidRPr="008D1C53">
        <w:rPr>
          <w:rFonts w:asciiTheme="majorHAnsi" w:hAnsiTheme="majorHAnsi"/>
          <w:sz w:val="22"/>
          <w:szCs w:val="22"/>
        </w:rPr>
        <w:t xml:space="preserve"> </w:t>
      </w:r>
      <w:r w:rsidRPr="008D1C53">
        <w:rPr>
          <w:rFonts w:asciiTheme="majorHAnsi" w:hAnsiTheme="majorHAnsi"/>
          <w:sz w:val="22"/>
          <w:szCs w:val="22"/>
        </w:rPr>
        <w:t>priedas);</w:t>
      </w:r>
    </w:p>
    <w:p w:rsidR="00D63B47" w:rsidRPr="008D1C53" w:rsidRDefault="008116AC" w:rsidP="00D63B47">
      <w:pPr>
        <w:jc w:val="both"/>
        <w:rPr>
          <w:rFonts w:asciiTheme="majorHAnsi" w:hAnsiTheme="majorHAnsi"/>
          <w:sz w:val="22"/>
          <w:szCs w:val="22"/>
          <w:lang w:eastAsia="lt-LT"/>
        </w:rPr>
      </w:pPr>
      <w:r w:rsidRPr="008D1C53">
        <w:rPr>
          <w:rFonts w:asciiTheme="majorHAnsi" w:hAnsiTheme="majorHAnsi"/>
          <w:sz w:val="22"/>
          <w:szCs w:val="22"/>
        </w:rPr>
        <w:t>3</w:t>
      </w:r>
      <w:r w:rsidR="00D63B47" w:rsidRPr="008D1C53">
        <w:rPr>
          <w:rFonts w:asciiTheme="majorHAnsi" w:hAnsiTheme="majorHAnsi"/>
          <w:sz w:val="22"/>
          <w:szCs w:val="22"/>
        </w:rPr>
        <w:t xml:space="preserve">. </w:t>
      </w:r>
      <w:r w:rsidR="006E3FB8" w:rsidRPr="008D1C53">
        <w:rPr>
          <w:rFonts w:asciiTheme="majorHAnsi" w:hAnsiTheme="majorHAnsi"/>
          <w:sz w:val="22"/>
          <w:szCs w:val="22"/>
          <w:lang w:eastAsia="lt-LT"/>
        </w:rPr>
        <w:t xml:space="preserve">Techninė specifikacija </w:t>
      </w:r>
      <w:r w:rsidR="007B0C00" w:rsidRPr="008D1C53">
        <w:rPr>
          <w:rFonts w:asciiTheme="majorHAnsi" w:hAnsiTheme="majorHAnsi"/>
          <w:sz w:val="22"/>
          <w:szCs w:val="22"/>
        </w:rPr>
        <w:t>(</w:t>
      </w:r>
      <w:r w:rsidR="008C335F" w:rsidRPr="008D1C53">
        <w:rPr>
          <w:rFonts w:asciiTheme="majorHAnsi" w:hAnsiTheme="majorHAnsi"/>
          <w:sz w:val="22"/>
          <w:szCs w:val="22"/>
        </w:rPr>
        <w:t xml:space="preserve">3 </w:t>
      </w:r>
      <w:r w:rsidR="00D63B47" w:rsidRPr="008D1C53">
        <w:rPr>
          <w:rFonts w:asciiTheme="majorHAnsi" w:hAnsiTheme="majorHAnsi"/>
          <w:sz w:val="22"/>
          <w:szCs w:val="22"/>
        </w:rPr>
        <w:t>priedas)</w:t>
      </w:r>
      <w:r w:rsidR="00683AEC" w:rsidRPr="008D1C53">
        <w:rPr>
          <w:rFonts w:asciiTheme="majorHAnsi" w:hAnsiTheme="majorHAnsi"/>
          <w:sz w:val="22"/>
          <w:szCs w:val="22"/>
          <w:lang w:eastAsia="lt-LT"/>
        </w:rPr>
        <w:t>;</w:t>
      </w:r>
    </w:p>
    <w:p w:rsidR="007B0663" w:rsidRPr="008D1C53" w:rsidRDefault="007B0663" w:rsidP="00D63B47">
      <w:pPr>
        <w:jc w:val="both"/>
        <w:rPr>
          <w:rFonts w:asciiTheme="majorHAnsi" w:hAnsiTheme="majorHAnsi"/>
          <w:sz w:val="22"/>
          <w:szCs w:val="22"/>
          <w:lang w:eastAsia="lt-LT"/>
        </w:rPr>
      </w:pPr>
      <w:r w:rsidRPr="008D1C53">
        <w:rPr>
          <w:rFonts w:asciiTheme="majorHAnsi" w:hAnsiTheme="majorHAnsi"/>
          <w:sz w:val="22"/>
          <w:szCs w:val="22"/>
          <w:lang w:eastAsia="lt-LT"/>
        </w:rPr>
        <w:t xml:space="preserve">4. </w:t>
      </w:r>
      <w:r w:rsidR="006E3FB8" w:rsidRPr="008D1C53">
        <w:rPr>
          <w:rFonts w:asciiTheme="majorHAnsi" w:hAnsiTheme="majorHAnsi"/>
          <w:sz w:val="22"/>
          <w:szCs w:val="22"/>
        </w:rPr>
        <w:t>Europos bendrasis viešųjų pirkimų dokumentas</w:t>
      </w:r>
      <w:r w:rsidR="006E3FB8" w:rsidRPr="008D1C53">
        <w:rPr>
          <w:rFonts w:asciiTheme="majorHAnsi" w:hAnsiTheme="majorHAnsi"/>
          <w:sz w:val="22"/>
          <w:szCs w:val="22"/>
          <w:lang w:eastAsia="lt-LT"/>
        </w:rPr>
        <w:t xml:space="preserve"> (EBVPD) </w:t>
      </w:r>
      <w:r w:rsidRPr="008D1C53">
        <w:rPr>
          <w:rFonts w:asciiTheme="majorHAnsi" w:hAnsiTheme="majorHAnsi"/>
          <w:sz w:val="22"/>
          <w:szCs w:val="22"/>
          <w:lang w:eastAsia="lt-LT"/>
        </w:rPr>
        <w:t>(4 priedas)</w:t>
      </w:r>
      <w:r w:rsidR="00A51F4C" w:rsidRPr="008D1C53">
        <w:rPr>
          <w:rFonts w:asciiTheme="majorHAnsi" w:hAnsiTheme="majorHAnsi"/>
          <w:sz w:val="22"/>
          <w:szCs w:val="22"/>
          <w:lang w:eastAsia="lt-LT"/>
        </w:rPr>
        <w:t>;</w:t>
      </w:r>
    </w:p>
    <w:p w:rsidR="009245EB" w:rsidRPr="008D1C53" w:rsidRDefault="009245EB" w:rsidP="009245EB">
      <w:pPr>
        <w:jc w:val="both"/>
        <w:rPr>
          <w:rFonts w:asciiTheme="majorHAnsi" w:eastAsia="Calibri" w:hAnsiTheme="majorHAnsi"/>
          <w:sz w:val="22"/>
          <w:szCs w:val="22"/>
        </w:rPr>
      </w:pPr>
      <w:r w:rsidRPr="008D1C53">
        <w:rPr>
          <w:rFonts w:asciiTheme="majorHAnsi" w:hAnsiTheme="majorHAnsi"/>
          <w:sz w:val="22"/>
          <w:szCs w:val="22"/>
          <w:lang w:eastAsia="lt-LT"/>
        </w:rPr>
        <w:t xml:space="preserve">5. </w:t>
      </w:r>
      <w:r w:rsidRPr="008D1C53">
        <w:rPr>
          <w:rFonts w:asciiTheme="majorHAnsi" w:eastAsia="Calibri" w:hAnsiTheme="majorHAnsi"/>
          <w:sz w:val="22"/>
          <w:szCs w:val="22"/>
        </w:rPr>
        <w:t>Deklaracija dėl tiekėjo atsakingų asmenų (5 priedas).</w:t>
      </w:r>
    </w:p>
    <w:p w:rsidR="00E31597" w:rsidRPr="008D1C53" w:rsidRDefault="00E31597" w:rsidP="00E31597">
      <w:pPr>
        <w:rPr>
          <w:rFonts w:asciiTheme="majorHAnsi" w:hAnsiTheme="majorHAnsi"/>
          <w:sz w:val="22"/>
          <w:lang w:eastAsia="lt-LT"/>
        </w:rPr>
      </w:pPr>
      <w:r w:rsidRPr="008D1C53">
        <w:rPr>
          <w:rFonts w:asciiTheme="majorHAnsi" w:hAnsiTheme="majorHAnsi"/>
          <w:sz w:val="22"/>
          <w:lang w:eastAsia="lt-LT"/>
        </w:rPr>
        <w:t xml:space="preserve">6. Tiekėjo deklaracija dėl Tarybos Reglamente </w:t>
      </w:r>
      <w:r w:rsidRPr="008D1C53">
        <w:rPr>
          <w:rFonts w:asciiTheme="majorHAnsi" w:hAnsiTheme="majorHAnsi"/>
          <w:bCs/>
          <w:sz w:val="22"/>
          <w:lang w:eastAsia="lt-LT"/>
        </w:rPr>
        <w:t>(ES) 2022/576</w:t>
      </w:r>
      <w:r w:rsidRPr="008D1C53">
        <w:rPr>
          <w:rFonts w:asciiTheme="majorHAnsi" w:hAnsiTheme="majorHAnsi"/>
          <w:sz w:val="22"/>
          <w:lang w:eastAsia="lt-LT"/>
        </w:rPr>
        <w:t xml:space="preserve"> nustatytų sąlygų nebuvimo (6 priedas).</w:t>
      </w:r>
    </w:p>
    <w:p w:rsidR="00560CF4" w:rsidRPr="008D1C53" w:rsidRDefault="00560CF4" w:rsidP="00560CF4">
      <w:pPr>
        <w:keepNext/>
        <w:tabs>
          <w:tab w:val="left" w:pos="5174"/>
        </w:tabs>
        <w:spacing w:line="276" w:lineRule="auto"/>
        <w:ind w:right="140"/>
        <w:jc w:val="both"/>
        <w:outlineLvl w:val="0"/>
        <w:rPr>
          <w:rFonts w:asciiTheme="majorHAnsi" w:eastAsia="Calibri" w:hAnsiTheme="majorHAnsi"/>
          <w:sz w:val="22"/>
          <w:szCs w:val="22"/>
        </w:rPr>
      </w:pPr>
      <w:r w:rsidRPr="008D1C53">
        <w:rPr>
          <w:rFonts w:asciiTheme="majorHAnsi" w:eastAsia="Calibri" w:hAnsiTheme="majorHAnsi"/>
          <w:sz w:val="22"/>
          <w:szCs w:val="22"/>
        </w:rPr>
        <w:t>7.</w:t>
      </w:r>
      <w:r w:rsidR="001D3424">
        <w:rPr>
          <w:rFonts w:asciiTheme="majorHAnsi" w:eastAsia="Calibri" w:hAnsiTheme="majorHAnsi"/>
          <w:sz w:val="22"/>
          <w:szCs w:val="22"/>
        </w:rPr>
        <w:t xml:space="preserve"> </w:t>
      </w:r>
      <w:r w:rsidRPr="008D1C53">
        <w:rPr>
          <w:rFonts w:asciiTheme="majorHAnsi" w:eastAsia="Calibri" w:hAnsiTheme="majorHAnsi"/>
          <w:sz w:val="22"/>
          <w:szCs w:val="22"/>
        </w:rPr>
        <w:t>Tiekėjo deklaracija dėl Nacionalinio saugumo reikalavimų atitikties (7 priedas)</w:t>
      </w:r>
      <w:r w:rsidR="00141203" w:rsidRPr="008D1C53">
        <w:rPr>
          <w:rFonts w:asciiTheme="majorHAnsi" w:eastAsia="Calibri" w:hAnsiTheme="majorHAnsi"/>
          <w:sz w:val="22"/>
          <w:szCs w:val="22"/>
        </w:rPr>
        <w:t>;</w:t>
      </w:r>
    </w:p>
    <w:p w:rsidR="00141203" w:rsidRDefault="00141203" w:rsidP="00560CF4">
      <w:pPr>
        <w:keepNext/>
        <w:tabs>
          <w:tab w:val="left" w:pos="5174"/>
        </w:tabs>
        <w:spacing w:line="276" w:lineRule="auto"/>
        <w:ind w:right="140"/>
        <w:jc w:val="both"/>
        <w:outlineLvl w:val="0"/>
        <w:rPr>
          <w:rFonts w:asciiTheme="majorHAnsi" w:eastAsia="Calibri" w:hAnsiTheme="majorHAnsi"/>
          <w:sz w:val="22"/>
          <w:szCs w:val="22"/>
        </w:rPr>
      </w:pPr>
      <w:r w:rsidRPr="008D1C53">
        <w:rPr>
          <w:rFonts w:asciiTheme="majorHAnsi" w:eastAsia="Calibri" w:hAnsiTheme="majorHAnsi"/>
          <w:sz w:val="22"/>
          <w:szCs w:val="22"/>
        </w:rPr>
        <w:t>8. Patalpos projektas (8 priedas)</w:t>
      </w:r>
      <w:r w:rsidR="001D3424">
        <w:rPr>
          <w:rFonts w:asciiTheme="majorHAnsi" w:eastAsia="Calibri" w:hAnsiTheme="majorHAnsi"/>
          <w:sz w:val="22"/>
          <w:szCs w:val="22"/>
        </w:rPr>
        <w:t>;</w:t>
      </w:r>
    </w:p>
    <w:p w:rsidR="001D3424" w:rsidRDefault="001D3424" w:rsidP="00560CF4">
      <w:pPr>
        <w:keepNext/>
        <w:tabs>
          <w:tab w:val="left" w:pos="5174"/>
        </w:tabs>
        <w:spacing w:line="276" w:lineRule="auto"/>
        <w:ind w:right="140"/>
        <w:jc w:val="both"/>
        <w:outlineLvl w:val="0"/>
        <w:rPr>
          <w:rFonts w:asciiTheme="majorHAnsi" w:eastAsia="Calibri" w:hAnsiTheme="majorHAnsi"/>
          <w:sz w:val="22"/>
          <w:szCs w:val="22"/>
        </w:rPr>
      </w:pPr>
      <w:r>
        <w:rPr>
          <w:rFonts w:asciiTheme="majorHAnsi" w:eastAsia="Calibri" w:hAnsiTheme="majorHAnsi"/>
          <w:sz w:val="22"/>
          <w:szCs w:val="22"/>
        </w:rPr>
        <w:t>9. Bendrosios sutarties sąlygos (9</w:t>
      </w:r>
      <w:bookmarkStart w:id="0" w:name="_GoBack"/>
      <w:bookmarkEnd w:id="0"/>
      <w:r>
        <w:rPr>
          <w:rFonts w:asciiTheme="majorHAnsi" w:eastAsia="Calibri" w:hAnsiTheme="majorHAnsi"/>
          <w:sz w:val="22"/>
          <w:szCs w:val="22"/>
        </w:rPr>
        <w:t xml:space="preserve"> priedas).</w:t>
      </w:r>
    </w:p>
    <w:p w:rsidR="007C60AE" w:rsidRPr="008D1C53" w:rsidRDefault="007C60AE" w:rsidP="00560CF4">
      <w:pPr>
        <w:keepNext/>
        <w:tabs>
          <w:tab w:val="left" w:pos="5174"/>
        </w:tabs>
        <w:spacing w:line="276" w:lineRule="auto"/>
        <w:ind w:right="140"/>
        <w:jc w:val="both"/>
        <w:outlineLvl w:val="0"/>
        <w:rPr>
          <w:rFonts w:asciiTheme="majorHAnsi" w:eastAsia="Calibri" w:hAnsiTheme="majorHAnsi"/>
          <w:sz w:val="22"/>
          <w:szCs w:val="22"/>
        </w:rPr>
      </w:pPr>
    </w:p>
    <w:p w:rsidR="00FD70B7" w:rsidRPr="008D1C53" w:rsidRDefault="00FD70B7" w:rsidP="00E31597">
      <w:pPr>
        <w:rPr>
          <w:rFonts w:asciiTheme="majorHAnsi" w:hAnsiTheme="majorHAnsi"/>
          <w:sz w:val="22"/>
          <w:szCs w:val="22"/>
        </w:rPr>
      </w:pPr>
    </w:p>
    <w:p w:rsidR="00E31597" w:rsidRPr="008D1C53" w:rsidRDefault="00E31597" w:rsidP="009245EB">
      <w:pPr>
        <w:jc w:val="both"/>
        <w:rPr>
          <w:rFonts w:asciiTheme="majorHAnsi" w:eastAsia="Calibri" w:hAnsiTheme="majorHAnsi"/>
          <w:sz w:val="22"/>
          <w:szCs w:val="22"/>
        </w:rPr>
      </w:pPr>
    </w:p>
    <w:p w:rsidR="009245EB" w:rsidRPr="008D1C53" w:rsidRDefault="009245EB" w:rsidP="009245EB">
      <w:pPr>
        <w:ind w:left="-907" w:firstLine="902"/>
        <w:rPr>
          <w:rFonts w:asciiTheme="majorHAnsi" w:hAnsiTheme="majorHAnsi"/>
          <w:bCs/>
          <w:caps/>
          <w:color w:val="000000"/>
          <w:sz w:val="22"/>
          <w:szCs w:val="22"/>
        </w:rPr>
      </w:pPr>
    </w:p>
    <w:p w:rsidR="003540C7" w:rsidRPr="008D1C53" w:rsidRDefault="003540C7" w:rsidP="00E1318B">
      <w:pPr>
        <w:ind w:left="-907" w:firstLine="902"/>
        <w:rPr>
          <w:rFonts w:asciiTheme="majorHAnsi" w:hAnsiTheme="majorHAnsi"/>
          <w:bCs/>
          <w:caps/>
          <w:color w:val="000000"/>
          <w:sz w:val="22"/>
          <w:szCs w:val="22"/>
        </w:rPr>
      </w:pPr>
    </w:p>
    <w:p w:rsidR="00B90A76" w:rsidRPr="008D1C53" w:rsidRDefault="00B90A76" w:rsidP="003001E3">
      <w:pPr>
        <w:pStyle w:val="Heading1"/>
        <w:spacing w:before="0" w:after="0"/>
        <w:rPr>
          <w:rFonts w:asciiTheme="majorHAnsi" w:hAnsiTheme="majorHAnsi"/>
          <w:b/>
          <w:sz w:val="22"/>
          <w:szCs w:val="22"/>
        </w:rPr>
      </w:pPr>
      <w:bookmarkStart w:id="1" w:name="_Toc488054831"/>
      <w:bookmarkStart w:id="2" w:name="_Toc60525482"/>
      <w:bookmarkStart w:id="3" w:name="_Toc47844928"/>
      <w:bookmarkStart w:id="4" w:name="_Toc227136937"/>
      <w:r w:rsidRPr="008D1C53">
        <w:rPr>
          <w:rFonts w:asciiTheme="majorHAnsi" w:hAnsiTheme="majorHAnsi"/>
          <w:b/>
          <w:sz w:val="22"/>
          <w:szCs w:val="22"/>
        </w:rPr>
        <w:t>BENDROSIOS NUOSTATOS</w:t>
      </w:r>
      <w:bookmarkEnd w:id="1"/>
    </w:p>
    <w:p w:rsidR="00B90A76" w:rsidRPr="008D1C53" w:rsidRDefault="00B90A76" w:rsidP="003001E3">
      <w:pPr>
        <w:ind w:left="1622"/>
        <w:rPr>
          <w:rFonts w:asciiTheme="majorHAnsi" w:hAnsiTheme="majorHAnsi"/>
          <w:b/>
          <w:color w:val="000000"/>
          <w:sz w:val="22"/>
          <w:szCs w:val="22"/>
        </w:rPr>
      </w:pPr>
    </w:p>
    <w:p w:rsidR="00B90A76" w:rsidRPr="008D1C53" w:rsidRDefault="00B90A76" w:rsidP="002F2A89">
      <w:pPr>
        <w:pStyle w:val="Body2"/>
        <w:tabs>
          <w:tab w:val="left" w:pos="900"/>
        </w:tabs>
        <w:ind w:right="-29"/>
        <w:rPr>
          <w:rFonts w:asciiTheme="majorHAnsi" w:hAnsiTheme="majorHAnsi"/>
          <w:lang w:val="lt-LT"/>
        </w:rPr>
      </w:pPr>
      <w:bookmarkStart w:id="5" w:name="_Toc60525483"/>
      <w:bookmarkStart w:id="6" w:name="_Toc47844929"/>
      <w:bookmarkStart w:id="7" w:name="_Toc227136938"/>
      <w:bookmarkEnd w:id="2"/>
      <w:bookmarkEnd w:id="3"/>
      <w:bookmarkEnd w:id="4"/>
      <w:r w:rsidRPr="008D1C53">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D1C53">
        <w:rPr>
          <w:rFonts w:asciiTheme="majorHAnsi" w:hAnsiTheme="majorHAnsi"/>
          <w:lang w:val="lt-LT"/>
        </w:rPr>
        <w:t xml:space="preserve"> numato įsigyti </w:t>
      </w:r>
      <w:r w:rsidR="008D1C53">
        <w:rPr>
          <w:rFonts w:asciiTheme="majorHAnsi" w:hAnsiTheme="majorHAnsi"/>
          <w:b/>
          <w:lang w:val="lt-LT"/>
        </w:rPr>
        <w:t>r</w:t>
      </w:r>
      <w:r w:rsidR="008D1C53" w:rsidRPr="008D1C53">
        <w:rPr>
          <w:rFonts w:asciiTheme="majorHAnsi" w:hAnsiTheme="majorHAnsi"/>
          <w:b/>
          <w:lang w:val="lt-LT"/>
        </w:rPr>
        <w:t>eagent</w:t>
      </w:r>
      <w:r w:rsidR="008D1C53">
        <w:rPr>
          <w:rFonts w:asciiTheme="majorHAnsi" w:hAnsiTheme="majorHAnsi"/>
          <w:b/>
          <w:lang w:val="lt-LT"/>
        </w:rPr>
        <w:t>us</w:t>
      </w:r>
      <w:r w:rsidR="008D1C53" w:rsidRPr="008D1C53">
        <w:rPr>
          <w:rFonts w:asciiTheme="majorHAnsi" w:hAnsiTheme="majorHAnsi"/>
          <w:b/>
          <w:lang w:val="lt-LT"/>
        </w:rPr>
        <w:t xml:space="preserve"> ir papildom</w:t>
      </w:r>
      <w:r w:rsidR="008D1C53">
        <w:rPr>
          <w:rFonts w:asciiTheme="majorHAnsi" w:hAnsiTheme="majorHAnsi"/>
          <w:b/>
          <w:lang w:val="lt-LT"/>
        </w:rPr>
        <w:t>a</w:t>
      </w:r>
      <w:r w:rsidR="008D1C53" w:rsidRPr="008D1C53">
        <w:rPr>
          <w:rFonts w:asciiTheme="majorHAnsi" w:hAnsiTheme="majorHAnsi"/>
          <w:b/>
          <w:lang w:val="lt-LT"/>
        </w:rPr>
        <w:t>s priemon</w:t>
      </w:r>
      <w:r w:rsidR="008D1C53">
        <w:rPr>
          <w:rFonts w:asciiTheme="majorHAnsi" w:hAnsiTheme="majorHAnsi"/>
          <w:b/>
          <w:lang w:val="lt-LT"/>
        </w:rPr>
        <w:t>e</w:t>
      </w:r>
      <w:r w:rsidR="008D1C53" w:rsidRPr="008D1C53">
        <w:rPr>
          <w:rFonts w:asciiTheme="majorHAnsi" w:hAnsiTheme="majorHAnsi"/>
          <w:b/>
          <w:lang w:val="lt-LT"/>
        </w:rPr>
        <w:t>s kraujo ir audinių skysčių tyrimų atlikimui kartu su automatizuotos sistemos įsigijimu panaudos būdu</w:t>
      </w:r>
      <w:r w:rsidR="00233316" w:rsidRPr="008D1C53">
        <w:rPr>
          <w:rFonts w:asciiTheme="majorHAnsi" w:hAnsiTheme="majorHAnsi"/>
          <w:lang w:val="lt-LT"/>
        </w:rPr>
        <w:t>.</w:t>
      </w:r>
    </w:p>
    <w:p w:rsidR="00B90A76" w:rsidRPr="008D1C53" w:rsidRDefault="00B90A76" w:rsidP="003001E3">
      <w:pPr>
        <w:pStyle w:val="Body2"/>
        <w:tabs>
          <w:tab w:val="left" w:pos="900"/>
        </w:tabs>
        <w:ind w:right="-29"/>
        <w:rPr>
          <w:rFonts w:asciiTheme="majorHAnsi" w:hAnsiTheme="majorHAnsi"/>
          <w:lang w:val="lt-LT"/>
        </w:rPr>
      </w:pPr>
      <w:r w:rsidRPr="008D1C53">
        <w:rPr>
          <w:rFonts w:asciiTheme="majorHAnsi" w:hAnsiTheme="majorHAnsi"/>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B90A76" w:rsidRPr="008D1C53" w:rsidRDefault="00B90A76" w:rsidP="003001E3">
      <w:pPr>
        <w:pStyle w:val="Body2"/>
        <w:tabs>
          <w:tab w:val="left" w:pos="900"/>
        </w:tabs>
        <w:ind w:right="-29"/>
        <w:rPr>
          <w:rFonts w:asciiTheme="majorHAnsi" w:hAnsiTheme="majorHAnsi"/>
          <w:lang w:val="lt-LT"/>
        </w:rPr>
      </w:pPr>
      <w:r w:rsidRPr="008D1C53">
        <w:rPr>
          <w:rFonts w:asciiTheme="majorHAnsi" w:hAnsiTheme="majorHAnsi"/>
          <w:lang w:val="lt-LT"/>
        </w:rPr>
        <w:tab/>
        <w:t>1.3. Šis</w:t>
      </w:r>
      <w:r w:rsidR="00DD26C5" w:rsidRPr="008D1C53">
        <w:rPr>
          <w:rFonts w:asciiTheme="majorHAnsi" w:hAnsiTheme="majorHAnsi"/>
          <w:lang w:val="lt-LT"/>
        </w:rPr>
        <w:t xml:space="preserve"> </w:t>
      </w:r>
      <w:r w:rsidR="006D28DA" w:rsidRPr="008D1C53">
        <w:rPr>
          <w:rFonts w:asciiTheme="majorHAnsi" w:hAnsiTheme="majorHAnsi"/>
          <w:lang w:val="lt-LT"/>
        </w:rPr>
        <w:t>tarptautinis</w:t>
      </w:r>
      <w:r w:rsidR="00423241" w:rsidRPr="008D1C53">
        <w:rPr>
          <w:rFonts w:asciiTheme="majorHAnsi" w:hAnsiTheme="majorHAnsi"/>
          <w:lang w:val="lt-LT"/>
        </w:rPr>
        <w:t xml:space="preserve"> </w:t>
      </w:r>
      <w:r w:rsidRPr="008D1C53">
        <w:rPr>
          <w:rFonts w:asciiTheme="majorHAnsi" w:hAnsiTheme="majorHAnsi"/>
          <w:lang w:val="lt-LT"/>
        </w:rPr>
        <w:t xml:space="preserve">pirkimas </w:t>
      </w:r>
      <w:r w:rsidRPr="008D1C53">
        <w:rPr>
          <w:rFonts w:asciiTheme="majorHAnsi" w:hAnsiTheme="majorHAnsi"/>
          <w:color w:val="auto"/>
          <w:lang w:val="lt-LT"/>
        </w:rPr>
        <w:t>vykdom</w:t>
      </w:r>
      <w:r w:rsidR="00DD26C5" w:rsidRPr="008D1C53">
        <w:rPr>
          <w:rFonts w:asciiTheme="majorHAnsi" w:hAnsiTheme="majorHAnsi"/>
          <w:color w:val="auto"/>
          <w:lang w:val="lt-LT"/>
        </w:rPr>
        <w:t>as</w:t>
      </w:r>
      <w:r w:rsidRPr="008D1C53">
        <w:rPr>
          <w:rFonts w:asciiTheme="majorHAnsi" w:hAnsiTheme="majorHAnsi"/>
          <w:color w:val="auto"/>
          <w:lang w:val="lt-LT"/>
        </w:rPr>
        <w:t xml:space="preserve"> atviro konkurso būdu naudojantis</w:t>
      </w:r>
      <w:r w:rsidRPr="008D1C53">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8D1C53" w:rsidRPr="008D1C53">
        <w:rPr>
          <w:rFonts w:asciiTheme="majorHAnsi" w:hAnsiTheme="majorHAnsi"/>
        </w:rPr>
        <w:t>https://viesiejipirkimai.lt</w:t>
      </w:r>
      <w:r w:rsidRPr="008D1C53">
        <w:rPr>
          <w:rFonts w:asciiTheme="majorHAnsi" w:hAnsiTheme="majorHAnsi"/>
          <w:lang w:val="lt-LT"/>
        </w:rPr>
        <w:t>.</w:t>
      </w:r>
    </w:p>
    <w:p w:rsidR="008A7326" w:rsidRPr="008D1C53" w:rsidRDefault="008A7326" w:rsidP="003001E3">
      <w:pPr>
        <w:pStyle w:val="Body2"/>
        <w:tabs>
          <w:tab w:val="left" w:pos="900"/>
        </w:tabs>
        <w:ind w:right="-29"/>
        <w:rPr>
          <w:rFonts w:asciiTheme="majorHAnsi" w:hAnsiTheme="majorHAnsi"/>
          <w:b/>
          <w:bCs/>
          <w:color w:val="587A3C"/>
          <w:lang w:val="lt-LT"/>
        </w:rPr>
      </w:pPr>
      <w:r w:rsidRPr="008D1C53">
        <w:rPr>
          <w:rFonts w:asciiTheme="majorHAnsi" w:hAnsiTheme="majorHAnsi"/>
          <w:lang w:val="lt-LT"/>
        </w:rPr>
        <w:tab/>
        <w:t>1.4. Išankstinis skelbimas apie pirkimą nebuvo skelbtas.</w:t>
      </w:r>
    </w:p>
    <w:p w:rsidR="00061BE7" w:rsidRPr="008D1C53" w:rsidRDefault="008A7326" w:rsidP="003001E3">
      <w:pPr>
        <w:pStyle w:val="Body2"/>
        <w:tabs>
          <w:tab w:val="left" w:pos="900"/>
        </w:tabs>
        <w:ind w:right="-29" w:firstLine="900"/>
        <w:rPr>
          <w:rFonts w:asciiTheme="majorHAnsi" w:hAnsiTheme="majorHAnsi"/>
          <w:color w:val="auto"/>
          <w:lang w:val="lt-LT"/>
        </w:rPr>
      </w:pPr>
      <w:r w:rsidRPr="008D1C53">
        <w:rPr>
          <w:rFonts w:asciiTheme="majorHAnsi" w:hAnsiTheme="majorHAnsi"/>
          <w:lang w:val="lt-LT"/>
        </w:rPr>
        <w:t xml:space="preserve">1.5. </w:t>
      </w:r>
      <w:r w:rsidR="00061BE7" w:rsidRPr="008D1C53">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D1C53">
        <w:rPr>
          <w:rFonts w:asciiTheme="majorHAnsi" w:hAnsiTheme="majorHAnsi"/>
          <w:color w:val="auto"/>
          <w:lang w:val="lt-LT"/>
        </w:rPr>
        <w:t xml:space="preserve">gali </w:t>
      </w:r>
      <w:r w:rsidR="00061BE7" w:rsidRPr="008D1C53">
        <w:rPr>
          <w:rFonts w:asciiTheme="majorHAnsi" w:hAnsiTheme="majorHAnsi"/>
          <w:color w:val="auto"/>
          <w:lang w:val="lt-LT"/>
        </w:rPr>
        <w:t>neteik</w:t>
      </w:r>
      <w:r w:rsidR="00B01562" w:rsidRPr="008D1C53">
        <w:rPr>
          <w:rFonts w:asciiTheme="majorHAnsi" w:hAnsiTheme="majorHAnsi"/>
          <w:color w:val="auto"/>
          <w:lang w:val="lt-LT"/>
        </w:rPr>
        <w:t>ti</w:t>
      </w:r>
      <w:r w:rsidR="00061BE7" w:rsidRPr="008D1C53">
        <w:rPr>
          <w:rFonts w:asciiTheme="majorHAnsi" w:hAnsiTheme="majorHAnsi"/>
          <w:color w:val="auto"/>
          <w:lang w:val="lt-LT"/>
        </w:rPr>
        <w:t>.</w:t>
      </w:r>
    </w:p>
    <w:p w:rsidR="008A7326" w:rsidRPr="008D1C53" w:rsidRDefault="008A7326" w:rsidP="003001E3">
      <w:pPr>
        <w:tabs>
          <w:tab w:val="left" w:pos="900"/>
        </w:tabs>
        <w:ind w:right="-29" w:firstLine="900"/>
        <w:jc w:val="both"/>
        <w:rPr>
          <w:rFonts w:asciiTheme="majorHAnsi" w:hAnsiTheme="majorHAnsi"/>
          <w:sz w:val="22"/>
          <w:szCs w:val="22"/>
        </w:rPr>
      </w:pPr>
      <w:r w:rsidRPr="008D1C53">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D1C53" w:rsidRDefault="008A7326" w:rsidP="003001E3">
      <w:pPr>
        <w:tabs>
          <w:tab w:val="left" w:pos="900"/>
        </w:tabs>
        <w:ind w:right="-29" w:firstLine="851"/>
        <w:jc w:val="both"/>
        <w:rPr>
          <w:rFonts w:asciiTheme="majorHAnsi" w:hAnsiTheme="majorHAnsi"/>
          <w:sz w:val="22"/>
          <w:szCs w:val="22"/>
        </w:rPr>
      </w:pPr>
      <w:r w:rsidRPr="008D1C53">
        <w:rPr>
          <w:rFonts w:asciiTheme="majorHAnsi" w:hAnsiTheme="majorHAnsi"/>
          <w:sz w:val="22"/>
          <w:szCs w:val="22"/>
        </w:rPr>
        <w:tab/>
        <w:t xml:space="preserve">1.7. </w:t>
      </w:r>
      <w:r w:rsidR="00DD26C5" w:rsidRPr="008D1C53">
        <w:rPr>
          <w:rFonts w:asciiTheme="majorHAnsi" w:hAnsiTheme="majorHAnsi"/>
          <w:sz w:val="22"/>
          <w:szCs w:val="22"/>
        </w:rPr>
        <w:t xml:space="preserve">Perkančiosios organizacijos kontaktiniai asmenys – viešųjų pirkimų vyriausioji specialistė </w:t>
      </w:r>
      <w:r w:rsidR="00CB6324" w:rsidRPr="008D1C53">
        <w:rPr>
          <w:rFonts w:asciiTheme="majorHAnsi" w:hAnsiTheme="majorHAnsi"/>
          <w:sz w:val="22"/>
          <w:szCs w:val="22"/>
        </w:rPr>
        <w:t>Monika Vaitkevičiūtė</w:t>
      </w:r>
      <w:r w:rsidR="00DD26C5" w:rsidRPr="008D1C53">
        <w:rPr>
          <w:rFonts w:asciiTheme="majorHAnsi" w:hAnsiTheme="majorHAnsi"/>
          <w:sz w:val="22"/>
          <w:szCs w:val="22"/>
        </w:rPr>
        <w:t xml:space="preserve">, tel. (8 37) </w:t>
      </w:r>
      <w:r w:rsidR="00F163F5" w:rsidRPr="008D1C53">
        <w:rPr>
          <w:rFonts w:asciiTheme="majorHAnsi" w:hAnsiTheme="majorHAnsi"/>
          <w:sz w:val="22"/>
          <w:szCs w:val="22"/>
        </w:rPr>
        <w:t>78</w:t>
      </w:r>
      <w:r w:rsidR="002C3050" w:rsidRPr="008D1C53">
        <w:rPr>
          <w:rFonts w:asciiTheme="majorHAnsi" w:hAnsiTheme="majorHAnsi"/>
          <w:sz w:val="22"/>
          <w:szCs w:val="22"/>
        </w:rPr>
        <w:t xml:space="preserve"> </w:t>
      </w:r>
      <w:r w:rsidR="00F163F5" w:rsidRPr="008D1C53">
        <w:rPr>
          <w:rFonts w:asciiTheme="majorHAnsi" w:hAnsiTheme="majorHAnsi"/>
          <w:sz w:val="22"/>
          <w:szCs w:val="22"/>
        </w:rPr>
        <w:t>73</w:t>
      </w:r>
      <w:r w:rsidR="002C3050" w:rsidRPr="008D1C53">
        <w:rPr>
          <w:rFonts w:asciiTheme="majorHAnsi" w:hAnsiTheme="majorHAnsi"/>
          <w:sz w:val="22"/>
          <w:szCs w:val="22"/>
        </w:rPr>
        <w:t xml:space="preserve"> </w:t>
      </w:r>
      <w:r w:rsidR="00F163F5" w:rsidRPr="008D1C53">
        <w:rPr>
          <w:rFonts w:asciiTheme="majorHAnsi" w:hAnsiTheme="majorHAnsi"/>
          <w:sz w:val="22"/>
          <w:szCs w:val="22"/>
        </w:rPr>
        <w:t>60</w:t>
      </w:r>
      <w:r w:rsidR="00DD26C5" w:rsidRPr="008D1C53">
        <w:rPr>
          <w:rFonts w:asciiTheme="majorHAnsi" w:hAnsiTheme="majorHAnsi"/>
          <w:sz w:val="22"/>
          <w:szCs w:val="22"/>
        </w:rPr>
        <w:t xml:space="preserve">, el. paštas </w:t>
      </w:r>
      <w:hyperlink r:id="rId9" w:history="1">
        <w:r w:rsidR="00CB6324" w:rsidRPr="008D1C53">
          <w:rPr>
            <w:rStyle w:val="Hyperlink"/>
            <w:rFonts w:asciiTheme="majorHAnsi" w:hAnsiTheme="majorHAnsi"/>
            <w:sz w:val="22"/>
            <w:szCs w:val="22"/>
          </w:rPr>
          <w:t>monika.vaitkeviciute@kaunoklinikos.lt</w:t>
        </w:r>
      </w:hyperlink>
      <w:r w:rsidR="002C3050" w:rsidRPr="008D1C53">
        <w:rPr>
          <w:rFonts w:asciiTheme="majorHAnsi" w:hAnsiTheme="majorHAnsi"/>
          <w:sz w:val="22"/>
          <w:szCs w:val="22"/>
        </w:rPr>
        <w:t xml:space="preserve">. </w:t>
      </w:r>
    </w:p>
    <w:p w:rsidR="00B90A76" w:rsidRPr="008D1C53" w:rsidRDefault="00F163F5" w:rsidP="00CB6324">
      <w:pPr>
        <w:tabs>
          <w:tab w:val="left" w:pos="900"/>
          <w:tab w:val="left" w:pos="8882"/>
        </w:tabs>
        <w:ind w:right="-29" w:firstLine="851"/>
        <w:jc w:val="both"/>
        <w:rPr>
          <w:rFonts w:asciiTheme="majorHAnsi" w:hAnsiTheme="majorHAnsi"/>
          <w:sz w:val="22"/>
          <w:szCs w:val="22"/>
        </w:rPr>
      </w:pPr>
      <w:r w:rsidRPr="008D1C53">
        <w:rPr>
          <w:rFonts w:asciiTheme="majorHAnsi" w:hAnsiTheme="majorHAnsi"/>
          <w:sz w:val="22"/>
          <w:szCs w:val="22"/>
        </w:rPr>
        <w:t xml:space="preserve"> </w:t>
      </w:r>
      <w:r w:rsidR="002C3050" w:rsidRPr="008D1C53">
        <w:rPr>
          <w:rFonts w:asciiTheme="majorHAnsi" w:hAnsiTheme="majorHAnsi"/>
          <w:sz w:val="22"/>
          <w:szCs w:val="22"/>
        </w:rPr>
        <w:t xml:space="preserve">1.8. </w:t>
      </w:r>
      <w:r w:rsidR="00DD26C5" w:rsidRPr="008D1C53">
        <w:rPr>
          <w:rFonts w:asciiTheme="majorHAnsi" w:hAnsiTheme="majorHAnsi"/>
          <w:sz w:val="22"/>
          <w:szCs w:val="22"/>
        </w:rPr>
        <w:t xml:space="preserve">Perkančioji organizacija </w:t>
      </w:r>
      <w:r w:rsidR="00DD26C5" w:rsidRPr="008D1C53">
        <w:rPr>
          <w:rFonts w:asciiTheme="majorHAnsi" w:hAnsiTheme="majorHAnsi"/>
          <w:iCs/>
          <w:sz w:val="22"/>
          <w:szCs w:val="22"/>
        </w:rPr>
        <w:t xml:space="preserve">yra </w:t>
      </w:r>
      <w:r w:rsidR="00DD26C5" w:rsidRPr="008D1C53">
        <w:rPr>
          <w:rFonts w:asciiTheme="majorHAnsi" w:hAnsiTheme="majorHAnsi"/>
          <w:sz w:val="22"/>
          <w:szCs w:val="22"/>
        </w:rPr>
        <w:t>pridėtinės vertės mokesčio (toliau – PVM) mokėtoja.</w:t>
      </w:r>
      <w:r w:rsidR="00CB6324" w:rsidRPr="008D1C53">
        <w:rPr>
          <w:rFonts w:asciiTheme="majorHAnsi" w:hAnsiTheme="majorHAnsi"/>
          <w:sz w:val="22"/>
          <w:szCs w:val="22"/>
        </w:rPr>
        <w:tab/>
      </w:r>
    </w:p>
    <w:p w:rsidR="00921B03" w:rsidRPr="008D1C53" w:rsidRDefault="00921B03" w:rsidP="00D245C0">
      <w:pPr>
        <w:ind w:firstLine="851"/>
        <w:jc w:val="both"/>
        <w:rPr>
          <w:rFonts w:asciiTheme="majorHAnsi" w:hAnsiTheme="majorHAnsi"/>
          <w:b/>
          <w:color w:val="000000"/>
          <w:sz w:val="22"/>
          <w:szCs w:val="22"/>
          <w:lang w:eastAsia="lt-LT"/>
        </w:rPr>
      </w:pPr>
    </w:p>
    <w:p w:rsidR="00B90A76" w:rsidRPr="008D1C53" w:rsidRDefault="00B90A76" w:rsidP="00FC5E74">
      <w:pPr>
        <w:pStyle w:val="Heading1"/>
        <w:spacing w:before="0" w:after="0"/>
        <w:ind w:left="0" w:firstLine="851"/>
        <w:rPr>
          <w:rFonts w:asciiTheme="majorHAnsi" w:hAnsiTheme="majorHAnsi"/>
          <w:b/>
          <w:sz w:val="22"/>
          <w:szCs w:val="22"/>
          <w:lang w:eastAsia="lt-LT"/>
        </w:rPr>
      </w:pPr>
      <w:bookmarkStart w:id="8" w:name="_Toc487805677"/>
      <w:bookmarkStart w:id="9" w:name="_Toc488054832"/>
      <w:r w:rsidRPr="008D1C53">
        <w:rPr>
          <w:rFonts w:asciiTheme="majorHAnsi" w:hAnsiTheme="majorHAnsi"/>
          <w:b/>
          <w:sz w:val="22"/>
          <w:szCs w:val="22"/>
          <w:lang w:eastAsia="lt-LT"/>
        </w:rPr>
        <w:t>PIRKIMO OBJEKTAS</w:t>
      </w:r>
      <w:bookmarkEnd w:id="8"/>
      <w:bookmarkEnd w:id="9"/>
    </w:p>
    <w:p w:rsidR="00D245C0" w:rsidRPr="008D1C53" w:rsidRDefault="00D245C0" w:rsidP="00FC5E74">
      <w:pPr>
        <w:ind w:firstLine="851"/>
        <w:rPr>
          <w:rFonts w:asciiTheme="majorHAnsi" w:hAnsiTheme="majorHAnsi"/>
          <w:sz w:val="22"/>
          <w:szCs w:val="22"/>
          <w:lang w:eastAsia="lt-LT"/>
        </w:rPr>
      </w:pPr>
    </w:p>
    <w:bookmarkEnd w:id="5"/>
    <w:bookmarkEnd w:id="6"/>
    <w:bookmarkEnd w:id="7"/>
    <w:p w:rsidR="005A26F7" w:rsidRPr="008D1C53" w:rsidRDefault="00B90A76" w:rsidP="00FC5E74">
      <w:pPr>
        <w:pStyle w:val="ListParagraph"/>
        <w:numPr>
          <w:ilvl w:val="1"/>
          <w:numId w:val="2"/>
        </w:numPr>
        <w:tabs>
          <w:tab w:val="left" w:pos="1276"/>
          <w:tab w:val="left" w:pos="1440"/>
          <w:tab w:val="left" w:pos="1560"/>
        </w:tabs>
        <w:ind w:left="0" w:firstLine="851"/>
        <w:rPr>
          <w:rFonts w:asciiTheme="majorHAnsi" w:hAnsiTheme="majorHAnsi"/>
          <w:b/>
          <w:sz w:val="22"/>
        </w:rPr>
      </w:pPr>
      <w:r w:rsidRPr="008D1C53">
        <w:rPr>
          <w:rFonts w:asciiTheme="majorHAnsi" w:hAnsiTheme="majorHAnsi"/>
          <w:sz w:val="22"/>
        </w:rPr>
        <w:t>Pirkimo objektas</w:t>
      </w:r>
      <w:r w:rsidR="00C70A9A" w:rsidRPr="008D1C53">
        <w:rPr>
          <w:rFonts w:asciiTheme="majorHAnsi" w:hAnsiTheme="majorHAnsi"/>
          <w:sz w:val="22"/>
        </w:rPr>
        <w:t xml:space="preserve"> </w:t>
      </w:r>
      <w:r w:rsidRPr="008D1C53">
        <w:rPr>
          <w:rFonts w:asciiTheme="majorHAnsi" w:hAnsiTheme="majorHAnsi"/>
          <w:sz w:val="22"/>
        </w:rPr>
        <w:t>–</w:t>
      </w:r>
      <w:r w:rsidR="003C251A" w:rsidRPr="008D1C53">
        <w:rPr>
          <w:rFonts w:asciiTheme="majorHAnsi" w:hAnsiTheme="majorHAnsi"/>
          <w:sz w:val="22"/>
        </w:rPr>
        <w:t xml:space="preserve"> </w:t>
      </w:r>
      <w:bookmarkStart w:id="10" w:name="_Toc60525484"/>
      <w:bookmarkStart w:id="11" w:name="_Toc47844930"/>
      <w:bookmarkStart w:id="12" w:name="_Toc227136939"/>
      <w:r w:rsidR="008D1C53" w:rsidRPr="008D1C53">
        <w:rPr>
          <w:rFonts w:asciiTheme="majorHAnsi" w:hAnsiTheme="majorHAnsi"/>
          <w:b/>
          <w:sz w:val="22"/>
        </w:rPr>
        <w:t>Reagentai ir papildomos priemonės kraujo ir audinių skysčių tyrimų atlikimui kartu su automatizuotos sistemos įsigijimu panaudos būdu</w:t>
      </w:r>
      <w:r w:rsidR="008F23FB" w:rsidRPr="008D1C53">
        <w:rPr>
          <w:rFonts w:asciiTheme="majorHAnsi" w:hAnsiTheme="majorHAnsi"/>
          <w:b/>
          <w:sz w:val="22"/>
        </w:rPr>
        <w:t xml:space="preserve">. </w:t>
      </w:r>
    </w:p>
    <w:p w:rsidR="001235F6" w:rsidRPr="008D1C53" w:rsidRDefault="001235F6" w:rsidP="00FC5E74">
      <w:pPr>
        <w:pStyle w:val="ListParagraph"/>
        <w:numPr>
          <w:ilvl w:val="1"/>
          <w:numId w:val="2"/>
        </w:numPr>
        <w:tabs>
          <w:tab w:val="left" w:pos="1276"/>
          <w:tab w:val="left" w:pos="1440"/>
          <w:tab w:val="left" w:pos="1560"/>
        </w:tabs>
        <w:ind w:left="0" w:firstLine="851"/>
        <w:rPr>
          <w:rFonts w:asciiTheme="majorHAnsi" w:hAnsiTheme="majorHAnsi"/>
          <w:sz w:val="22"/>
        </w:rPr>
      </w:pPr>
      <w:r w:rsidRPr="008D1C53">
        <w:rPr>
          <w:rFonts w:asciiTheme="majorHAnsi" w:hAnsiTheme="majorHAnsi"/>
          <w:sz w:val="22"/>
        </w:rPr>
        <w:t xml:space="preserve">Šis pirkimas </w:t>
      </w:r>
      <w:r w:rsidRPr="008D1C53">
        <w:rPr>
          <w:rFonts w:asciiTheme="majorHAnsi" w:hAnsiTheme="majorHAnsi"/>
          <w:b/>
          <w:sz w:val="22"/>
        </w:rPr>
        <w:t>nėra skirstomas</w:t>
      </w:r>
      <w:r w:rsidRPr="008D1C53">
        <w:rPr>
          <w:rFonts w:asciiTheme="majorHAnsi" w:hAnsiTheme="majorHAnsi"/>
          <w:sz w:val="22"/>
        </w:rPr>
        <w:t xml:space="preserve"> į pirkimo dalis.</w:t>
      </w:r>
    </w:p>
    <w:p w:rsidR="00FC5E74" w:rsidRPr="00D62372" w:rsidRDefault="001235F6" w:rsidP="00FC5E74">
      <w:pPr>
        <w:pStyle w:val="ListParagraph"/>
        <w:numPr>
          <w:ilvl w:val="1"/>
          <w:numId w:val="2"/>
        </w:numPr>
        <w:tabs>
          <w:tab w:val="left" w:pos="1276"/>
          <w:tab w:val="left" w:pos="1440"/>
          <w:tab w:val="left" w:pos="1560"/>
        </w:tabs>
        <w:ind w:left="0" w:firstLine="851"/>
        <w:rPr>
          <w:rFonts w:asciiTheme="majorHAnsi" w:hAnsiTheme="majorHAnsi"/>
          <w:sz w:val="22"/>
        </w:rPr>
      </w:pPr>
      <w:r w:rsidRPr="008D1C53">
        <w:rPr>
          <w:rFonts w:asciiTheme="majorHAnsi" w:hAnsiTheme="majorHAnsi"/>
          <w:sz w:val="22"/>
        </w:rPr>
        <w:t xml:space="preserve">Pasiūlymas turi būti pateiktas visai techninėje specifikacijoje nurodytai apimčiai, </w:t>
      </w:r>
      <w:r w:rsidRPr="00D62372">
        <w:rPr>
          <w:rFonts w:asciiTheme="majorHAnsi" w:hAnsiTheme="majorHAnsi"/>
          <w:sz w:val="22"/>
        </w:rPr>
        <w:t>neskaidant jos smulkiau.</w:t>
      </w:r>
    </w:p>
    <w:p w:rsidR="00FC5E74" w:rsidRPr="00D62372" w:rsidRDefault="00FC5E74" w:rsidP="00FC5E74">
      <w:pPr>
        <w:pStyle w:val="ListParagraph"/>
        <w:tabs>
          <w:tab w:val="left" w:pos="1276"/>
          <w:tab w:val="left" w:pos="1440"/>
          <w:tab w:val="left" w:pos="1560"/>
        </w:tabs>
        <w:ind w:left="0" w:firstLine="851"/>
        <w:rPr>
          <w:rFonts w:asciiTheme="majorHAnsi" w:hAnsiTheme="majorHAnsi"/>
          <w:sz w:val="22"/>
        </w:rPr>
      </w:pPr>
      <w:r w:rsidRPr="00D62372">
        <w:rPr>
          <w:rFonts w:asciiTheme="majorHAnsi" w:hAnsiTheme="majorHAnsi"/>
          <w:sz w:val="22"/>
        </w:rPr>
        <w:t>Pirkimą skaldant į atskiras dalis, skirtingiems tiekėjams pasiūlius įvairius analizatorius, dėl skirtingų jų techninių ir programinių savybių galimybės sujungti analizatorius į bendrą sistemą nebelieka, tokiu atveju:</w:t>
      </w:r>
    </w:p>
    <w:p w:rsidR="00FC5E74" w:rsidRPr="00D62372" w:rsidRDefault="00FC5E74" w:rsidP="00FC5E74">
      <w:pPr>
        <w:pStyle w:val="ListParagraph"/>
        <w:numPr>
          <w:ilvl w:val="0"/>
          <w:numId w:val="26"/>
        </w:numPr>
        <w:tabs>
          <w:tab w:val="left" w:pos="1276"/>
          <w:tab w:val="left" w:pos="1418"/>
        </w:tabs>
        <w:ind w:left="0" w:firstLine="993"/>
        <w:rPr>
          <w:rFonts w:asciiTheme="majorHAnsi" w:hAnsiTheme="majorHAnsi"/>
          <w:sz w:val="22"/>
        </w:rPr>
      </w:pPr>
      <w:r w:rsidRPr="00D62372">
        <w:rPr>
          <w:rFonts w:asciiTheme="majorHAnsi" w:hAnsiTheme="majorHAnsi"/>
          <w:sz w:val="22"/>
        </w:rPr>
        <w:t>Nesant pilnos automatizacijos, daugelį funkcijų turi užtikrinti laboratorijos darbuotojai – ėminių rūšiavimas, centrifugavimas, skirstymas į analizatorius, mėgintuvėlių kamštelių nuėmimas, o baigus tyrimus jų uždėjimas, mėgintuvėlių įdėjimas į analizatorius tyrimams, jų išėmimas, pernešimas iš vieno analizatoriaus į kitą turėtų būti atliekamas rankiniu būdu. Rankinis darbas lemtų ilgesnius tyrimų rezultatų atidavimo laikus – žala pacientui;</w:t>
      </w:r>
    </w:p>
    <w:p w:rsidR="00FC5E74" w:rsidRPr="00D62372" w:rsidRDefault="00FC5E74" w:rsidP="00FC5E74">
      <w:pPr>
        <w:pStyle w:val="ListParagraph"/>
        <w:numPr>
          <w:ilvl w:val="0"/>
          <w:numId w:val="26"/>
        </w:numPr>
        <w:tabs>
          <w:tab w:val="left" w:pos="1276"/>
          <w:tab w:val="left" w:pos="1418"/>
        </w:tabs>
        <w:ind w:left="0" w:firstLine="993"/>
        <w:rPr>
          <w:rFonts w:asciiTheme="majorHAnsi" w:hAnsiTheme="majorHAnsi"/>
          <w:sz w:val="22"/>
        </w:rPr>
      </w:pPr>
      <w:r w:rsidRPr="00D62372">
        <w:rPr>
          <w:rFonts w:asciiTheme="majorHAnsi" w:hAnsiTheme="majorHAnsi"/>
          <w:sz w:val="22"/>
        </w:rPr>
        <w:t>Kuo daugiau rankinio darbo, tuo didesnė klaidų tikimybė dėl žmogiškojo faktoriaus, o  klaidingi rezultatai ir dėl jų priimti neteisingi klinikiniai sprendimai – žala pacientui;</w:t>
      </w:r>
    </w:p>
    <w:p w:rsidR="00FC5E74" w:rsidRPr="00D62372" w:rsidRDefault="00FC5E74" w:rsidP="00FC5E74">
      <w:pPr>
        <w:pStyle w:val="ListParagraph"/>
        <w:numPr>
          <w:ilvl w:val="0"/>
          <w:numId w:val="26"/>
        </w:numPr>
        <w:tabs>
          <w:tab w:val="left" w:pos="1276"/>
          <w:tab w:val="left" w:pos="1418"/>
        </w:tabs>
        <w:ind w:left="0" w:firstLine="993"/>
        <w:rPr>
          <w:rFonts w:asciiTheme="majorHAnsi" w:hAnsiTheme="majorHAnsi"/>
          <w:sz w:val="22"/>
        </w:rPr>
      </w:pPr>
      <w:r w:rsidRPr="00D62372">
        <w:rPr>
          <w:rFonts w:asciiTheme="majorHAnsi" w:hAnsiTheme="majorHAnsi"/>
          <w:sz w:val="22"/>
        </w:rPr>
        <w:t>Papildomas rankinis darbas dėl labai didelio ėminių srauto lemtų didelį krūvį laboratorijos darbuotojams -  reikalingi papildomi darbuotojai, papildomi etatai;</w:t>
      </w:r>
    </w:p>
    <w:p w:rsidR="00FC5E74" w:rsidRPr="00D62372" w:rsidRDefault="00FC5E74" w:rsidP="00FC5E74">
      <w:pPr>
        <w:pStyle w:val="ListParagraph"/>
        <w:numPr>
          <w:ilvl w:val="0"/>
          <w:numId w:val="26"/>
        </w:numPr>
        <w:tabs>
          <w:tab w:val="left" w:pos="1276"/>
          <w:tab w:val="left" w:pos="1418"/>
        </w:tabs>
        <w:ind w:left="0" w:firstLine="993"/>
        <w:rPr>
          <w:rFonts w:asciiTheme="majorHAnsi" w:hAnsiTheme="majorHAnsi"/>
          <w:sz w:val="22"/>
        </w:rPr>
      </w:pPr>
      <w:r w:rsidRPr="00D62372">
        <w:rPr>
          <w:rFonts w:asciiTheme="majorHAnsi" w:hAnsiTheme="majorHAnsi"/>
          <w:sz w:val="22"/>
        </w:rPr>
        <w:t>Negalint skirtingų analizatorių programiniu būdu apjungti į bendrą sistemą, kiekvienas analizatorius atskirai turėtų būti pajungtas į Laboratorinę informacinę sistemą (LIS) – tam reikalingos papildomos išlaidos (prijungimo licencijos, darbas) ir didelės laiko sąnaudos, skiriamos analizatoriaus atliekamų tyrimų prijungimui prie Laboratorijos informacinės sistemos;</w:t>
      </w:r>
    </w:p>
    <w:p w:rsidR="00FC5E74" w:rsidRPr="00D62372" w:rsidRDefault="00FC5E74" w:rsidP="00FC5E74">
      <w:pPr>
        <w:pStyle w:val="ListParagraph"/>
        <w:numPr>
          <w:ilvl w:val="0"/>
          <w:numId w:val="26"/>
        </w:numPr>
        <w:tabs>
          <w:tab w:val="left" w:pos="1276"/>
          <w:tab w:val="left" w:pos="1418"/>
        </w:tabs>
        <w:ind w:left="0" w:firstLine="993"/>
        <w:rPr>
          <w:rFonts w:asciiTheme="majorHAnsi" w:hAnsiTheme="majorHAnsi"/>
          <w:sz w:val="22"/>
        </w:rPr>
      </w:pPr>
      <w:r w:rsidRPr="00D62372">
        <w:rPr>
          <w:rFonts w:asciiTheme="majorHAnsi" w:hAnsiTheme="majorHAnsi"/>
          <w:sz w:val="22"/>
        </w:rPr>
        <w:t>Kai kurie tyrimai, priklausomai nuo gamintojo,  gali būti atliekami skirtingos paskirties analizatoriuose. Dalyvaujant skirtingiems tiekėjams ir jiems siūlant savo gamintojų analizatorius, sunku užtikrinti, kad visas reikalingas tyrimų spektras būtų suderintas ir atliekamas – gali būti reikalingi papildomi pirkimai tyrimų atlikimui papildomais analizatoriais, tai vėl sąlygotų papildomas lėšas ir laiko sąnaudas analizatorių pajungimui į LIS, papildomus darbuotojų apmokymus, papildomą darbo krūvį. Kiekvienam papildomam analizatoriui reikalingas papildomas plotas, papildomos elektros, vandentiekio, kanalizacijos, interneto ir kt. prieigos – papildomas darbas ir lėšos;</w:t>
      </w:r>
    </w:p>
    <w:p w:rsidR="00FC5E74" w:rsidRPr="00D62372" w:rsidRDefault="00FC5E74" w:rsidP="00FC5E74">
      <w:pPr>
        <w:pStyle w:val="ListParagraph"/>
        <w:numPr>
          <w:ilvl w:val="0"/>
          <w:numId w:val="26"/>
        </w:numPr>
        <w:tabs>
          <w:tab w:val="left" w:pos="1276"/>
          <w:tab w:val="left" w:pos="1418"/>
        </w:tabs>
        <w:ind w:left="0" w:firstLine="993"/>
        <w:rPr>
          <w:rFonts w:asciiTheme="majorHAnsi" w:hAnsiTheme="majorHAnsi"/>
          <w:sz w:val="22"/>
        </w:rPr>
      </w:pPr>
      <w:r w:rsidRPr="00D62372">
        <w:rPr>
          <w:rFonts w:asciiTheme="majorHAnsi" w:hAnsiTheme="majorHAnsi"/>
          <w:sz w:val="22"/>
        </w:rPr>
        <w:t xml:space="preserve">Tyrimų atlikimas keliais skirtingais analizatoriais gali lemti didesnius paciento ėminio kiekius, kraujo paėmimą į kelis skirtingo tipo mėgintuvėlius. Didesni ėminių kiekiai – žala pacientui, </w:t>
      </w:r>
      <w:r w:rsidRPr="00D62372">
        <w:rPr>
          <w:rFonts w:asciiTheme="majorHAnsi" w:hAnsiTheme="majorHAnsi"/>
          <w:sz w:val="22"/>
        </w:rPr>
        <w:lastRenderedPageBreak/>
        <w:t>ypač vaikams ir naujagimiams. Papildomi mėgintuvėliai – papildomos išlaidos, didesnės laiko sąnaudos slaugytojoms imant kraujo ėminius, papildomas darbas ruošiant mėginius, papildomos išlaidos biologinių atliekų utilizavimui.</w:t>
      </w:r>
      <w:r w:rsidR="007C60AE" w:rsidRPr="00D62372">
        <w:rPr>
          <w:rFonts w:asciiTheme="majorHAnsi" w:hAnsiTheme="majorHAnsi"/>
          <w:sz w:val="22"/>
        </w:rPr>
        <w:t xml:space="preserve"> </w:t>
      </w:r>
    </w:p>
    <w:p w:rsidR="001235F6" w:rsidRPr="008D1C53" w:rsidRDefault="001235F6" w:rsidP="00FC5E74">
      <w:pPr>
        <w:pStyle w:val="ListParagraph"/>
        <w:numPr>
          <w:ilvl w:val="1"/>
          <w:numId w:val="2"/>
        </w:numPr>
        <w:tabs>
          <w:tab w:val="left" w:pos="1276"/>
          <w:tab w:val="left" w:pos="1440"/>
          <w:tab w:val="left" w:pos="1560"/>
        </w:tabs>
        <w:ind w:left="0" w:firstLine="851"/>
        <w:rPr>
          <w:rFonts w:asciiTheme="majorHAnsi" w:hAnsiTheme="majorHAnsi"/>
          <w:sz w:val="22"/>
        </w:rPr>
      </w:pPr>
      <w:r w:rsidRPr="008D1C53">
        <w:rPr>
          <w:rFonts w:asciiTheme="majorHAnsi" w:hAnsiTheme="majorHAnsi"/>
          <w:sz w:val="22"/>
        </w:rPr>
        <w:t>Reikalavimai pirkimo objektui nurodyti pirkimo sąlygų priede „Techninė specifikacija</w:t>
      </w:r>
      <w:r w:rsidR="008D1C53">
        <w:rPr>
          <w:rFonts w:asciiTheme="majorHAnsi" w:hAnsiTheme="majorHAnsi"/>
          <w:sz w:val="22"/>
        </w:rPr>
        <w:t xml:space="preserve"> ir kainų pasiūlymo lentelė</w:t>
      </w:r>
      <w:r w:rsidRPr="008D1C53">
        <w:rPr>
          <w:rFonts w:asciiTheme="majorHAnsi" w:hAnsiTheme="majorHAnsi"/>
          <w:sz w:val="22"/>
        </w:rPr>
        <w:t>“ ir priede „Sutarties projektas“.</w:t>
      </w:r>
      <w:r w:rsidRPr="008D1C53">
        <w:rPr>
          <w:rFonts w:asciiTheme="majorHAnsi" w:hAnsiTheme="majorHAnsi"/>
          <w:sz w:val="22"/>
        </w:rPr>
        <w:tab/>
      </w:r>
    </w:p>
    <w:p w:rsidR="001235F6" w:rsidRPr="008D1C53" w:rsidRDefault="001235F6" w:rsidP="00FC5E74">
      <w:pPr>
        <w:pStyle w:val="ListParagraph"/>
        <w:numPr>
          <w:ilvl w:val="1"/>
          <w:numId w:val="2"/>
        </w:numPr>
        <w:tabs>
          <w:tab w:val="left" w:pos="1276"/>
          <w:tab w:val="left" w:pos="1440"/>
          <w:tab w:val="left" w:pos="1560"/>
        </w:tabs>
        <w:ind w:left="0" w:firstLine="851"/>
        <w:rPr>
          <w:rFonts w:asciiTheme="majorHAnsi" w:hAnsiTheme="majorHAnsi"/>
          <w:sz w:val="22"/>
        </w:rPr>
      </w:pPr>
      <w:r w:rsidRPr="008D1C53">
        <w:rPr>
          <w:rFonts w:asciiTheme="majorHAnsi" w:hAnsiTheme="majorHAnsi"/>
          <w:sz w:val="22"/>
        </w:rPr>
        <w:t xml:space="preserve">Prekių pristatymo vieta yra </w:t>
      </w:r>
      <w:r w:rsidRPr="008D1C53">
        <w:rPr>
          <w:rFonts w:asciiTheme="majorHAnsi" w:hAnsiTheme="majorHAnsi"/>
          <w:iCs/>
          <w:sz w:val="22"/>
        </w:rPr>
        <w:t>Lietuvos sveikatos mokslų universiteto ligoninė Kauno klinikos</w:t>
      </w:r>
      <w:r w:rsidRPr="008D1C53">
        <w:rPr>
          <w:rFonts w:asciiTheme="majorHAnsi" w:hAnsiTheme="majorHAnsi"/>
          <w:color w:val="000000"/>
          <w:sz w:val="22"/>
          <w:shd w:val="clear" w:color="auto" w:fill="FFFFFF"/>
        </w:rPr>
        <w:t xml:space="preserve">, </w:t>
      </w:r>
      <w:r w:rsidRPr="008D1C53">
        <w:rPr>
          <w:rFonts w:asciiTheme="majorHAnsi" w:hAnsiTheme="majorHAnsi"/>
          <w:iCs/>
          <w:sz w:val="22"/>
        </w:rPr>
        <w:t>adresas Eivenių g. 2, LT-50161 Kaunas</w:t>
      </w:r>
      <w:r w:rsidR="001879E1" w:rsidRPr="008D1C53">
        <w:rPr>
          <w:rFonts w:asciiTheme="majorHAnsi" w:hAnsiTheme="majorHAnsi"/>
          <w:sz w:val="22"/>
        </w:rPr>
        <w:t xml:space="preserve">. </w:t>
      </w:r>
    </w:p>
    <w:p w:rsidR="00931B0F" w:rsidRPr="008D1C53" w:rsidRDefault="00931B0F" w:rsidP="00FC5E74">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D1C53">
        <w:rPr>
          <w:rFonts w:asciiTheme="majorHAnsi" w:hAnsiTheme="majorHAnsi"/>
          <w:sz w:val="22"/>
          <w:szCs w:val="22"/>
        </w:rPr>
        <w:t xml:space="preserve">Perkančioji organizacija privalo nutraukti pradėtas pirkimo procedūras, jeigu buvo pažeisti </w:t>
      </w:r>
      <w:r w:rsidR="006E5521" w:rsidRPr="008D1C53">
        <w:rPr>
          <w:rFonts w:asciiTheme="majorHAnsi" w:hAnsiTheme="majorHAnsi"/>
          <w:sz w:val="22"/>
          <w:szCs w:val="22"/>
        </w:rPr>
        <w:t>Viešųjų pirkimų įstatymo</w:t>
      </w:r>
      <w:r w:rsidRPr="008D1C53">
        <w:rPr>
          <w:rFonts w:asciiTheme="majorHAnsi" w:hAnsiTheme="majorHAnsi"/>
          <w:sz w:val="22"/>
          <w:szCs w:val="22"/>
        </w:rPr>
        <w:t xml:space="preserve"> 17 straipsnio 1 dalyje nustatyti principai ir atitinkamos padėties negalima ištaisyti.</w:t>
      </w:r>
    </w:p>
    <w:p w:rsidR="00931B0F" w:rsidRPr="008D1C53" w:rsidRDefault="00931B0F" w:rsidP="00FC5E74">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D1C5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D1C53" w:rsidRDefault="00560CF4" w:rsidP="00FC5E74">
      <w:pPr>
        <w:pStyle w:val="ListParagraph"/>
        <w:numPr>
          <w:ilvl w:val="1"/>
          <w:numId w:val="2"/>
        </w:numPr>
        <w:tabs>
          <w:tab w:val="left" w:pos="1276"/>
          <w:tab w:val="left" w:pos="1440"/>
          <w:tab w:val="left" w:pos="1560"/>
        </w:tabs>
        <w:ind w:left="0" w:firstLine="851"/>
        <w:rPr>
          <w:rFonts w:asciiTheme="majorHAnsi" w:hAnsiTheme="majorHAnsi"/>
          <w:sz w:val="22"/>
        </w:rPr>
      </w:pPr>
      <w:r w:rsidRPr="008D1C53">
        <w:rPr>
          <w:rFonts w:asciiTheme="majorHAnsi" w:hAnsiTheme="majorHAnsi"/>
          <w:sz w:val="22"/>
          <w:lang w:eastAsia="lt-LT"/>
        </w:rPr>
        <w:t xml:space="preserve">Perkančioji organizacija ekonomiškai naudingiausią pasiūlymą išrenka pagal </w:t>
      </w:r>
      <w:r w:rsidRPr="008D1C53">
        <w:rPr>
          <w:rFonts w:asciiTheme="majorHAnsi" w:hAnsiTheme="majorHAnsi"/>
          <w:b/>
          <w:sz w:val="22"/>
          <w:lang w:eastAsia="lt-LT"/>
        </w:rPr>
        <w:t>kainos ir kokybės</w:t>
      </w:r>
      <w:r w:rsidRPr="008D1C53">
        <w:rPr>
          <w:rFonts w:asciiTheme="majorHAnsi" w:hAnsiTheme="majorHAnsi"/>
          <w:sz w:val="22"/>
          <w:lang w:eastAsia="lt-LT"/>
        </w:rPr>
        <w:t xml:space="preserve"> santykio kriterijų. Ekonomiškai naudingiausiu pasiūlymu laikomas pasiūlymas, kurio ekonominis naudingumas didžiausias</w:t>
      </w:r>
      <w:r w:rsidR="001235F6" w:rsidRPr="008D1C53">
        <w:rPr>
          <w:rFonts w:asciiTheme="majorHAnsi" w:hAnsiTheme="majorHAnsi"/>
          <w:sz w:val="22"/>
          <w:lang w:eastAsia="lt-LT"/>
        </w:rPr>
        <w:t xml:space="preserve">. </w:t>
      </w:r>
    </w:p>
    <w:p w:rsidR="00CB6324" w:rsidRPr="008D1C53" w:rsidRDefault="00CB6324" w:rsidP="00FC5E74">
      <w:pPr>
        <w:pStyle w:val="NoSpacing"/>
        <w:ind w:firstLine="851"/>
        <w:jc w:val="both"/>
        <w:rPr>
          <w:rFonts w:asciiTheme="majorHAnsi" w:hAnsiTheme="majorHAnsi"/>
          <w:sz w:val="22"/>
          <w:szCs w:val="20"/>
        </w:rPr>
      </w:pPr>
      <w:r w:rsidRPr="008D1C53">
        <w:rPr>
          <w:rFonts w:asciiTheme="majorHAnsi" w:hAnsiTheme="majorHAnsi"/>
          <w:sz w:val="22"/>
          <w:szCs w:val="20"/>
        </w:rPr>
        <w:t>2.</w:t>
      </w:r>
      <w:r w:rsidR="005A345B" w:rsidRPr="008D1C53">
        <w:rPr>
          <w:rFonts w:asciiTheme="majorHAnsi" w:hAnsiTheme="majorHAnsi"/>
          <w:sz w:val="22"/>
          <w:szCs w:val="20"/>
        </w:rPr>
        <w:t>9</w:t>
      </w:r>
      <w:r w:rsidRPr="008D1C53">
        <w:rPr>
          <w:rFonts w:asciiTheme="majorHAnsi" w:hAnsiTheme="majorHAnsi"/>
          <w:sz w:val="22"/>
          <w:szCs w:val="20"/>
        </w:rPr>
        <w:t xml:space="preserve"> Vadovaujantis LR Viešųjų pirkimų įstatymo 27 straipsnio nuostatomis Centrinėje viešųjų pirkimų informacinėje sistemoje (toliau – CVP IS) buvo viešai skelbt</w:t>
      </w:r>
      <w:r w:rsidR="00560CF4" w:rsidRPr="008D1C53">
        <w:rPr>
          <w:rFonts w:asciiTheme="majorHAnsi" w:hAnsiTheme="majorHAnsi"/>
          <w:sz w:val="22"/>
          <w:szCs w:val="20"/>
        </w:rPr>
        <w:t xml:space="preserve">os dvi </w:t>
      </w:r>
      <w:r w:rsidRPr="008D1C53">
        <w:rPr>
          <w:rFonts w:asciiTheme="majorHAnsi" w:hAnsiTheme="majorHAnsi"/>
          <w:sz w:val="22"/>
          <w:szCs w:val="20"/>
        </w:rPr>
        <w:t>išankstinė</w:t>
      </w:r>
      <w:r w:rsidR="00560CF4" w:rsidRPr="008D1C53">
        <w:rPr>
          <w:rFonts w:asciiTheme="majorHAnsi" w:hAnsiTheme="majorHAnsi"/>
          <w:sz w:val="22"/>
          <w:szCs w:val="20"/>
        </w:rPr>
        <w:t>s</w:t>
      </w:r>
      <w:r w:rsidRPr="008D1C53">
        <w:rPr>
          <w:rFonts w:asciiTheme="majorHAnsi" w:hAnsiTheme="majorHAnsi"/>
          <w:sz w:val="22"/>
          <w:szCs w:val="20"/>
        </w:rPr>
        <w:t xml:space="preserve"> rinkos konsultacij</w:t>
      </w:r>
      <w:r w:rsidR="00560CF4" w:rsidRPr="008D1C53">
        <w:rPr>
          <w:rFonts w:asciiTheme="majorHAnsi" w:hAnsiTheme="majorHAnsi"/>
          <w:sz w:val="22"/>
          <w:szCs w:val="20"/>
        </w:rPr>
        <w:t>os</w:t>
      </w:r>
      <w:r w:rsidRPr="008D1C53">
        <w:rPr>
          <w:rFonts w:asciiTheme="majorHAnsi" w:hAnsiTheme="majorHAnsi"/>
          <w:sz w:val="22"/>
          <w:szCs w:val="20"/>
        </w:rPr>
        <w:t xml:space="preserve"> Nr. </w:t>
      </w:r>
      <w:r w:rsidR="008D1C53">
        <w:rPr>
          <w:rFonts w:asciiTheme="majorHAnsi" w:hAnsiTheme="majorHAnsi"/>
          <w:b/>
          <w:sz w:val="22"/>
          <w:szCs w:val="20"/>
        </w:rPr>
        <w:t>723385</w:t>
      </w:r>
      <w:r w:rsidR="00560CF4" w:rsidRPr="008D1C53">
        <w:rPr>
          <w:rFonts w:asciiTheme="majorHAnsi" w:hAnsiTheme="majorHAnsi"/>
          <w:b/>
          <w:sz w:val="22"/>
          <w:szCs w:val="20"/>
        </w:rPr>
        <w:t xml:space="preserve"> </w:t>
      </w:r>
      <w:r w:rsidR="00560CF4" w:rsidRPr="008D1C53">
        <w:rPr>
          <w:rFonts w:asciiTheme="majorHAnsi" w:hAnsiTheme="majorHAnsi"/>
          <w:sz w:val="22"/>
          <w:szCs w:val="20"/>
        </w:rPr>
        <w:t xml:space="preserve">ir </w:t>
      </w:r>
      <w:r w:rsidR="008D1C53">
        <w:rPr>
          <w:rFonts w:asciiTheme="majorHAnsi" w:hAnsiTheme="majorHAnsi"/>
          <w:b/>
          <w:sz w:val="22"/>
          <w:szCs w:val="20"/>
        </w:rPr>
        <w:t>735870</w:t>
      </w:r>
      <w:r w:rsidRPr="008D1C53">
        <w:rPr>
          <w:rFonts w:asciiTheme="majorHAnsi" w:hAnsiTheme="majorHAnsi"/>
          <w:sz w:val="22"/>
          <w:szCs w:val="20"/>
        </w:rPr>
        <w:t>.</w:t>
      </w:r>
    </w:p>
    <w:p w:rsidR="00C4510D" w:rsidRPr="008D1C53" w:rsidRDefault="00C4510D" w:rsidP="00FC5E74">
      <w:pPr>
        <w:pStyle w:val="NoSpacing"/>
        <w:ind w:firstLine="851"/>
        <w:jc w:val="both"/>
        <w:rPr>
          <w:rFonts w:asciiTheme="majorHAnsi" w:hAnsiTheme="majorHAnsi"/>
          <w:sz w:val="22"/>
          <w:szCs w:val="20"/>
        </w:rPr>
      </w:pPr>
      <w:r w:rsidRPr="008D1C53">
        <w:rPr>
          <w:rFonts w:asciiTheme="majorHAnsi" w:hAnsiTheme="majorHAnsi"/>
          <w:sz w:val="22"/>
          <w:szCs w:val="20"/>
        </w:rPr>
        <w:t xml:space="preserve">2.10. Numatomų įsigyti prekių CPO kataloge nėra. </w:t>
      </w:r>
    </w:p>
    <w:p w:rsidR="004316EE" w:rsidRPr="008D1C53" w:rsidRDefault="004316EE" w:rsidP="00FC5E74">
      <w:pPr>
        <w:pStyle w:val="NoSpacing"/>
        <w:ind w:firstLine="851"/>
        <w:rPr>
          <w:rFonts w:asciiTheme="majorHAnsi" w:hAnsiTheme="majorHAnsi"/>
          <w:sz w:val="22"/>
          <w:szCs w:val="22"/>
          <w:lang w:val="lt-LT"/>
        </w:rPr>
      </w:pPr>
    </w:p>
    <w:p w:rsidR="00A0213A" w:rsidRPr="008D1C53" w:rsidRDefault="00A0213A" w:rsidP="00FC5E74">
      <w:pPr>
        <w:tabs>
          <w:tab w:val="left" w:pos="1276"/>
          <w:tab w:val="left" w:pos="1440"/>
          <w:tab w:val="left" w:pos="1560"/>
        </w:tabs>
        <w:ind w:firstLine="851"/>
        <w:rPr>
          <w:rFonts w:asciiTheme="majorHAnsi" w:hAnsiTheme="majorHAnsi"/>
          <w:sz w:val="22"/>
        </w:rPr>
      </w:pPr>
    </w:p>
    <w:p w:rsidR="00E85BB1" w:rsidRPr="008D1C53" w:rsidRDefault="002A13B2" w:rsidP="00FC5E74">
      <w:pPr>
        <w:pStyle w:val="Heading1"/>
        <w:numPr>
          <w:ilvl w:val="0"/>
          <w:numId w:val="0"/>
        </w:numPr>
        <w:spacing w:before="0" w:after="0"/>
        <w:ind w:firstLine="851"/>
        <w:rPr>
          <w:rFonts w:asciiTheme="majorHAnsi" w:hAnsiTheme="majorHAnsi"/>
          <w:b/>
          <w:sz w:val="22"/>
          <w:szCs w:val="22"/>
          <w:lang w:val="en-US"/>
        </w:rPr>
      </w:pPr>
      <w:r w:rsidRPr="008D1C53">
        <w:rPr>
          <w:rFonts w:asciiTheme="majorHAnsi" w:hAnsiTheme="majorHAnsi"/>
          <w:b/>
          <w:sz w:val="22"/>
          <w:szCs w:val="22"/>
        </w:rPr>
        <w:t> </w:t>
      </w:r>
      <w:bookmarkStart w:id="13" w:name="_Toc227136953"/>
      <w:bookmarkEnd w:id="10"/>
      <w:bookmarkEnd w:id="11"/>
      <w:bookmarkEnd w:id="12"/>
      <w:r w:rsidR="00E85BB1" w:rsidRPr="008D1C53">
        <w:rPr>
          <w:rFonts w:asciiTheme="majorHAnsi" w:hAnsiTheme="majorHAnsi"/>
          <w:b/>
          <w:sz w:val="22"/>
          <w:szCs w:val="22"/>
        </w:rPr>
        <w:t>3. </w:t>
      </w:r>
      <w:bookmarkStart w:id="14" w:name="_Toc488054833"/>
      <w:r w:rsidR="00E85BB1" w:rsidRPr="008D1C53">
        <w:rPr>
          <w:rFonts w:asciiTheme="majorHAnsi" w:hAnsiTheme="majorHAnsi"/>
          <w:b/>
          <w:sz w:val="22"/>
          <w:szCs w:val="22"/>
        </w:rPr>
        <w:t>TIEKĖJŲ PAŠALINIMO PAGRINDAI</w:t>
      </w:r>
      <w:r w:rsidR="00E85BB1" w:rsidRPr="008D1C53">
        <w:rPr>
          <w:rFonts w:asciiTheme="majorHAnsi" w:hAnsiTheme="majorHAnsi"/>
          <w:b/>
          <w:sz w:val="22"/>
          <w:szCs w:val="22"/>
          <w:lang w:val="en-US"/>
        </w:rPr>
        <w:t xml:space="preserve"> IR REIKALAUJAMA KVALIFIKACIJA</w:t>
      </w:r>
      <w:bookmarkEnd w:id="14"/>
    </w:p>
    <w:p w:rsidR="00E85BB1" w:rsidRPr="008D1C53" w:rsidRDefault="00E85BB1" w:rsidP="00FC5E74">
      <w:pPr>
        <w:ind w:firstLine="851"/>
        <w:rPr>
          <w:rFonts w:asciiTheme="majorHAnsi" w:hAnsiTheme="majorHAnsi"/>
          <w:lang w:val="en-US"/>
        </w:rPr>
      </w:pPr>
    </w:p>
    <w:p w:rsidR="00E85BB1" w:rsidRPr="008D1C53" w:rsidRDefault="00E85BB1" w:rsidP="00FC5E74">
      <w:pPr>
        <w:pStyle w:val="Body2"/>
        <w:spacing w:after="0"/>
        <w:ind w:firstLine="851"/>
        <w:rPr>
          <w:rFonts w:asciiTheme="majorHAnsi" w:hAnsiTheme="majorHAnsi"/>
        </w:rPr>
      </w:pPr>
      <w:r w:rsidRPr="008D1C53">
        <w:rPr>
          <w:rFonts w:asciiTheme="majorHAnsi" w:hAnsiTheme="majorHAnsi"/>
        </w:rPr>
        <w:t>3.1. Tiekėjas su pasiūlymu turi pateikti užpildytą pirkimo sąlygų priedą „</w:t>
      </w:r>
      <w:r w:rsidRPr="008D1C53">
        <w:rPr>
          <w:rFonts w:asciiTheme="majorHAnsi" w:hAnsiTheme="majorHAnsi"/>
          <w:lang w:val="es-ES_tradnl"/>
        </w:rPr>
        <w:t>Europos bendr</w:t>
      </w:r>
      <w:r w:rsidRPr="008D1C53">
        <w:rPr>
          <w:rFonts w:asciiTheme="majorHAnsi" w:hAnsiTheme="majorHAnsi"/>
        </w:rPr>
        <w:t xml:space="preserve">asis viešųjų pirkimų dokumentas (EBVPD)“ </w:t>
      </w:r>
      <w:r w:rsidRPr="008D1C53">
        <w:rPr>
          <w:rFonts w:asciiTheme="majorHAnsi" w:hAnsiTheme="majorHAnsi"/>
          <w:lang w:val="pt-PT"/>
        </w:rPr>
        <w:t xml:space="preserve">pagal </w:t>
      </w:r>
      <w:r w:rsidRPr="008D1C53">
        <w:rPr>
          <w:rFonts w:asciiTheme="majorHAnsi" w:hAnsiTheme="majorHAnsi"/>
        </w:rPr>
        <w:t xml:space="preserve">Viešųjų pirkimų įstatymo 50 straipsnyje nustatytus reikalavimus. EBVPD pildomas jį įkėlus į interneto svetainę </w:t>
      </w:r>
      <w:hyperlink r:id="rId10" w:history="1">
        <w:r w:rsidRPr="008D1C53">
          <w:rPr>
            <w:rStyle w:val="Hyperlink"/>
            <w:rFonts w:asciiTheme="majorHAnsi" w:hAnsiTheme="majorHAnsi" w:cs="Arial Unicode MS"/>
            <w:color w:val="auto"/>
          </w:rPr>
          <w:t>http://ebvpd.eviesiejipirkimai.lt/espd-web/ir</w:t>
        </w:r>
      </w:hyperlink>
      <w:r w:rsidRPr="008D1C53">
        <w:rPr>
          <w:rFonts w:asciiTheme="majorHAnsi" w:hAnsiTheme="majorHAnsi"/>
          <w:color w:val="auto"/>
        </w:rPr>
        <w:t xml:space="preserve"> </w:t>
      </w:r>
      <w:r w:rsidRPr="008D1C53">
        <w:rPr>
          <w:rFonts w:asciiTheme="majorHAnsi" w:hAnsiTheme="majorHAnsi"/>
        </w:rPr>
        <w:t>užpildžius bei atsisiuntus pateikiamas kartu su pasiūlymu.</w:t>
      </w:r>
    </w:p>
    <w:p w:rsidR="00E85BB1" w:rsidRPr="008D1C53" w:rsidRDefault="00E85BB1" w:rsidP="00E85BB1">
      <w:pPr>
        <w:pStyle w:val="Body2"/>
        <w:spacing w:after="0"/>
        <w:ind w:firstLine="851"/>
        <w:rPr>
          <w:rFonts w:asciiTheme="majorHAnsi" w:hAnsiTheme="majorHAnsi"/>
        </w:rPr>
      </w:pPr>
      <w:r w:rsidRPr="008D1C53">
        <w:rPr>
          <w:rFonts w:asciiTheme="majorHAnsi" w:hAnsiTheme="majorHAnsi"/>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E85BB1" w:rsidRPr="008D1C53" w:rsidRDefault="00E85BB1" w:rsidP="00E85BB1">
      <w:pPr>
        <w:pStyle w:val="Body2"/>
        <w:numPr>
          <w:ilvl w:val="1"/>
          <w:numId w:val="18"/>
        </w:numPr>
        <w:tabs>
          <w:tab w:val="left" w:pos="993"/>
        </w:tabs>
        <w:spacing w:after="0"/>
        <w:ind w:left="0" w:firstLine="851"/>
        <w:rPr>
          <w:rFonts w:asciiTheme="majorHAnsi" w:hAnsiTheme="majorHAnsi"/>
        </w:rPr>
      </w:pPr>
      <w:r w:rsidRPr="008D1C53">
        <w:rPr>
          <w:rFonts w:asciiTheme="majorHAnsi" w:hAnsiTheme="majorHAnsi"/>
        </w:rPr>
        <w:t xml:space="preserve">Pašalinimo pagrindai taikomi tiekėjui (kai pasiūlymą teikia ūkio subjektų grupė – visiems tos grupės nariams) ir ūkio subjektams, kurių pajėgumais tiekėjas remiasi. </w:t>
      </w:r>
    </w:p>
    <w:p w:rsidR="00E85BB1" w:rsidRPr="008D1C53" w:rsidRDefault="00E85BB1" w:rsidP="00E85BB1">
      <w:pPr>
        <w:pStyle w:val="Body2"/>
        <w:numPr>
          <w:ilvl w:val="1"/>
          <w:numId w:val="18"/>
        </w:numPr>
        <w:tabs>
          <w:tab w:val="left" w:pos="993"/>
        </w:tabs>
        <w:spacing w:after="0"/>
        <w:ind w:left="0" w:firstLine="851"/>
        <w:rPr>
          <w:rFonts w:asciiTheme="majorHAnsi" w:hAnsiTheme="majorHAnsi"/>
        </w:rPr>
      </w:pPr>
      <w:r w:rsidRPr="008D1C53">
        <w:rPr>
          <w:rFonts w:asciiTheme="majorHAnsi" w:hAnsiTheme="majorHAnsi"/>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85BB1" w:rsidRPr="008D1C53" w:rsidRDefault="00E85BB1" w:rsidP="00E85BB1">
      <w:pPr>
        <w:pStyle w:val="Body2"/>
        <w:numPr>
          <w:ilvl w:val="1"/>
          <w:numId w:val="18"/>
        </w:numPr>
        <w:tabs>
          <w:tab w:val="left" w:pos="993"/>
        </w:tabs>
        <w:spacing w:after="0"/>
        <w:ind w:left="0" w:firstLine="851"/>
        <w:rPr>
          <w:rFonts w:asciiTheme="majorHAnsi" w:hAnsiTheme="majorHAnsi"/>
        </w:rPr>
      </w:pPr>
      <w:r w:rsidRPr="008D1C53">
        <w:rPr>
          <w:rFonts w:asciiTheme="majorHAnsi" w:hAnsiTheme="majorHAnsi"/>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85BB1" w:rsidRPr="008D1C53" w:rsidRDefault="00E85BB1" w:rsidP="00E85BB1">
      <w:pPr>
        <w:pStyle w:val="Body2"/>
        <w:numPr>
          <w:ilvl w:val="1"/>
          <w:numId w:val="18"/>
        </w:numPr>
        <w:tabs>
          <w:tab w:val="left" w:pos="993"/>
        </w:tabs>
        <w:spacing w:after="0"/>
        <w:ind w:left="0" w:firstLine="851"/>
        <w:rPr>
          <w:rFonts w:asciiTheme="majorHAnsi" w:hAnsiTheme="majorHAnsi"/>
        </w:rPr>
      </w:pPr>
      <w:r w:rsidRPr="008D1C53">
        <w:rPr>
          <w:rFonts w:asciiTheme="majorHAnsi" w:hAnsiTheme="majorHAnsi"/>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Pr="008D1C53">
          <w:rPr>
            <w:rStyle w:val="Hyperlink"/>
            <w:rFonts w:asciiTheme="majorHAnsi" w:hAnsiTheme="majorHAnsi" w:cs="Arial Unicode MS"/>
            <w:color w:val="auto"/>
          </w:rPr>
          <w:t>https://ec.europa.eu/tools/ecertis/</w:t>
        </w:r>
      </w:hyperlink>
      <w:r w:rsidRPr="008D1C53">
        <w:rPr>
          <w:rFonts w:asciiTheme="majorHAnsi" w:hAnsiTheme="majorHAnsi"/>
          <w:color w:val="auto"/>
        </w:rPr>
        <w:t>.</w:t>
      </w:r>
      <w:r w:rsidRPr="008D1C53">
        <w:rPr>
          <w:rFonts w:asciiTheme="majorHAnsi" w:hAnsiTheme="majorHAnsi"/>
        </w:rPr>
        <w:t xml:space="preserve"> </w:t>
      </w:r>
    </w:p>
    <w:p w:rsidR="00E85BB1" w:rsidRPr="008D1C53" w:rsidRDefault="00E85BB1" w:rsidP="00E85BB1">
      <w:pPr>
        <w:pStyle w:val="Body2"/>
        <w:numPr>
          <w:ilvl w:val="1"/>
          <w:numId w:val="18"/>
        </w:numPr>
        <w:tabs>
          <w:tab w:val="left" w:pos="993"/>
        </w:tabs>
        <w:spacing w:after="0"/>
        <w:ind w:left="0" w:firstLine="851"/>
        <w:rPr>
          <w:rFonts w:asciiTheme="majorHAnsi" w:hAnsiTheme="majorHAnsi"/>
        </w:rPr>
      </w:pPr>
      <w:r w:rsidRPr="008D1C53">
        <w:rPr>
          <w:rFonts w:asciiTheme="majorHAnsi" w:hAnsiTheme="majorHAnsi"/>
        </w:rPr>
        <w:t xml:space="preserve">Jeigu tiekėjas negali pateikti nurodytų dokumentų, įrodančių, kad nėra pašalinimo pagrindų, numatytų VPĮ 46 straipsnio 1 ir 3 dalyse, nes valstybėje narėje ar atitinkamoje šalyje tokie </w:t>
      </w:r>
      <w:r w:rsidRPr="008D1C53">
        <w:rPr>
          <w:rFonts w:asciiTheme="majorHAnsi" w:hAnsiTheme="majorHAnsi"/>
        </w:rPr>
        <w:lastRenderedPageBreak/>
        <w:t>dokumentai neišduodami arba toje šalyje išduodami dokumentai neapima visų 46 straipsnio 1 ir 3 dalyse keliamų klausimų, jie gali būti pakeisti:</w:t>
      </w:r>
    </w:p>
    <w:p w:rsidR="00E85BB1" w:rsidRPr="008D1C53" w:rsidRDefault="00E85BB1" w:rsidP="00E85BB1">
      <w:pPr>
        <w:pStyle w:val="Body2"/>
        <w:spacing w:after="0"/>
        <w:ind w:firstLine="851"/>
        <w:rPr>
          <w:rFonts w:asciiTheme="majorHAnsi" w:hAnsiTheme="majorHAnsi"/>
        </w:rPr>
      </w:pPr>
      <w:r w:rsidRPr="008D1C53">
        <w:rPr>
          <w:rFonts w:asciiTheme="majorHAnsi" w:hAnsiTheme="majorHAnsi"/>
        </w:rPr>
        <w:t>3.7.1. priesaikos deklaracija;</w:t>
      </w:r>
    </w:p>
    <w:p w:rsidR="00E85BB1" w:rsidRPr="008D1C53" w:rsidRDefault="00E85BB1" w:rsidP="00E85BB1">
      <w:pPr>
        <w:pStyle w:val="Body2"/>
        <w:spacing w:after="0"/>
        <w:ind w:firstLine="851"/>
        <w:rPr>
          <w:rFonts w:asciiTheme="majorHAnsi" w:hAnsiTheme="majorHAnsi"/>
        </w:rPr>
      </w:pPr>
      <w:r w:rsidRPr="008D1C53">
        <w:rPr>
          <w:rFonts w:asciiTheme="majorHAnsi" w:hAnsiTheme="majorHAnsi"/>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85BB1" w:rsidRPr="008D1C53" w:rsidRDefault="00E85BB1" w:rsidP="00021264">
      <w:pPr>
        <w:pStyle w:val="Body2"/>
        <w:spacing w:after="0"/>
        <w:ind w:firstLine="851"/>
        <w:rPr>
          <w:rFonts w:asciiTheme="majorHAnsi" w:hAnsiTheme="majorHAnsi"/>
        </w:rPr>
      </w:pPr>
      <w:r w:rsidRPr="008D1C53">
        <w:rPr>
          <w:rFonts w:asciiTheme="majorHAnsi" w:hAnsiTheme="majorHAnsi"/>
        </w:rPr>
        <w:t>3.8. Tiekėjų pašalinimo pagrindai ir jų</w:t>
      </w:r>
      <w:r w:rsidR="00021264" w:rsidRPr="008D1C53">
        <w:rPr>
          <w:rFonts w:asciiTheme="majorHAnsi" w:hAnsiTheme="majorHAnsi"/>
        </w:rPr>
        <w:t xml:space="preserve">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6E5521" w:rsidRPr="008D1C53" w:rsidTr="006E5521">
        <w:tc>
          <w:tcPr>
            <w:tcW w:w="674" w:type="dxa"/>
            <w:vAlign w:val="center"/>
          </w:tcPr>
          <w:p w:rsidR="006E5521" w:rsidRPr="008D1C53" w:rsidRDefault="006E5521" w:rsidP="006E5521">
            <w:pPr>
              <w:suppressAutoHyphens/>
              <w:spacing w:after="40"/>
              <w:jc w:val="center"/>
              <w:rPr>
                <w:rFonts w:asciiTheme="majorHAnsi" w:hAnsiTheme="majorHAnsi"/>
                <w:color w:val="000000"/>
                <w:sz w:val="22"/>
                <w:szCs w:val="22"/>
                <w:lang w:eastAsia="lt-LT"/>
              </w:rPr>
            </w:pPr>
            <w:r w:rsidRPr="008D1C53">
              <w:rPr>
                <w:rFonts w:asciiTheme="majorHAnsi" w:hAnsiTheme="majorHAnsi"/>
                <w:b/>
                <w:bCs/>
                <w:color w:val="000000"/>
                <w:sz w:val="22"/>
                <w:szCs w:val="22"/>
                <w:lang w:eastAsia="lt-LT"/>
              </w:rPr>
              <w:t>Eil. Nr.</w:t>
            </w:r>
          </w:p>
        </w:tc>
        <w:tc>
          <w:tcPr>
            <w:tcW w:w="3574" w:type="dxa"/>
            <w:vAlign w:val="center"/>
          </w:tcPr>
          <w:p w:rsidR="006E5521" w:rsidRPr="008D1C53" w:rsidRDefault="006E5521" w:rsidP="006E5521">
            <w:pPr>
              <w:suppressAutoHyphens/>
              <w:spacing w:after="40"/>
              <w:jc w:val="center"/>
              <w:rPr>
                <w:rFonts w:asciiTheme="majorHAnsi" w:hAnsiTheme="majorHAnsi"/>
                <w:color w:val="000000"/>
                <w:sz w:val="22"/>
                <w:szCs w:val="22"/>
                <w:lang w:eastAsia="lt-LT"/>
              </w:rPr>
            </w:pPr>
            <w:r w:rsidRPr="008D1C53">
              <w:rPr>
                <w:rFonts w:asciiTheme="majorHAnsi" w:hAnsiTheme="majorHAnsi"/>
                <w:b/>
                <w:color w:val="000000"/>
                <w:sz w:val="22"/>
                <w:szCs w:val="22"/>
                <w:lang w:eastAsia="lt-LT"/>
              </w:rPr>
              <w:t>Tiekėjo pašalinimo pagrindai</w:t>
            </w:r>
          </w:p>
        </w:tc>
        <w:tc>
          <w:tcPr>
            <w:tcW w:w="1701" w:type="dxa"/>
            <w:vAlign w:val="center"/>
          </w:tcPr>
          <w:p w:rsidR="006E5521" w:rsidRPr="008D1C53" w:rsidRDefault="006E5521" w:rsidP="006E5521">
            <w:pPr>
              <w:suppressAutoHyphens/>
              <w:spacing w:after="40"/>
              <w:jc w:val="center"/>
              <w:rPr>
                <w:rFonts w:asciiTheme="majorHAnsi" w:hAnsiTheme="majorHAnsi"/>
                <w:color w:val="000000"/>
                <w:sz w:val="22"/>
                <w:szCs w:val="22"/>
                <w:lang w:eastAsia="lt-LT"/>
              </w:rPr>
            </w:pPr>
            <w:r w:rsidRPr="008D1C53">
              <w:rPr>
                <w:rFonts w:asciiTheme="majorHAnsi" w:hAnsiTheme="majorHAnsi"/>
                <w:b/>
                <w:bCs/>
                <w:color w:val="000000"/>
                <w:sz w:val="22"/>
                <w:szCs w:val="22"/>
                <w:lang w:eastAsia="lt-LT"/>
              </w:rPr>
              <w:t>VPĮ straipsnis,  dalis, punktas bei EBVPD formos dalis pildymui</w:t>
            </w:r>
          </w:p>
        </w:tc>
        <w:tc>
          <w:tcPr>
            <w:tcW w:w="3685" w:type="dxa"/>
            <w:vAlign w:val="center"/>
          </w:tcPr>
          <w:p w:rsidR="006E5521" w:rsidRPr="008D1C53" w:rsidRDefault="006E5521" w:rsidP="006E5521">
            <w:pPr>
              <w:suppressAutoHyphens/>
              <w:spacing w:after="40"/>
              <w:jc w:val="center"/>
              <w:rPr>
                <w:rFonts w:asciiTheme="majorHAnsi" w:hAnsiTheme="majorHAnsi"/>
                <w:color w:val="000000"/>
                <w:sz w:val="22"/>
                <w:szCs w:val="22"/>
                <w:lang w:eastAsia="lt-LT"/>
              </w:rPr>
            </w:pPr>
            <w:r w:rsidRPr="008D1C53">
              <w:rPr>
                <w:rFonts w:asciiTheme="majorHAnsi" w:hAnsiTheme="majorHAnsi"/>
                <w:b/>
                <w:color w:val="000000"/>
                <w:sz w:val="22"/>
                <w:szCs w:val="22"/>
                <w:lang w:eastAsia="lt-LT"/>
              </w:rPr>
              <w:t>Pašalinimo pagrindų nebuvimą įrodantys dokumentai</w:t>
            </w: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3.8.1</w:t>
            </w:r>
          </w:p>
        </w:tc>
        <w:tc>
          <w:tcPr>
            <w:tcW w:w="3574" w:type="dxa"/>
          </w:tcPr>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Tiekėjas arba jo atsakingas asmuo, nurodytas VPĮ 46 straipsnio </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color w:val="000000"/>
                <w:sz w:val="22"/>
                <w:szCs w:val="22"/>
                <w:lang w:eastAsia="lt-LT"/>
              </w:rPr>
              <w:t>2 dalies 2 punkte, nuteistas už šią nusikalstamą veiką:</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1) dalyvavimą nusikalstamame susivienijime, jo organizavimą ar vadovavimą jam;</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2) kyšininkavimą, prekybą poveikiu, papirkimą;</w:t>
            </w:r>
          </w:p>
          <w:p w:rsidR="006E5521" w:rsidRPr="008D1C53" w:rsidRDefault="006E5521" w:rsidP="006E5521">
            <w:pPr>
              <w:suppressAutoHyphens/>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1 straipsnyje;</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4) nusikalstamą bankrotą;</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5) teroristinį ir su teroristine veikla susijusį nusikaltimą;</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6) nusikalstamu būdu gauto turto legalizavimą;</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lastRenderedPageBreak/>
              <w:t>7) prekybą žmonėmis, vaiko pirkimą arba pardavimą;</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6E5521" w:rsidRPr="008D1C53" w:rsidRDefault="006E5521" w:rsidP="006E5521">
            <w:pPr>
              <w:suppressAutoHyphens/>
              <w:jc w:val="both"/>
              <w:rPr>
                <w:rFonts w:asciiTheme="majorHAnsi" w:hAnsiTheme="majorHAnsi"/>
                <w:b/>
                <w:bCs/>
                <w:color w:val="000000"/>
                <w:sz w:val="22"/>
                <w:szCs w:val="22"/>
                <w:lang w:eastAsia="lt-LT"/>
              </w:rPr>
            </w:pPr>
          </w:p>
          <w:p w:rsidR="006E5521" w:rsidRPr="008D1C53" w:rsidRDefault="006E5521" w:rsidP="006E5521">
            <w:pPr>
              <w:suppressAutoHyphens/>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6E5521" w:rsidRPr="008D1C53" w:rsidRDefault="006E5521" w:rsidP="006E5521">
            <w:pPr>
              <w:suppressAutoHyphens/>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6E5521" w:rsidRPr="008D1C53" w:rsidRDefault="006E5521" w:rsidP="006E5521">
            <w:pPr>
              <w:suppressAutoHyphens/>
              <w:jc w:val="both"/>
              <w:rPr>
                <w:rFonts w:asciiTheme="majorHAnsi" w:hAnsiTheme="majorHAnsi"/>
                <w:bCs/>
                <w:color w:val="000000"/>
                <w:sz w:val="22"/>
                <w:szCs w:val="22"/>
                <w:lang w:eastAsia="lt-LT"/>
              </w:rPr>
            </w:pPr>
          </w:p>
          <w:p w:rsidR="006E5521" w:rsidRPr="008D1C53" w:rsidRDefault="006E5521" w:rsidP="006E5521">
            <w:pPr>
              <w:suppressAutoHyphens/>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E5521" w:rsidRPr="008D1C53" w:rsidRDefault="006E5521" w:rsidP="006E5521">
            <w:pPr>
              <w:suppressAutoHyphens/>
              <w:jc w:val="both"/>
              <w:rPr>
                <w:rFonts w:asciiTheme="majorHAnsi" w:hAnsiTheme="majorHAnsi"/>
                <w:bCs/>
                <w:color w:val="000000"/>
                <w:sz w:val="22"/>
                <w:szCs w:val="22"/>
                <w:lang w:eastAsia="lt-LT"/>
              </w:rPr>
            </w:pPr>
          </w:p>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lastRenderedPageBreak/>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1 dalis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EBVPD III dalies </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A1-A6 punktai</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EBVPD III dalies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D1 punktas</w:t>
            </w:r>
          </w:p>
        </w:tc>
        <w:tc>
          <w:tcPr>
            <w:tcW w:w="3685" w:type="dxa"/>
          </w:tcPr>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reikalaujama:</w:t>
            </w:r>
          </w:p>
          <w:p w:rsidR="006E5521" w:rsidRPr="008D1C53" w:rsidRDefault="006E5521" w:rsidP="006E5521">
            <w:pPr>
              <w:numPr>
                <w:ilvl w:val="0"/>
                <w:numId w:val="19"/>
              </w:numPr>
              <w:suppressAutoHyphens/>
              <w:ind w:left="459" w:hanging="283"/>
              <w:jc w:val="both"/>
              <w:rPr>
                <w:rFonts w:asciiTheme="majorHAnsi" w:hAnsiTheme="majorHAnsi"/>
                <w:b/>
                <w:bCs/>
                <w:color w:val="000000"/>
                <w:sz w:val="22"/>
                <w:szCs w:val="22"/>
                <w:lang w:eastAsia="lt-LT"/>
              </w:rPr>
            </w:pPr>
            <w:r w:rsidRPr="008D1C53">
              <w:rPr>
                <w:rFonts w:asciiTheme="majorHAnsi" w:hAnsiTheme="majorHAnsi"/>
                <w:color w:val="000000"/>
                <w:sz w:val="22"/>
                <w:szCs w:val="22"/>
                <w:lang w:eastAsia="lt-LT"/>
              </w:rPr>
              <w:t>išrašo iš teismo sprendimo arba</w:t>
            </w:r>
          </w:p>
          <w:p w:rsidR="006E5521" w:rsidRPr="008D1C53" w:rsidRDefault="006E5521" w:rsidP="006E5521">
            <w:pPr>
              <w:numPr>
                <w:ilvl w:val="0"/>
                <w:numId w:val="19"/>
              </w:numPr>
              <w:suppressAutoHyphens/>
              <w:ind w:left="459" w:hanging="283"/>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Informatikos ir ryšių departamento prie Vidaus reikalų ministerijos pažymos, arba</w:t>
            </w:r>
          </w:p>
          <w:p w:rsidR="006E5521" w:rsidRPr="008D1C53" w:rsidRDefault="006E5521" w:rsidP="006E5521">
            <w:pPr>
              <w:numPr>
                <w:ilvl w:val="0"/>
                <w:numId w:val="19"/>
              </w:numPr>
              <w:suppressAutoHyphens/>
              <w:ind w:left="459" w:hanging="283"/>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E5521" w:rsidRPr="008D1C53" w:rsidRDefault="006E5521" w:rsidP="006E5521">
            <w:pPr>
              <w:suppressAutoHyphens/>
              <w:jc w:val="both"/>
              <w:rPr>
                <w:rFonts w:asciiTheme="majorHAnsi" w:hAnsiTheme="majorHAnsi"/>
                <w:color w:val="000000"/>
                <w:sz w:val="22"/>
                <w:szCs w:val="22"/>
                <w:lang w:eastAsia="lt-LT"/>
              </w:rPr>
            </w:pPr>
          </w:p>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ne Lietuvoje įsteigtų subjektų reikalaujama:</w:t>
            </w:r>
          </w:p>
          <w:p w:rsidR="006E5521" w:rsidRPr="008D1C53" w:rsidRDefault="006E5521" w:rsidP="006E5521">
            <w:pPr>
              <w:numPr>
                <w:ilvl w:val="0"/>
                <w:numId w:val="20"/>
              </w:numPr>
              <w:suppressAutoHyphens/>
              <w:ind w:left="459" w:hanging="283"/>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atitinkamos užsienio šalies institucijos dokumento</w:t>
            </w:r>
            <w:r w:rsidRPr="008D1C53">
              <w:rPr>
                <w:rFonts w:asciiTheme="majorHAnsi" w:hAnsiTheme="majorHAnsi"/>
                <w:color w:val="000000"/>
                <w:sz w:val="22"/>
                <w:szCs w:val="22"/>
                <w:vertAlign w:val="superscript"/>
                <w:lang w:eastAsia="lt-LT"/>
              </w:rPr>
              <w:footnoteReference w:id="1"/>
            </w:r>
            <w:r w:rsidRPr="008D1C53">
              <w:rPr>
                <w:rFonts w:asciiTheme="majorHAnsi" w:hAnsiTheme="majorHAnsi"/>
                <w:color w:val="000000"/>
                <w:sz w:val="22"/>
                <w:szCs w:val="22"/>
                <w:lang w:eastAsia="lt-LT"/>
              </w:rPr>
              <w:t>.</w:t>
            </w:r>
          </w:p>
          <w:p w:rsidR="006E5521" w:rsidRPr="008D1C53" w:rsidRDefault="006E5521" w:rsidP="006E5521">
            <w:pPr>
              <w:suppressAutoHyphens/>
              <w:jc w:val="both"/>
              <w:rPr>
                <w:rFonts w:asciiTheme="majorHAnsi" w:hAnsiTheme="majorHAnsi"/>
                <w:color w:val="000000"/>
                <w:sz w:val="22"/>
                <w:szCs w:val="22"/>
                <w:lang w:eastAsia="lt-LT"/>
              </w:rPr>
            </w:pPr>
          </w:p>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Nurodyti dokumentai turi būti išduoti ne anksčiau kaip </w:t>
            </w:r>
            <w:r w:rsidRPr="008D1C53">
              <w:rPr>
                <w:rFonts w:asciiTheme="majorHAnsi" w:hAnsiTheme="majorHAnsi"/>
                <w:b/>
                <w:color w:val="000000"/>
                <w:sz w:val="22"/>
                <w:szCs w:val="22"/>
                <w:lang w:eastAsia="lt-LT"/>
              </w:rPr>
              <w:t>180 dienų</w:t>
            </w:r>
            <w:r w:rsidRPr="008D1C53">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8D1C53">
              <w:rPr>
                <w:rFonts w:asciiTheme="majorHAnsi" w:hAnsiTheme="majorHAnsi"/>
                <w:color w:val="000000"/>
                <w:sz w:val="22"/>
                <w:szCs w:val="22"/>
                <w:lang w:eastAsia="lt-LT"/>
              </w:rPr>
              <w:lastRenderedPageBreak/>
              <w:t>dokumentas jo galiojimo laikotarpiu yra priimtinas.</w:t>
            </w: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lastRenderedPageBreak/>
              <w:t>3.8.2</w:t>
            </w:r>
          </w:p>
        </w:tc>
        <w:tc>
          <w:tcPr>
            <w:tcW w:w="3574" w:type="dxa"/>
          </w:tcPr>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color w:val="000000"/>
                <w:sz w:val="22"/>
                <w:szCs w:val="22"/>
                <w:lang w:eastAsia="lt-LT"/>
              </w:rPr>
              <w:t xml:space="preserve">1 ir 3 punktuose, arba perkančioji organizacija turi kitų įrodymų apie šių įsipareigojimų nevykdymą. </w:t>
            </w:r>
          </w:p>
          <w:p w:rsidR="006E5521" w:rsidRPr="008D1C53" w:rsidRDefault="006E5521" w:rsidP="006E5521">
            <w:pPr>
              <w:suppressAutoHyphens/>
              <w:jc w:val="both"/>
              <w:rPr>
                <w:rFonts w:asciiTheme="majorHAnsi" w:hAnsiTheme="majorHAnsi"/>
                <w:b/>
                <w:bCs/>
                <w:color w:val="000000"/>
                <w:sz w:val="22"/>
                <w:szCs w:val="22"/>
                <w:lang w:eastAsia="lt-LT"/>
              </w:rPr>
            </w:pP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Laikoma, kad tiekėjas arba jo atsakingas asmuo nuteistas už aukščiau nurodytą nusikalstamą veiką, kai dėl:</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Tačiau ši nuostata netaikoma, jeigu:</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6E5521" w:rsidRPr="008D1C53" w:rsidRDefault="006E5521" w:rsidP="006E5521">
            <w:pPr>
              <w:suppressAutoHyphens/>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 xml:space="preserve">2) įsiskolinimo suma neviršija </w:t>
            </w:r>
          </w:p>
          <w:p w:rsidR="006E5521" w:rsidRPr="008D1C53" w:rsidRDefault="006E5521" w:rsidP="006E5521">
            <w:pPr>
              <w:suppressAutoHyphens/>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50 Eur (penkiasdešimt eurų);</w:t>
            </w:r>
          </w:p>
          <w:p w:rsidR="006E5521" w:rsidRPr="008D1C53" w:rsidRDefault="006E5521" w:rsidP="006E5521">
            <w:pPr>
              <w:suppressAutoHyphens/>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w:t>
            </w:r>
            <w:r w:rsidRPr="008D1C53">
              <w:rPr>
                <w:rFonts w:asciiTheme="majorHAnsi" w:hAnsiTheme="majorHAnsi"/>
                <w:bCs/>
                <w:color w:val="000000"/>
                <w:sz w:val="22"/>
                <w:szCs w:val="22"/>
                <w:lang w:eastAsia="lt-LT"/>
              </w:rPr>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6E5521" w:rsidRPr="008D1C53" w:rsidRDefault="006E5521" w:rsidP="006E5521">
            <w:pPr>
              <w:suppressAutoHyphens/>
              <w:jc w:val="both"/>
              <w:rPr>
                <w:rFonts w:asciiTheme="majorHAnsi" w:hAnsiTheme="majorHAnsi"/>
                <w:color w:val="000000"/>
                <w:sz w:val="22"/>
                <w:szCs w:val="22"/>
                <w:lang w:eastAsia="lt-LT"/>
              </w:rPr>
            </w:pPr>
            <w:r w:rsidRPr="008D1C53">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lastRenderedPageBreak/>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3 dalis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EBVPD III dalies </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B1 ir B2 punktai</w:t>
            </w:r>
          </w:p>
        </w:tc>
        <w:tc>
          <w:tcPr>
            <w:tcW w:w="3685" w:type="dxa"/>
          </w:tcPr>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1) Dėl įsipareigojimų, susijusių su mokesčių mokėjimu, įvykdymo i</w:t>
            </w:r>
            <w:r w:rsidRPr="008D1C53">
              <w:rPr>
                <w:rFonts w:asciiTheme="majorHAnsi" w:hAnsiTheme="majorHAnsi"/>
                <w:color w:val="000000"/>
                <w:sz w:val="22"/>
                <w:szCs w:val="22"/>
                <w:lang w:eastAsia="lt-LT"/>
              </w:rPr>
              <w:t xml:space="preserve">š Lietuvoje įsteigtų subjektų </w:t>
            </w:r>
            <w:r w:rsidRPr="008D1C53">
              <w:rPr>
                <w:rFonts w:asciiTheme="majorHAnsi" w:hAnsiTheme="majorHAnsi"/>
                <w:bCs/>
                <w:color w:val="000000"/>
                <w:sz w:val="22"/>
                <w:szCs w:val="22"/>
                <w:lang w:eastAsia="lt-LT"/>
              </w:rPr>
              <w:t>prašoma:</w:t>
            </w:r>
          </w:p>
          <w:p w:rsidR="006E5521" w:rsidRPr="008D1C53" w:rsidRDefault="006E5521" w:rsidP="006E5521">
            <w:pPr>
              <w:suppressAutoHyphens/>
              <w:spacing w:after="40"/>
              <w:jc w:val="both"/>
              <w:rPr>
                <w:rFonts w:asciiTheme="majorHAnsi" w:hAnsiTheme="majorHAnsi"/>
                <w:color w:val="000000"/>
                <w:sz w:val="22"/>
                <w:szCs w:val="22"/>
                <w:lang w:eastAsia="lt-LT"/>
              </w:rPr>
            </w:pPr>
          </w:p>
          <w:p w:rsidR="006E5521" w:rsidRPr="008D1C53" w:rsidRDefault="006E5521" w:rsidP="006E5521">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D1C53">
              <w:rPr>
                <w:rFonts w:asciiTheme="majorHAnsi" w:eastAsiaTheme="minorHAnsi" w:hAnsiTheme="majorHAnsi"/>
                <w:color w:val="000000"/>
                <w:sz w:val="22"/>
                <w:lang w:eastAsia="lt-LT"/>
              </w:rPr>
              <w:t>išrašo iš teismo sprendimo (jei toks yra) arba</w:t>
            </w:r>
          </w:p>
          <w:p w:rsidR="006E5521" w:rsidRPr="008D1C53" w:rsidRDefault="006E5521" w:rsidP="006E5521">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D1C53">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6E5521" w:rsidRPr="008D1C53" w:rsidRDefault="006E5521" w:rsidP="006E5521">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D1C53">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ne Lietuvoje įsteigtų subjektų reikalaujama:</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atitinkamos užsienio šalies institucijos dokumento</w:t>
            </w:r>
            <w:r w:rsidRPr="008D1C53">
              <w:rPr>
                <w:rFonts w:asciiTheme="majorHAnsi" w:hAnsiTheme="majorHAnsi"/>
                <w:color w:val="000000"/>
                <w:sz w:val="22"/>
                <w:szCs w:val="22"/>
                <w:vertAlign w:val="superscript"/>
                <w:lang w:eastAsia="lt-LT"/>
              </w:rPr>
              <w:footnoteReference w:id="2"/>
            </w:r>
          </w:p>
          <w:p w:rsidR="006E5521" w:rsidRPr="008D1C53" w:rsidRDefault="006E5521" w:rsidP="006E5521">
            <w:pPr>
              <w:suppressAutoHyphens/>
              <w:spacing w:after="40"/>
              <w:jc w:val="both"/>
              <w:rPr>
                <w:rFonts w:asciiTheme="majorHAnsi" w:hAnsiTheme="majorHAnsi"/>
                <w:i/>
                <w:iCs/>
                <w:color w:val="000000"/>
                <w:sz w:val="22"/>
                <w:szCs w:val="22"/>
                <w:lang w:eastAsia="lt-LT"/>
              </w:rPr>
            </w:pPr>
            <w:r w:rsidRPr="008D1C53">
              <w:rPr>
                <w:rFonts w:asciiTheme="majorHAnsi" w:hAnsiTheme="majorHAnsi"/>
                <w:color w:val="000000"/>
                <w:sz w:val="22"/>
                <w:szCs w:val="22"/>
                <w:lang w:eastAsia="lt-LT"/>
              </w:rPr>
              <w:t xml:space="preserve">Nurodyti dokumentai turi būti išduoti ne anksčiau kaip </w:t>
            </w:r>
            <w:r w:rsidRPr="008D1C53">
              <w:rPr>
                <w:rFonts w:asciiTheme="majorHAnsi" w:hAnsiTheme="majorHAnsi"/>
                <w:b/>
                <w:color w:val="000000"/>
                <w:sz w:val="22"/>
                <w:szCs w:val="22"/>
                <w:lang w:eastAsia="lt-LT"/>
              </w:rPr>
              <w:t>120 dienų</w:t>
            </w:r>
            <w:r w:rsidRPr="008D1C53">
              <w:rPr>
                <w:rFonts w:asciiTheme="majorHAnsi" w:hAnsiTheme="majorHAnsi"/>
                <w:color w:val="000000"/>
                <w:sz w:val="22"/>
                <w:szCs w:val="22"/>
                <w:lang w:eastAsia="lt-LT"/>
              </w:rPr>
              <w:t xml:space="preserve"> iki </w:t>
            </w:r>
            <w:r w:rsidRPr="008D1C53">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D1C53">
              <w:rPr>
                <w:rFonts w:asciiTheme="majorHAnsi" w:hAnsiTheme="majorHAnsi"/>
                <w:color w:val="000000"/>
                <w:sz w:val="22"/>
                <w:szCs w:val="22"/>
                <w:lang w:eastAsia="lt-LT"/>
              </w:rPr>
              <w:t xml:space="preserve">umentus. </w:t>
            </w:r>
          </w:p>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bCs/>
                <w:color w:val="000000"/>
                <w:sz w:val="22"/>
                <w:szCs w:val="22"/>
                <w:lang w:eastAsia="lt-LT"/>
              </w:rPr>
              <w:t>2) Dėl įsipareigojimų, susijusių su socialinio draudimo įmokų mokėjimu, įvykdymo i</w:t>
            </w:r>
            <w:r w:rsidRPr="008D1C53">
              <w:rPr>
                <w:rFonts w:asciiTheme="majorHAnsi" w:hAnsiTheme="majorHAnsi"/>
                <w:color w:val="000000"/>
                <w:sz w:val="22"/>
                <w:szCs w:val="22"/>
                <w:lang w:eastAsia="lt-LT"/>
              </w:rPr>
              <w:t xml:space="preserve">š Lietuvoje įsteigtų subjektų </w:t>
            </w:r>
            <w:r w:rsidRPr="008D1C53">
              <w:rPr>
                <w:rFonts w:asciiTheme="majorHAnsi" w:hAnsiTheme="majorHAnsi"/>
                <w:bCs/>
                <w:color w:val="000000"/>
                <w:sz w:val="22"/>
                <w:szCs w:val="22"/>
                <w:lang w:eastAsia="lt-LT"/>
              </w:rPr>
              <w:t>prašoma:</w:t>
            </w:r>
          </w:p>
          <w:p w:rsidR="006E5521" w:rsidRPr="008D1C53" w:rsidRDefault="006E5521" w:rsidP="006E5521">
            <w:pPr>
              <w:suppressAutoHyphens/>
              <w:spacing w:after="40"/>
              <w:jc w:val="both"/>
              <w:rPr>
                <w:rFonts w:asciiTheme="majorHAnsi" w:hAnsiTheme="majorHAnsi"/>
                <w:bCs/>
                <w:sz w:val="22"/>
                <w:szCs w:val="22"/>
                <w:lang w:eastAsia="lt-LT"/>
              </w:rPr>
            </w:pPr>
            <w:r w:rsidRPr="008D1C53">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w:t>
            </w:r>
            <w:r w:rsidRPr="008D1C53">
              <w:rPr>
                <w:rFonts w:asciiTheme="majorHAnsi" w:hAnsiTheme="majorHAnsi"/>
                <w:bCs/>
                <w:color w:val="000000"/>
                <w:sz w:val="22"/>
                <w:szCs w:val="22"/>
                <w:lang w:eastAsia="lt-LT"/>
              </w:rPr>
              <w:lastRenderedPageBreak/>
              <w:t xml:space="preserve">duomenis nacionalinėje duomenų bazėje, adresu </w:t>
            </w:r>
            <w:r w:rsidRPr="008D1C53">
              <w:rPr>
                <w:rFonts w:asciiTheme="majorHAnsi" w:hAnsiTheme="majorHAnsi"/>
                <w:bCs/>
                <w:sz w:val="22"/>
                <w:szCs w:val="22"/>
                <w:u w:val="single"/>
                <w:lang w:eastAsia="lt-LT"/>
              </w:rPr>
              <w:t>http://draudejai.sodra.lt/draudeju_viesi_duomenys</w:t>
            </w:r>
          </w:p>
          <w:p w:rsidR="006E5521" w:rsidRPr="008D1C53" w:rsidRDefault="006E5521" w:rsidP="006E5521">
            <w:pPr>
              <w:suppressAutoHyphens/>
              <w:spacing w:after="40"/>
              <w:jc w:val="both"/>
              <w:rPr>
                <w:rFonts w:asciiTheme="majorHAnsi" w:hAnsiTheme="majorHAnsi"/>
                <w:b/>
                <w:bCs/>
                <w:color w:val="000000"/>
                <w:sz w:val="22"/>
                <w:szCs w:val="22"/>
                <w:lang w:eastAsia="lt-LT"/>
              </w:rPr>
            </w:pPr>
          </w:p>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D1C53">
              <w:rPr>
                <w:rFonts w:asciiTheme="majorHAnsi" w:hAnsiTheme="majorHAnsi"/>
                <w:b/>
                <w:bCs/>
                <w:color w:val="000000"/>
                <w:sz w:val="22"/>
                <w:szCs w:val="22"/>
                <w:lang w:eastAsia="lt-LT"/>
              </w:rPr>
              <w:t xml:space="preserve"> </w:t>
            </w:r>
          </w:p>
          <w:p w:rsidR="006E5521" w:rsidRPr="008D1C53" w:rsidRDefault="006E5521" w:rsidP="006E5521">
            <w:pPr>
              <w:suppressAutoHyphens/>
              <w:spacing w:after="40"/>
              <w:jc w:val="both"/>
              <w:rPr>
                <w:rFonts w:asciiTheme="majorHAnsi" w:hAnsiTheme="majorHAnsi"/>
                <w:sz w:val="22"/>
                <w:szCs w:val="22"/>
              </w:rPr>
            </w:pPr>
            <w:r w:rsidRPr="008D1C53">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ne Lietuvoje įsteigtų subjektų reikalaujama:</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atitinkamos užsienio šalies kompetentingos institucijos dokumento</w:t>
            </w:r>
            <w:r w:rsidRPr="008D1C53">
              <w:rPr>
                <w:rFonts w:asciiTheme="majorHAnsi" w:hAnsiTheme="majorHAnsi"/>
                <w:color w:val="000000"/>
                <w:sz w:val="22"/>
                <w:szCs w:val="22"/>
                <w:vertAlign w:val="superscript"/>
                <w:lang w:eastAsia="lt-LT"/>
              </w:rPr>
              <w:footnoteReference w:id="3"/>
            </w:r>
          </w:p>
          <w:p w:rsidR="006E5521" w:rsidRPr="008D1C53" w:rsidRDefault="006E5521" w:rsidP="006E5521">
            <w:pPr>
              <w:suppressAutoHyphens/>
              <w:spacing w:after="40"/>
              <w:jc w:val="both"/>
              <w:rPr>
                <w:rFonts w:asciiTheme="majorHAnsi" w:hAnsiTheme="majorHAnsi"/>
                <w:i/>
                <w:iCs/>
                <w:color w:val="000000"/>
                <w:sz w:val="22"/>
                <w:szCs w:val="22"/>
                <w:lang w:eastAsia="lt-LT"/>
              </w:rPr>
            </w:pPr>
            <w:r w:rsidRPr="008D1C53">
              <w:rPr>
                <w:rFonts w:asciiTheme="majorHAnsi" w:hAnsiTheme="majorHAnsi"/>
                <w:color w:val="000000"/>
                <w:sz w:val="22"/>
                <w:szCs w:val="22"/>
                <w:lang w:eastAsia="lt-LT"/>
              </w:rPr>
              <w:t xml:space="preserve">Nurodyti dokumentai turi būti  išduoti ne anksčiau kaip </w:t>
            </w:r>
            <w:r w:rsidRPr="008D1C53">
              <w:rPr>
                <w:rFonts w:asciiTheme="majorHAnsi" w:hAnsiTheme="majorHAnsi"/>
                <w:b/>
                <w:color w:val="000000"/>
                <w:sz w:val="22"/>
                <w:szCs w:val="22"/>
                <w:lang w:eastAsia="lt-LT"/>
              </w:rPr>
              <w:t>120 dienų</w:t>
            </w:r>
            <w:r w:rsidRPr="008D1C53">
              <w:rPr>
                <w:rFonts w:asciiTheme="majorHAnsi" w:hAnsiTheme="majorHAnsi"/>
                <w:color w:val="000000"/>
                <w:sz w:val="22"/>
                <w:szCs w:val="22"/>
                <w:lang w:eastAsia="lt-LT"/>
              </w:rPr>
              <w:t xml:space="preserve"> iki </w:t>
            </w:r>
            <w:r w:rsidRPr="008D1C53">
              <w:rPr>
                <w:rFonts w:asciiTheme="majorHAnsi" w:hAnsiTheme="majorHAnsi"/>
                <w:i/>
                <w:iCs/>
                <w:color w:val="000000"/>
                <w:sz w:val="22"/>
                <w:szCs w:val="22"/>
                <w:lang w:eastAsia="lt-LT"/>
              </w:rPr>
              <w:t xml:space="preserve">tos dienos, kai tiekėjas perkančiosios organizacijos prašymu turės pateikti pašalinimo pagrindų </w:t>
            </w:r>
            <w:r w:rsidRPr="008D1C53">
              <w:rPr>
                <w:rFonts w:asciiTheme="majorHAnsi" w:hAnsiTheme="majorHAnsi"/>
                <w:i/>
                <w:iCs/>
                <w:color w:val="000000"/>
                <w:sz w:val="22"/>
                <w:szCs w:val="22"/>
                <w:lang w:eastAsia="lt-LT"/>
              </w:rPr>
              <w:lastRenderedPageBreak/>
              <w:t>nebuvimą patvirtinančius dok</w:t>
            </w:r>
            <w:r w:rsidRPr="008D1C53">
              <w:rPr>
                <w:rFonts w:asciiTheme="majorHAnsi" w:hAnsiTheme="majorHAnsi"/>
                <w:color w:val="000000"/>
                <w:sz w:val="22"/>
                <w:szCs w:val="22"/>
                <w:lang w:eastAsia="lt-LT"/>
              </w:rPr>
              <w:t xml:space="preserve">umentus. </w:t>
            </w:r>
          </w:p>
          <w:p w:rsidR="006E5521" w:rsidRPr="008D1C53" w:rsidRDefault="006E5521" w:rsidP="006E5521">
            <w:pPr>
              <w:suppressAutoHyphens/>
              <w:spacing w:after="40"/>
              <w:jc w:val="both"/>
              <w:rPr>
                <w:rFonts w:asciiTheme="majorHAnsi" w:hAnsiTheme="majorHAnsi"/>
                <w:b/>
                <w:bCs/>
                <w:i/>
                <w:iCs/>
                <w:color w:val="000000"/>
                <w:sz w:val="22"/>
                <w:szCs w:val="22"/>
                <w:lang w:eastAsia="lt-LT"/>
              </w:rPr>
            </w:pP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lastRenderedPageBreak/>
              <w:t>3.8.3</w:t>
            </w:r>
          </w:p>
        </w:tc>
        <w:tc>
          <w:tcPr>
            <w:tcW w:w="35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4 dalies 1 punktas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EBVPD III dalies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C10 punktas</w:t>
            </w:r>
          </w:p>
        </w:tc>
        <w:tc>
          <w:tcPr>
            <w:tcW w:w="3685"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įrodančių dokumentų nereikalaujama. Užtenka pateikto EBVPD.</w:t>
            </w:r>
          </w:p>
          <w:p w:rsidR="006E5521" w:rsidRPr="008D1C53" w:rsidRDefault="006E5521" w:rsidP="006E5521">
            <w:pPr>
              <w:suppressAutoHyphens/>
              <w:spacing w:after="40"/>
              <w:jc w:val="both"/>
              <w:rPr>
                <w:rFonts w:asciiTheme="majorHAnsi" w:hAnsiTheme="majorHAnsi"/>
                <w:color w:val="000000"/>
                <w:sz w:val="22"/>
                <w:szCs w:val="22"/>
                <w:lang w:eastAsia="lt-LT"/>
              </w:rPr>
            </w:pP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3.8.4</w:t>
            </w:r>
          </w:p>
        </w:tc>
        <w:tc>
          <w:tcPr>
            <w:tcW w:w="3574" w:type="dxa"/>
          </w:tcPr>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4 dalies 2 punktas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EBVPD III dalies </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C12 punktas</w:t>
            </w:r>
          </w:p>
        </w:tc>
        <w:tc>
          <w:tcPr>
            <w:tcW w:w="3685"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įrodančių dokumentų nereikalaujama. Užtenka pateikto EBVPD.</w:t>
            </w:r>
          </w:p>
          <w:p w:rsidR="006E5521" w:rsidRPr="008D1C53" w:rsidRDefault="006E5521" w:rsidP="006E5521">
            <w:pPr>
              <w:suppressAutoHyphens/>
              <w:spacing w:after="40"/>
              <w:jc w:val="both"/>
              <w:rPr>
                <w:rFonts w:asciiTheme="majorHAnsi" w:hAnsiTheme="majorHAnsi"/>
                <w:color w:val="000000"/>
                <w:sz w:val="22"/>
                <w:szCs w:val="22"/>
                <w:lang w:eastAsia="lt-LT"/>
              </w:rPr>
            </w:pP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3.8.5</w:t>
            </w:r>
          </w:p>
        </w:tc>
        <w:tc>
          <w:tcPr>
            <w:tcW w:w="35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Pažeista konkurencija, kaip nustatyta VPĮ 27 straipsnio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 ir 4 dalyse, ir atitinkamos padėties negalima ištaisyti.</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4 dalies 3 punktas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EBVPD III dalies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C13 punktas</w:t>
            </w:r>
          </w:p>
        </w:tc>
        <w:tc>
          <w:tcPr>
            <w:tcW w:w="3685"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įrodančių dokumentų nereikalaujama. Užtenka pateikto EBVPD.</w:t>
            </w:r>
          </w:p>
          <w:p w:rsidR="006E5521" w:rsidRPr="008D1C53" w:rsidRDefault="006E5521" w:rsidP="006E5521">
            <w:pPr>
              <w:suppressAutoHyphens/>
              <w:spacing w:after="40"/>
              <w:jc w:val="both"/>
              <w:rPr>
                <w:rFonts w:asciiTheme="majorHAnsi" w:hAnsiTheme="majorHAnsi"/>
                <w:color w:val="000000"/>
                <w:sz w:val="22"/>
                <w:szCs w:val="22"/>
                <w:lang w:eastAsia="lt-LT"/>
              </w:rPr>
            </w:pP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3.8.6</w:t>
            </w:r>
          </w:p>
        </w:tc>
        <w:tc>
          <w:tcPr>
            <w:tcW w:w="35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E5521" w:rsidRPr="008D1C53" w:rsidRDefault="006E5521" w:rsidP="006E5521">
            <w:pPr>
              <w:suppressAutoHyphens/>
              <w:spacing w:after="40"/>
              <w:jc w:val="both"/>
              <w:rPr>
                <w:rFonts w:asciiTheme="majorHAnsi" w:hAnsiTheme="majorHAnsi"/>
                <w:bCs/>
                <w:color w:val="000000"/>
                <w:sz w:val="22"/>
                <w:szCs w:val="22"/>
                <w:lang w:eastAsia="lt-LT"/>
              </w:rPr>
            </w:pPr>
            <w:r w:rsidRPr="008D1C53">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w:t>
            </w:r>
            <w:r w:rsidRPr="008D1C53">
              <w:rPr>
                <w:rFonts w:asciiTheme="majorHAnsi" w:hAnsiTheme="majorHAnsi"/>
                <w:bCs/>
                <w:color w:val="000000"/>
                <w:sz w:val="22"/>
                <w:szCs w:val="22"/>
                <w:lang w:eastAsia="lt-LT"/>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lastRenderedPageBreak/>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4 dalies 4 punktas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EBVPD III dalies </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C15 punktas</w:t>
            </w:r>
          </w:p>
        </w:tc>
        <w:tc>
          <w:tcPr>
            <w:tcW w:w="3685"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įrodančių dokumentų nereikalaujama. Užtenka pateikto EBVPD.</w:t>
            </w:r>
          </w:p>
          <w:p w:rsidR="006E5521" w:rsidRPr="008D1C53" w:rsidRDefault="006E5521" w:rsidP="006E5521">
            <w:pPr>
              <w:suppressAutoHyphens/>
              <w:spacing w:after="40"/>
              <w:jc w:val="both"/>
              <w:rPr>
                <w:rFonts w:asciiTheme="majorHAnsi" w:hAnsiTheme="majorHAnsi"/>
                <w:bCs/>
                <w:iCs/>
                <w:color w:val="000000"/>
                <w:sz w:val="22"/>
                <w:szCs w:val="22"/>
                <w:lang w:eastAsia="lt-LT"/>
              </w:rPr>
            </w:pPr>
          </w:p>
          <w:p w:rsidR="006E5521" w:rsidRPr="008D1C53" w:rsidRDefault="006E5521" w:rsidP="006E5521">
            <w:pPr>
              <w:suppressAutoHyphens/>
              <w:spacing w:after="40"/>
              <w:jc w:val="both"/>
              <w:rPr>
                <w:rFonts w:asciiTheme="majorHAnsi" w:hAnsiTheme="majorHAnsi"/>
                <w:bCs/>
                <w:iCs/>
                <w:color w:val="000000"/>
                <w:sz w:val="22"/>
                <w:szCs w:val="22"/>
                <w:lang w:eastAsia="lt-LT"/>
              </w:rPr>
            </w:pPr>
          </w:p>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E5521" w:rsidRPr="008D1C53" w:rsidRDefault="006E5521" w:rsidP="006E5521">
            <w:pPr>
              <w:suppressAutoHyphens/>
              <w:spacing w:after="40"/>
              <w:jc w:val="both"/>
              <w:rPr>
                <w:rFonts w:asciiTheme="majorHAnsi" w:hAnsiTheme="majorHAnsi"/>
                <w:b/>
                <w:bCs/>
                <w:sz w:val="22"/>
                <w:szCs w:val="22"/>
                <w:lang w:eastAsia="lt-LT"/>
              </w:rPr>
            </w:pPr>
          </w:p>
          <w:p w:rsidR="006E5521" w:rsidRPr="008D1C53" w:rsidRDefault="00C4510D"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sz w:val="22"/>
              </w:rPr>
              <w:lastRenderedPageBreak/>
              <w:t>https://vpt.lrv.lt/lt/nuorodos/kiti-duomenys/powerbi/melaginga-informacija-pateikusiu-tiekeju-sarasas-3/</w:t>
            </w: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lastRenderedPageBreak/>
              <w:t>3.8.7</w:t>
            </w:r>
          </w:p>
        </w:tc>
        <w:tc>
          <w:tcPr>
            <w:tcW w:w="35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4 dalies 5 punktas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EBVPD III dalies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C15 punktas</w:t>
            </w:r>
          </w:p>
          <w:p w:rsidR="006E5521" w:rsidRPr="008D1C53" w:rsidRDefault="006E5521" w:rsidP="006E5521">
            <w:pPr>
              <w:suppressAutoHyphens/>
              <w:spacing w:after="40"/>
              <w:rPr>
                <w:rFonts w:asciiTheme="majorHAnsi" w:hAnsiTheme="majorHAnsi"/>
                <w:color w:val="000000"/>
                <w:sz w:val="22"/>
                <w:szCs w:val="22"/>
                <w:lang w:eastAsia="lt-LT"/>
              </w:rPr>
            </w:pPr>
          </w:p>
        </w:tc>
        <w:tc>
          <w:tcPr>
            <w:tcW w:w="3685"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įrodančių dokumentų nereikalaujama. Užtenka pateikto EBVPD.</w:t>
            </w: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3.8.8</w:t>
            </w:r>
          </w:p>
        </w:tc>
        <w:tc>
          <w:tcPr>
            <w:tcW w:w="35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8D1C53">
              <w:rPr>
                <w:rFonts w:asciiTheme="majorHAnsi" w:hAnsiTheme="majorHAnsi"/>
                <w:color w:val="000000"/>
                <w:sz w:val="22"/>
                <w:szCs w:val="22"/>
                <w:lang w:eastAsia="lt-LT"/>
              </w:rPr>
              <w:lastRenderedPageBreak/>
              <w:t xml:space="preserve">pažeidimas, kaip nustatyta Civilinio kodekso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lastRenderedPageBreak/>
              <w:t xml:space="preserve">VPĮ 46 straipsnio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4 dalies 6 punktas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EBVPD III dalies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C14 punktas</w:t>
            </w:r>
          </w:p>
          <w:p w:rsidR="006E5521" w:rsidRPr="008D1C53" w:rsidRDefault="006E5521" w:rsidP="006E5521">
            <w:pPr>
              <w:suppressAutoHyphens/>
              <w:spacing w:after="40"/>
              <w:rPr>
                <w:rFonts w:asciiTheme="majorHAnsi" w:hAnsiTheme="majorHAnsi"/>
                <w:color w:val="000000"/>
                <w:sz w:val="22"/>
                <w:szCs w:val="22"/>
                <w:lang w:eastAsia="lt-LT"/>
              </w:rPr>
            </w:pPr>
          </w:p>
        </w:tc>
        <w:tc>
          <w:tcPr>
            <w:tcW w:w="3685"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Iš Lietuvoje įsteigtų subjektų įrodančių dokumentų nereikalaujama. Užtenka pateikto EBVPD.</w:t>
            </w:r>
          </w:p>
          <w:p w:rsidR="006E5521" w:rsidRPr="008D1C53" w:rsidRDefault="006E5521" w:rsidP="006E5521">
            <w:pPr>
              <w:suppressAutoHyphens/>
              <w:spacing w:after="40"/>
              <w:jc w:val="both"/>
              <w:rPr>
                <w:rFonts w:asciiTheme="majorHAnsi" w:hAnsiTheme="majorHAnsi"/>
                <w:bCs/>
                <w:iCs/>
                <w:color w:val="000000"/>
                <w:sz w:val="22"/>
                <w:szCs w:val="22"/>
                <w:lang w:eastAsia="lt-LT"/>
              </w:rPr>
            </w:pPr>
          </w:p>
          <w:p w:rsidR="006E5521" w:rsidRPr="008D1C53" w:rsidRDefault="006E5521" w:rsidP="006E5521">
            <w:pPr>
              <w:suppressAutoHyphens/>
              <w:spacing w:after="40"/>
              <w:jc w:val="both"/>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E5521" w:rsidRPr="008D1C53" w:rsidRDefault="006E5521" w:rsidP="006E5521">
            <w:pPr>
              <w:suppressAutoHyphens/>
              <w:spacing w:after="40"/>
              <w:jc w:val="both"/>
              <w:rPr>
                <w:rFonts w:asciiTheme="majorHAnsi" w:hAnsiTheme="majorHAnsi"/>
                <w:color w:val="000000"/>
                <w:sz w:val="22"/>
                <w:szCs w:val="22"/>
                <w:lang w:eastAsia="lt-LT"/>
              </w:rPr>
            </w:pPr>
          </w:p>
          <w:p w:rsidR="006E5521" w:rsidRPr="008D1C53" w:rsidRDefault="00D1675D" w:rsidP="006E5521">
            <w:pPr>
              <w:suppressAutoHyphens/>
              <w:spacing w:after="40"/>
              <w:jc w:val="both"/>
              <w:rPr>
                <w:rFonts w:asciiTheme="majorHAnsi" w:hAnsiTheme="majorHAnsi"/>
                <w:sz w:val="22"/>
              </w:rPr>
            </w:pPr>
            <w:hyperlink r:id="rId12" w:history="1">
              <w:r w:rsidR="00C4510D" w:rsidRPr="008D1C53">
                <w:rPr>
                  <w:rStyle w:val="Hyperlink"/>
                  <w:rFonts w:asciiTheme="majorHAnsi" w:hAnsiTheme="majorHAnsi"/>
                  <w:sz w:val="22"/>
                </w:rPr>
                <w:t>https://vpt.lrv.lt/lt/nuorodos/kiti-duomenys/powerbi/nepatikimi-tiekejai-1/</w:t>
              </w:r>
            </w:hyperlink>
          </w:p>
          <w:p w:rsidR="00C4510D" w:rsidRPr="008D1C53" w:rsidRDefault="00C4510D" w:rsidP="006E5521">
            <w:pPr>
              <w:suppressAutoHyphens/>
              <w:spacing w:after="40"/>
              <w:jc w:val="both"/>
              <w:rPr>
                <w:rFonts w:asciiTheme="majorHAnsi" w:hAnsiTheme="majorHAnsi"/>
                <w:sz w:val="22"/>
                <w:szCs w:val="22"/>
                <w:lang w:eastAsia="lt-LT"/>
              </w:rPr>
            </w:pPr>
          </w:p>
          <w:p w:rsidR="006E5521" w:rsidRPr="008D1C53" w:rsidRDefault="00D1675D" w:rsidP="006E5521">
            <w:pPr>
              <w:suppressAutoHyphens/>
              <w:spacing w:after="40"/>
              <w:jc w:val="both"/>
              <w:rPr>
                <w:rFonts w:asciiTheme="majorHAnsi" w:hAnsiTheme="majorHAnsi"/>
                <w:sz w:val="22"/>
                <w:szCs w:val="22"/>
                <w:lang w:eastAsia="lt-LT"/>
              </w:rPr>
            </w:pPr>
            <w:hyperlink r:id="rId13" w:history="1">
              <w:r w:rsidR="006E5521" w:rsidRPr="008D1C53">
                <w:rPr>
                  <w:rFonts w:asciiTheme="majorHAnsi" w:hAnsiTheme="majorHAnsi"/>
                  <w:sz w:val="22"/>
                  <w:szCs w:val="22"/>
                  <w:u w:val="single"/>
                  <w:lang w:eastAsia="lt-LT"/>
                </w:rPr>
                <w:t>https://vpt.lrv.lt/lt/pasalinimo-pagrindai-1/nepatikimu-koncesininku-sarasas-1/nepatikimu-koncesininku-sarasas</w:t>
              </w:r>
            </w:hyperlink>
          </w:p>
          <w:p w:rsidR="006E5521" w:rsidRPr="008D1C53" w:rsidRDefault="006E5521" w:rsidP="006E5521">
            <w:pPr>
              <w:suppressAutoHyphens/>
              <w:spacing w:after="40"/>
              <w:jc w:val="both"/>
              <w:rPr>
                <w:rFonts w:asciiTheme="majorHAnsi" w:hAnsiTheme="majorHAnsi"/>
                <w:bCs/>
                <w:color w:val="000000"/>
                <w:sz w:val="22"/>
                <w:szCs w:val="22"/>
                <w:lang w:eastAsia="lt-LT"/>
              </w:rPr>
            </w:pPr>
          </w:p>
          <w:p w:rsidR="006E5521" w:rsidRPr="008D1C53" w:rsidRDefault="006E5521" w:rsidP="006E5521">
            <w:pPr>
              <w:suppressAutoHyphens/>
              <w:spacing w:after="40"/>
              <w:jc w:val="both"/>
              <w:rPr>
                <w:rFonts w:asciiTheme="majorHAnsi" w:hAnsiTheme="majorHAnsi"/>
                <w:color w:val="000000"/>
                <w:sz w:val="22"/>
                <w:szCs w:val="22"/>
                <w:lang w:eastAsia="lt-LT"/>
              </w:rPr>
            </w:pPr>
          </w:p>
        </w:tc>
      </w:tr>
      <w:tr w:rsidR="006E5521" w:rsidRPr="008D1C53" w:rsidTr="006E5521">
        <w:tc>
          <w:tcPr>
            <w:tcW w:w="6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lastRenderedPageBreak/>
              <w:t>3.8.9</w:t>
            </w:r>
          </w:p>
        </w:tc>
        <w:tc>
          <w:tcPr>
            <w:tcW w:w="3574" w:type="dxa"/>
          </w:tcPr>
          <w:p w:rsidR="006E5521" w:rsidRPr="008D1C53" w:rsidRDefault="006E5521" w:rsidP="006E5521">
            <w:pPr>
              <w:suppressAutoHyphens/>
              <w:spacing w:after="40"/>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8D1C53">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VPĮ 46 straipsnio</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 xml:space="preserve">4 dalies 7 punkto </w:t>
            </w:r>
          </w:p>
          <w:p w:rsidR="006E5521" w:rsidRPr="008D1C53" w:rsidRDefault="006E5521" w:rsidP="006E5521">
            <w:pPr>
              <w:suppressAutoHyphens/>
              <w:rPr>
                <w:rFonts w:asciiTheme="majorHAnsi" w:hAnsiTheme="majorHAnsi"/>
                <w:b/>
                <w:bCs/>
                <w:color w:val="000000"/>
                <w:sz w:val="22"/>
                <w:szCs w:val="22"/>
                <w:lang w:eastAsia="lt-LT"/>
              </w:rPr>
            </w:pPr>
            <w:r w:rsidRPr="008D1C53">
              <w:rPr>
                <w:rFonts w:asciiTheme="majorHAnsi" w:hAnsiTheme="majorHAnsi"/>
                <w:b/>
                <w:bCs/>
                <w:color w:val="000000"/>
                <w:sz w:val="22"/>
                <w:szCs w:val="22"/>
                <w:lang w:eastAsia="lt-LT"/>
              </w:rPr>
              <w:t>a papunktis</w:t>
            </w:r>
          </w:p>
          <w:p w:rsidR="006E5521" w:rsidRPr="008D1C53" w:rsidRDefault="006E5521" w:rsidP="006E5521">
            <w:pPr>
              <w:suppressAutoHyphens/>
              <w:rPr>
                <w:rFonts w:asciiTheme="majorHAnsi" w:hAnsiTheme="majorHAnsi"/>
                <w:color w:val="000000"/>
                <w:sz w:val="22"/>
                <w:szCs w:val="22"/>
                <w:lang w:eastAsia="lt-LT"/>
              </w:rPr>
            </w:pP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EBVPD III dalies</w:t>
            </w:r>
          </w:p>
          <w:p w:rsidR="006E5521" w:rsidRPr="008D1C53" w:rsidRDefault="006E5521" w:rsidP="006E5521">
            <w:pPr>
              <w:suppressAutoHyphens/>
              <w:rPr>
                <w:rFonts w:asciiTheme="majorHAnsi" w:hAnsiTheme="majorHAnsi"/>
                <w:color w:val="000000"/>
                <w:sz w:val="22"/>
                <w:szCs w:val="22"/>
                <w:lang w:eastAsia="lt-LT"/>
              </w:rPr>
            </w:pPr>
            <w:r w:rsidRPr="008D1C53">
              <w:rPr>
                <w:rFonts w:asciiTheme="majorHAnsi" w:hAnsiTheme="majorHAnsi"/>
                <w:color w:val="000000"/>
                <w:sz w:val="22"/>
                <w:szCs w:val="22"/>
                <w:lang w:eastAsia="lt-LT"/>
              </w:rPr>
              <w:t>C11 punktas</w:t>
            </w:r>
          </w:p>
        </w:tc>
        <w:tc>
          <w:tcPr>
            <w:tcW w:w="3685" w:type="dxa"/>
          </w:tcPr>
          <w:p w:rsidR="006E5521" w:rsidRPr="008D1C53" w:rsidRDefault="006E5521" w:rsidP="006E5521">
            <w:pPr>
              <w:suppressAutoHyphens/>
              <w:spacing w:after="40"/>
              <w:jc w:val="both"/>
              <w:rPr>
                <w:rFonts w:asciiTheme="majorHAnsi" w:hAnsiTheme="majorHAnsi"/>
                <w:sz w:val="22"/>
                <w:szCs w:val="22"/>
                <w:lang w:eastAsia="lt-LT"/>
              </w:rPr>
            </w:pPr>
            <w:r w:rsidRPr="008D1C53">
              <w:rPr>
                <w:rFonts w:asciiTheme="majorHAnsi" w:hAnsiTheme="majorHAnsi"/>
                <w:sz w:val="22"/>
                <w:szCs w:val="22"/>
                <w:lang w:eastAsia="lt-LT"/>
              </w:rPr>
              <w:t>Iš Lietuvoje įsteigtų subjektų įrodančių dokumentų nereikalaujama. Užtenka pateikto EBVPD.</w:t>
            </w:r>
          </w:p>
          <w:p w:rsidR="006E5521" w:rsidRPr="008D1C53" w:rsidRDefault="006E5521" w:rsidP="006E5521">
            <w:pPr>
              <w:jc w:val="both"/>
              <w:rPr>
                <w:rFonts w:asciiTheme="majorHAnsi" w:hAnsiTheme="majorHAnsi"/>
                <w:sz w:val="22"/>
                <w:szCs w:val="22"/>
              </w:rPr>
            </w:pPr>
            <w:r w:rsidRPr="008D1C53">
              <w:rPr>
                <w:rFonts w:asciiTheme="majorHAnsi" w:hAnsiTheme="majorHAnsi"/>
                <w:sz w:val="22"/>
                <w:szCs w:val="22"/>
              </w:rPr>
              <w:t>Priimant sprendimus dėl tiekėjo pašalinimo iš pirkimo procedūros šiame punkte nurodytu pašalinimo pagrindu, be kita ko, atsižvelgiama į</w:t>
            </w:r>
            <w:r w:rsidRPr="008D1C53">
              <w:rPr>
                <w:rFonts w:asciiTheme="majorHAnsi" w:hAnsiTheme="majorHAnsi"/>
                <w:b/>
                <w:bCs/>
                <w:sz w:val="22"/>
                <w:szCs w:val="22"/>
              </w:rPr>
              <w:t xml:space="preserve"> </w:t>
            </w:r>
            <w:r w:rsidRPr="008D1C53">
              <w:rPr>
                <w:rFonts w:asciiTheme="majorHAnsi" w:hAnsiTheme="majorHAnsi"/>
                <w:sz w:val="22"/>
                <w:szCs w:val="22"/>
              </w:rPr>
              <w:t xml:space="preserve">nacionalinėje duomenų bazėje adresu: </w:t>
            </w:r>
            <w:hyperlink r:id="rId14" w:history="1">
              <w:r w:rsidRPr="008D1C53">
                <w:rPr>
                  <w:rFonts w:asciiTheme="majorHAnsi" w:hAnsiTheme="majorHAnsi"/>
                  <w:sz w:val="22"/>
                  <w:szCs w:val="22"/>
                  <w:u w:val="single"/>
                </w:rPr>
                <w:t>https://www.registrucentras.lt/jar/p/index.php</w:t>
              </w:r>
            </w:hyperlink>
          </w:p>
          <w:p w:rsidR="006E5521" w:rsidRPr="008D1C53" w:rsidRDefault="006E5521" w:rsidP="006E5521">
            <w:pPr>
              <w:jc w:val="both"/>
              <w:rPr>
                <w:rFonts w:asciiTheme="majorHAnsi" w:hAnsiTheme="majorHAnsi"/>
                <w:sz w:val="22"/>
                <w:szCs w:val="22"/>
              </w:rPr>
            </w:pPr>
            <w:r w:rsidRPr="008D1C53">
              <w:rPr>
                <w:rFonts w:asciiTheme="majorHAnsi" w:hAnsiTheme="majorHAnsi"/>
                <w:sz w:val="22"/>
                <w:szCs w:val="22"/>
              </w:rPr>
              <w:t>paskelbtą informaciją, taip pat į šiame informaciniame pranešime pateiktą informaciją:</w:t>
            </w:r>
          </w:p>
          <w:p w:rsidR="006E5521" w:rsidRPr="008D1C53" w:rsidRDefault="001E323D" w:rsidP="006E5521">
            <w:pPr>
              <w:suppressAutoHyphens/>
              <w:spacing w:after="40"/>
              <w:jc w:val="both"/>
              <w:rPr>
                <w:rFonts w:asciiTheme="majorHAnsi" w:hAnsiTheme="majorHAnsi"/>
                <w:sz w:val="22"/>
                <w:szCs w:val="22"/>
                <w:lang w:eastAsia="lt-LT"/>
              </w:rPr>
            </w:pPr>
            <w:r w:rsidRPr="008D1C53">
              <w:rPr>
                <w:rFonts w:asciiTheme="majorHAnsi" w:hAnsiTheme="majorHAnsi"/>
                <w:sz w:val="22"/>
                <w:szCs w:val="22"/>
              </w:rPr>
              <w:lastRenderedPageBreak/>
              <w:t>https://vpt.lrv.lt/lt/naujienos-3/finansiniu-ataskaitu-nepateikimas-gali-tapti-kliutimi-dalyvauti-viesuosiuose-pirkimuose/</w:t>
            </w:r>
          </w:p>
        </w:tc>
      </w:tr>
      <w:tr w:rsidR="006E5521" w:rsidRPr="008D1C53" w:rsidTr="006E5521">
        <w:tc>
          <w:tcPr>
            <w:tcW w:w="674" w:type="dxa"/>
          </w:tcPr>
          <w:p w:rsidR="006E5521" w:rsidRPr="008D1C53" w:rsidRDefault="006E5521" w:rsidP="006E5521">
            <w:pPr>
              <w:suppressAutoHyphens/>
              <w:spacing w:after="40"/>
              <w:ind w:right="-109"/>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521" w:rsidRPr="008D1C53" w:rsidRDefault="006E5521" w:rsidP="006E5521">
            <w:pPr>
              <w:jc w:val="both"/>
              <w:rPr>
                <w:rFonts w:asciiTheme="majorHAnsi" w:hAnsiTheme="majorHAnsi"/>
                <w:sz w:val="22"/>
                <w:szCs w:val="22"/>
              </w:rPr>
            </w:pPr>
            <w:r w:rsidRPr="008D1C5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6E5521" w:rsidRPr="008D1C53" w:rsidRDefault="006E5521" w:rsidP="006E5521">
            <w:pPr>
              <w:jc w:val="both"/>
              <w:rPr>
                <w:rFonts w:asciiTheme="majorHAnsi" w:hAnsiTheme="majorHAnsi"/>
                <w:b/>
                <w:bCs/>
                <w:sz w:val="22"/>
                <w:szCs w:val="22"/>
              </w:rPr>
            </w:pPr>
            <w:r w:rsidRPr="008D1C53">
              <w:rPr>
                <w:rFonts w:asciiTheme="majorHAnsi" w:hAnsiTheme="majorHAnsi"/>
                <w:sz w:val="22"/>
                <w:szCs w:val="22"/>
              </w:rPr>
              <w:t>40</w:t>
            </w:r>
            <w:r w:rsidRPr="008D1C53">
              <w:rPr>
                <w:rFonts w:asciiTheme="majorHAnsi" w:hAnsiTheme="majorHAnsi"/>
                <w:sz w:val="22"/>
                <w:szCs w:val="22"/>
                <w:vertAlign w:val="superscript"/>
              </w:rPr>
              <w:t>1</w:t>
            </w:r>
            <w:r w:rsidRPr="008D1C5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521" w:rsidRPr="008D1C53" w:rsidRDefault="006E5521" w:rsidP="006E5521">
            <w:pPr>
              <w:rPr>
                <w:rFonts w:asciiTheme="majorHAnsi" w:eastAsia="Yu Mincho" w:hAnsiTheme="majorHAnsi"/>
                <w:b/>
                <w:bCs/>
                <w:sz w:val="22"/>
                <w:szCs w:val="22"/>
              </w:rPr>
            </w:pPr>
            <w:r w:rsidRPr="008D1C53">
              <w:rPr>
                <w:rFonts w:asciiTheme="majorHAnsi" w:eastAsia="Yu Mincho" w:hAnsiTheme="majorHAnsi"/>
                <w:b/>
                <w:bCs/>
                <w:sz w:val="22"/>
                <w:szCs w:val="22"/>
              </w:rPr>
              <w:t xml:space="preserve">VPĮ 46 straipsnio </w:t>
            </w:r>
          </w:p>
          <w:p w:rsidR="006E5521" w:rsidRPr="008D1C53" w:rsidRDefault="006E5521" w:rsidP="006E5521">
            <w:pPr>
              <w:rPr>
                <w:rFonts w:asciiTheme="majorHAnsi" w:eastAsia="Yu Mincho" w:hAnsiTheme="majorHAnsi"/>
                <w:b/>
                <w:bCs/>
                <w:sz w:val="22"/>
                <w:szCs w:val="22"/>
              </w:rPr>
            </w:pPr>
            <w:r w:rsidRPr="008D1C53">
              <w:rPr>
                <w:rFonts w:asciiTheme="majorHAnsi" w:eastAsia="Yu Mincho" w:hAnsiTheme="majorHAnsi"/>
                <w:b/>
                <w:bCs/>
                <w:sz w:val="22"/>
                <w:szCs w:val="22"/>
              </w:rPr>
              <w:t xml:space="preserve">4 dalies 7 punkto </w:t>
            </w:r>
          </w:p>
          <w:p w:rsidR="006E5521" w:rsidRPr="008D1C53" w:rsidRDefault="006E5521" w:rsidP="006E5521">
            <w:pPr>
              <w:rPr>
                <w:rFonts w:asciiTheme="majorHAnsi" w:eastAsia="Yu Mincho" w:hAnsiTheme="majorHAnsi"/>
                <w:b/>
                <w:bCs/>
                <w:sz w:val="22"/>
                <w:szCs w:val="22"/>
              </w:rPr>
            </w:pPr>
            <w:r w:rsidRPr="008D1C53">
              <w:rPr>
                <w:rFonts w:asciiTheme="majorHAnsi" w:eastAsia="Yu Mincho" w:hAnsiTheme="majorHAnsi"/>
                <w:b/>
                <w:bCs/>
                <w:sz w:val="22"/>
                <w:szCs w:val="22"/>
              </w:rPr>
              <w:t>b papunktis</w:t>
            </w:r>
          </w:p>
          <w:p w:rsidR="006E5521" w:rsidRPr="008D1C53" w:rsidRDefault="006E5521" w:rsidP="006E5521">
            <w:pPr>
              <w:rPr>
                <w:rFonts w:asciiTheme="majorHAnsi" w:eastAsia="Yu Mincho" w:hAnsiTheme="majorHAnsi"/>
                <w:sz w:val="22"/>
                <w:szCs w:val="22"/>
              </w:rPr>
            </w:pPr>
          </w:p>
          <w:p w:rsidR="006E5521" w:rsidRPr="008D1C53" w:rsidRDefault="006E5521" w:rsidP="006E5521">
            <w:pPr>
              <w:rPr>
                <w:rFonts w:asciiTheme="majorHAnsi" w:eastAsia="Yu Mincho" w:hAnsiTheme="majorHAnsi"/>
                <w:sz w:val="22"/>
                <w:szCs w:val="22"/>
              </w:rPr>
            </w:pPr>
            <w:r w:rsidRPr="008D1C53">
              <w:rPr>
                <w:rFonts w:asciiTheme="majorHAnsi" w:eastAsia="Yu Mincho" w:hAnsiTheme="majorHAnsi"/>
                <w:sz w:val="22"/>
                <w:szCs w:val="22"/>
              </w:rPr>
              <w:t>EBVPD III dalies</w:t>
            </w:r>
          </w:p>
          <w:p w:rsidR="006E5521" w:rsidRPr="008D1C53" w:rsidRDefault="006E5521" w:rsidP="006E5521">
            <w:pPr>
              <w:rPr>
                <w:rFonts w:asciiTheme="majorHAnsi" w:eastAsia="Yu Mincho" w:hAnsiTheme="majorHAnsi"/>
                <w:sz w:val="22"/>
                <w:szCs w:val="22"/>
              </w:rPr>
            </w:pPr>
            <w:r w:rsidRPr="008D1C53">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521" w:rsidRPr="008D1C53" w:rsidRDefault="006E5521" w:rsidP="006E5521">
            <w:pPr>
              <w:jc w:val="both"/>
              <w:rPr>
                <w:rFonts w:asciiTheme="majorHAnsi" w:hAnsiTheme="majorHAnsi"/>
                <w:sz w:val="22"/>
                <w:szCs w:val="22"/>
              </w:rPr>
            </w:pPr>
            <w:r w:rsidRPr="008D1C53">
              <w:rPr>
                <w:rFonts w:asciiTheme="majorHAnsi" w:hAnsiTheme="majorHAnsi"/>
                <w:sz w:val="22"/>
                <w:szCs w:val="22"/>
              </w:rPr>
              <w:t>Iš Lietuvoje įsteigtų subjektų įrodančių dokumentų nereikalaujama. Užtenka pateikto EBVPD.</w:t>
            </w:r>
          </w:p>
          <w:p w:rsidR="006E5521" w:rsidRPr="008D1C53" w:rsidRDefault="006E5521" w:rsidP="006E5521">
            <w:pPr>
              <w:jc w:val="both"/>
              <w:rPr>
                <w:rFonts w:asciiTheme="majorHAnsi" w:hAnsiTheme="majorHAnsi"/>
                <w:b/>
                <w:bCs/>
                <w:iCs/>
                <w:sz w:val="22"/>
                <w:szCs w:val="22"/>
              </w:rPr>
            </w:pPr>
          </w:p>
          <w:p w:rsidR="006E5521" w:rsidRPr="008D1C53" w:rsidRDefault="006E5521" w:rsidP="006E5521">
            <w:pPr>
              <w:jc w:val="both"/>
              <w:rPr>
                <w:rFonts w:asciiTheme="majorHAnsi" w:hAnsiTheme="majorHAnsi"/>
                <w:b/>
                <w:bCs/>
                <w:sz w:val="22"/>
                <w:szCs w:val="22"/>
              </w:rPr>
            </w:pPr>
            <w:r w:rsidRPr="008D1C53">
              <w:rPr>
                <w:rFonts w:asciiTheme="majorHAnsi" w:hAnsiTheme="majorHAnsi"/>
                <w:sz w:val="22"/>
                <w:szCs w:val="22"/>
              </w:rPr>
              <w:t>Priimant sprendimus dėl tiekėjo pašalinimo iš pirkimo procedūros šiame punkte nurodytu pašalinimo pagrindu, be kita ko, atsižvelgiama į</w:t>
            </w:r>
            <w:r w:rsidRPr="008D1C53">
              <w:rPr>
                <w:rFonts w:asciiTheme="majorHAnsi" w:hAnsiTheme="majorHAnsi"/>
                <w:b/>
                <w:bCs/>
                <w:sz w:val="22"/>
                <w:szCs w:val="22"/>
              </w:rPr>
              <w:t xml:space="preserve"> </w:t>
            </w:r>
            <w:r w:rsidRPr="008D1C53">
              <w:rPr>
                <w:rFonts w:asciiTheme="majorHAnsi" w:hAnsiTheme="majorHAnsi"/>
                <w:sz w:val="22"/>
                <w:szCs w:val="22"/>
              </w:rPr>
              <w:t xml:space="preserve">nacionalinėje duomenų bazėje adresu </w:t>
            </w:r>
            <w:hyperlink r:id="rId15">
              <w:r w:rsidRPr="008D1C53">
                <w:rPr>
                  <w:rFonts w:asciiTheme="majorHAnsi" w:hAnsiTheme="majorHAnsi"/>
                  <w:sz w:val="22"/>
                  <w:szCs w:val="22"/>
                  <w:u w:val="single"/>
                </w:rPr>
                <w:t>https://www.vmi.lt/evmi/mokesciu-moketoju-informacija</w:t>
              </w:r>
            </w:hyperlink>
            <w:r w:rsidRPr="008D1C53">
              <w:rPr>
                <w:rFonts w:asciiTheme="majorHAnsi" w:hAnsiTheme="majorHAnsi"/>
                <w:sz w:val="22"/>
                <w:szCs w:val="22"/>
              </w:rPr>
              <w:t xml:space="preserve"> skelbiamą informaciją.</w:t>
            </w:r>
          </w:p>
        </w:tc>
      </w:tr>
      <w:tr w:rsidR="006E5521" w:rsidRPr="008D1C53" w:rsidTr="006E5521">
        <w:tc>
          <w:tcPr>
            <w:tcW w:w="674" w:type="dxa"/>
          </w:tcPr>
          <w:p w:rsidR="006E5521" w:rsidRPr="008D1C53" w:rsidRDefault="006E5521" w:rsidP="006E5521">
            <w:pPr>
              <w:suppressAutoHyphens/>
              <w:ind w:right="-109"/>
              <w:jc w:val="both"/>
              <w:rPr>
                <w:rFonts w:asciiTheme="majorHAnsi" w:hAnsiTheme="majorHAnsi"/>
                <w:color w:val="000000"/>
                <w:sz w:val="22"/>
                <w:szCs w:val="22"/>
                <w:lang w:eastAsia="lt-LT"/>
              </w:rPr>
            </w:pPr>
            <w:r w:rsidRPr="008D1C53">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521" w:rsidRPr="008D1C53" w:rsidRDefault="006E5521" w:rsidP="006E5521">
            <w:pPr>
              <w:jc w:val="both"/>
              <w:rPr>
                <w:rFonts w:asciiTheme="majorHAnsi" w:hAnsiTheme="majorHAnsi"/>
                <w:sz w:val="22"/>
                <w:szCs w:val="22"/>
              </w:rPr>
            </w:pPr>
            <w:r w:rsidRPr="008D1C53">
              <w:rPr>
                <w:rFonts w:asciiTheme="majorHAnsi" w:hAnsiTheme="majorHAnsi"/>
                <w:sz w:val="22"/>
                <w:szCs w:val="22"/>
              </w:rPr>
              <w:t xml:space="preserve">Tiekėjas yra padaręs rimtą profesinį pažeidimą, dėl kurio perkančioji organizacija abejoja tiekėjo sąžiningumu, kai jis </w:t>
            </w:r>
            <w:r w:rsidRPr="008D1C53">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521" w:rsidRPr="008D1C53" w:rsidRDefault="006E5521" w:rsidP="006E5521">
            <w:pPr>
              <w:rPr>
                <w:rFonts w:asciiTheme="majorHAnsi" w:eastAsia="Yu Mincho" w:hAnsiTheme="majorHAnsi"/>
                <w:b/>
                <w:bCs/>
                <w:sz w:val="22"/>
                <w:szCs w:val="22"/>
              </w:rPr>
            </w:pPr>
            <w:r w:rsidRPr="008D1C53">
              <w:rPr>
                <w:rFonts w:asciiTheme="majorHAnsi" w:eastAsia="Yu Mincho" w:hAnsiTheme="majorHAnsi"/>
                <w:b/>
                <w:bCs/>
                <w:sz w:val="22"/>
                <w:szCs w:val="22"/>
              </w:rPr>
              <w:t xml:space="preserve">VPĮ 46 straipsnio </w:t>
            </w:r>
          </w:p>
          <w:p w:rsidR="006E5521" w:rsidRPr="008D1C53" w:rsidRDefault="006E5521" w:rsidP="006E5521">
            <w:pPr>
              <w:rPr>
                <w:rFonts w:asciiTheme="majorHAnsi" w:eastAsia="Yu Mincho" w:hAnsiTheme="majorHAnsi"/>
                <w:b/>
                <w:bCs/>
                <w:sz w:val="22"/>
                <w:szCs w:val="22"/>
              </w:rPr>
            </w:pPr>
            <w:r w:rsidRPr="008D1C53">
              <w:rPr>
                <w:rFonts w:asciiTheme="majorHAnsi" w:eastAsia="Yu Mincho" w:hAnsiTheme="majorHAnsi"/>
                <w:b/>
                <w:bCs/>
                <w:sz w:val="22"/>
                <w:szCs w:val="22"/>
              </w:rPr>
              <w:t xml:space="preserve">4 dalies 7 punkto </w:t>
            </w:r>
          </w:p>
          <w:p w:rsidR="006E5521" w:rsidRPr="008D1C53" w:rsidRDefault="006E5521" w:rsidP="006E5521">
            <w:pPr>
              <w:rPr>
                <w:rFonts w:asciiTheme="majorHAnsi" w:eastAsia="Yu Mincho" w:hAnsiTheme="majorHAnsi"/>
                <w:b/>
                <w:bCs/>
                <w:sz w:val="22"/>
                <w:szCs w:val="22"/>
              </w:rPr>
            </w:pPr>
            <w:r w:rsidRPr="008D1C53">
              <w:rPr>
                <w:rFonts w:asciiTheme="majorHAnsi" w:eastAsia="Yu Mincho" w:hAnsiTheme="majorHAnsi"/>
                <w:b/>
                <w:bCs/>
                <w:sz w:val="22"/>
                <w:szCs w:val="22"/>
              </w:rPr>
              <w:t>c papunktis</w:t>
            </w:r>
          </w:p>
          <w:p w:rsidR="006E5521" w:rsidRPr="008D1C53" w:rsidRDefault="006E5521" w:rsidP="006E5521">
            <w:pPr>
              <w:rPr>
                <w:rFonts w:asciiTheme="majorHAnsi" w:eastAsia="Yu Mincho" w:hAnsiTheme="majorHAnsi"/>
                <w:sz w:val="22"/>
                <w:szCs w:val="22"/>
              </w:rPr>
            </w:pPr>
          </w:p>
          <w:p w:rsidR="006E5521" w:rsidRPr="008D1C53" w:rsidRDefault="006E5521" w:rsidP="006E5521">
            <w:pPr>
              <w:rPr>
                <w:rFonts w:asciiTheme="majorHAnsi" w:eastAsia="Yu Mincho" w:hAnsiTheme="majorHAnsi"/>
                <w:sz w:val="22"/>
                <w:szCs w:val="22"/>
              </w:rPr>
            </w:pPr>
            <w:r w:rsidRPr="008D1C53">
              <w:rPr>
                <w:rFonts w:asciiTheme="majorHAnsi" w:eastAsia="Yu Mincho" w:hAnsiTheme="majorHAnsi"/>
                <w:sz w:val="22"/>
                <w:szCs w:val="22"/>
              </w:rPr>
              <w:t xml:space="preserve">EBVPD III dalies </w:t>
            </w:r>
          </w:p>
          <w:p w:rsidR="006E5521" w:rsidRPr="008D1C53" w:rsidRDefault="006E5521" w:rsidP="006E5521">
            <w:pPr>
              <w:rPr>
                <w:rFonts w:asciiTheme="majorHAnsi" w:eastAsia="Yu Mincho" w:hAnsiTheme="majorHAnsi"/>
                <w:sz w:val="22"/>
                <w:szCs w:val="22"/>
              </w:rPr>
            </w:pPr>
            <w:r w:rsidRPr="008D1C53">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5521" w:rsidRPr="008D1C53" w:rsidRDefault="006E5521" w:rsidP="006E5521">
            <w:pPr>
              <w:jc w:val="both"/>
              <w:rPr>
                <w:rFonts w:asciiTheme="majorHAnsi" w:hAnsiTheme="majorHAnsi"/>
                <w:sz w:val="22"/>
                <w:szCs w:val="22"/>
              </w:rPr>
            </w:pPr>
            <w:r w:rsidRPr="008D1C53">
              <w:rPr>
                <w:rFonts w:asciiTheme="majorHAnsi" w:hAnsiTheme="majorHAnsi"/>
                <w:sz w:val="22"/>
                <w:szCs w:val="22"/>
              </w:rPr>
              <w:t>Iš Lietuvoje įsteigtų subjektų įrodančių dokumentų nereikalaujama. Užtenka pateikto EBVPD.</w:t>
            </w:r>
          </w:p>
          <w:p w:rsidR="006E5521" w:rsidRPr="008D1C53" w:rsidRDefault="006E5521" w:rsidP="006E5521">
            <w:pPr>
              <w:jc w:val="both"/>
              <w:rPr>
                <w:rFonts w:asciiTheme="majorHAnsi" w:hAnsiTheme="majorHAnsi"/>
                <w:bCs/>
                <w:iCs/>
                <w:sz w:val="22"/>
                <w:szCs w:val="22"/>
              </w:rPr>
            </w:pPr>
          </w:p>
          <w:p w:rsidR="006E5521" w:rsidRPr="008D1C53" w:rsidRDefault="006E5521" w:rsidP="006E5521">
            <w:pPr>
              <w:rPr>
                <w:rFonts w:asciiTheme="majorHAnsi" w:hAnsiTheme="majorHAnsi"/>
                <w:b/>
                <w:bCs/>
                <w:sz w:val="22"/>
                <w:szCs w:val="22"/>
              </w:rPr>
            </w:pPr>
            <w:r w:rsidRPr="008D1C5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E5521" w:rsidRPr="008D1C53" w:rsidRDefault="00D1675D" w:rsidP="006E5521">
            <w:pPr>
              <w:rPr>
                <w:rFonts w:asciiTheme="majorHAnsi" w:hAnsiTheme="majorHAnsi"/>
                <w:bCs/>
                <w:iCs/>
                <w:sz w:val="22"/>
                <w:szCs w:val="22"/>
              </w:rPr>
            </w:pPr>
            <w:hyperlink r:id="rId16" w:history="1">
              <w:r w:rsidR="006E5521" w:rsidRPr="008D1C53">
                <w:rPr>
                  <w:rFonts w:asciiTheme="majorHAnsi" w:hAnsiTheme="majorHAnsi"/>
                  <w:sz w:val="22"/>
                  <w:szCs w:val="22"/>
                  <w:u w:val="single"/>
                </w:rPr>
                <w:t>https://kt.gov.lt/lt/atviri-duomenys/diskvalifikavimas-is-viesuju-pirkimu</w:t>
              </w:r>
            </w:hyperlink>
            <w:r w:rsidR="006E5521" w:rsidRPr="008D1C53">
              <w:rPr>
                <w:rFonts w:asciiTheme="majorHAnsi" w:hAnsiTheme="majorHAnsi"/>
                <w:sz w:val="22"/>
                <w:szCs w:val="22"/>
              </w:rPr>
              <w:t xml:space="preserve"> skelbiamą informaciją. </w:t>
            </w:r>
          </w:p>
        </w:tc>
      </w:tr>
    </w:tbl>
    <w:p w:rsidR="00E85BB1" w:rsidRPr="008D1C53" w:rsidRDefault="00E85BB1" w:rsidP="00E85BB1">
      <w:pPr>
        <w:pStyle w:val="Body2"/>
        <w:ind w:firstLine="851"/>
        <w:rPr>
          <w:rFonts w:asciiTheme="majorHAnsi" w:hAnsiTheme="majorHAnsi" w:cs="Times New Roman"/>
          <w:lang w:val="lt-LT"/>
        </w:rPr>
      </w:pPr>
    </w:p>
    <w:p w:rsidR="00E85BB1" w:rsidRPr="006E3991" w:rsidRDefault="00E85BB1" w:rsidP="00347BFF">
      <w:pPr>
        <w:pStyle w:val="Body2"/>
        <w:spacing w:after="0"/>
        <w:ind w:firstLine="709"/>
        <w:rPr>
          <w:rFonts w:asciiTheme="majorHAnsi" w:hAnsiTheme="majorHAnsi" w:cs="Times New Roman"/>
          <w:highlight w:val="yellow"/>
          <w:lang w:val="lt-LT"/>
        </w:rPr>
      </w:pPr>
      <w:r w:rsidRPr="006E3991">
        <w:rPr>
          <w:rFonts w:asciiTheme="majorHAnsi" w:hAnsiTheme="majorHAnsi" w:cs="Times New Roman"/>
          <w:highlight w:val="yellow"/>
          <w:lang w:val="lt-LT"/>
        </w:rPr>
        <w:t>3.9. Tiekėjas, dalyvaujantis pirkime, turi atitikti kvalifikacinius reikalavimus ir, jeigu taikytina, laikytis kokybė</w:t>
      </w:r>
      <w:r w:rsidRPr="006E3991">
        <w:rPr>
          <w:rFonts w:asciiTheme="majorHAnsi" w:hAnsiTheme="majorHAnsi" w:cs="Times New Roman"/>
          <w:highlight w:val="yellow"/>
          <w:lang w:val="pt-PT"/>
        </w:rPr>
        <w:t>s vadybos sistemos ir (arba) aplinkos apsaugos vadybos sistemos standart</w:t>
      </w:r>
      <w:r w:rsidRPr="006E3991">
        <w:rPr>
          <w:rFonts w:asciiTheme="majorHAnsi" w:hAnsiTheme="majorHAnsi" w:cs="Times New Roman"/>
          <w:highlight w:val="yellow"/>
          <w:lang w:val="lt-LT"/>
        </w:rPr>
        <w:t>ų</w:t>
      </w:r>
      <w:r w:rsidRPr="006E3991">
        <w:rPr>
          <w:rFonts w:asciiTheme="majorHAnsi" w:hAnsiTheme="majorHAnsi" w:cs="Times New Roman"/>
          <w:highlight w:val="yellow"/>
          <w:lang w:val="de-DE"/>
        </w:rPr>
        <w:t>, nurodyt</w:t>
      </w:r>
      <w:r w:rsidRPr="006E3991">
        <w:rPr>
          <w:rFonts w:asciiTheme="majorHAnsi" w:hAnsiTheme="majorHAnsi" w:cs="Times New Roman"/>
          <w:highlight w:val="yellow"/>
          <w:lang w:val="lt-LT"/>
        </w:rPr>
        <w:t>ų CVP IS paskelbt</w:t>
      </w:r>
      <w:r w:rsidR="00BF5082" w:rsidRPr="006E3991">
        <w:rPr>
          <w:rFonts w:asciiTheme="majorHAnsi" w:hAnsiTheme="majorHAnsi" w:cs="Times New Roman"/>
          <w:highlight w:val="yellow"/>
          <w:lang w:val="lt-LT"/>
        </w:rPr>
        <w:t>ame</w:t>
      </w:r>
      <w:r w:rsidRPr="006E3991">
        <w:rPr>
          <w:rFonts w:asciiTheme="majorHAnsi" w:hAnsiTheme="majorHAnsi" w:cs="Times New Roman"/>
          <w:highlight w:val="yellow"/>
          <w:lang w:val="lt-LT"/>
        </w:rPr>
        <w:t xml:space="preserve"> skelbim</w:t>
      </w:r>
      <w:r w:rsidR="00BF5082" w:rsidRPr="006E3991">
        <w:rPr>
          <w:rFonts w:asciiTheme="majorHAnsi" w:hAnsiTheme="majorHAnsi" w:cs="Times New Roman"/>
          <w:highlight w:val="yellow"/>
          <w:lang w:val="lt-LT"/>
        </w:rPr>
        <w:t>e</w:t>
      </w:r>
      <w:r w:rsidRPr="006E3991">
        <w:rPr>
          <w:rFonts w:asciiTheme="majorHAnsi" w:hAnsiTheme="majorHAnsi" w:cs="Times New Roman"/>
          <w:highlight w:val="yellow"/>
          <w:lang w:val="lt-LT"/>
        </w:rPr>
        <w:t xml:space="preserve"> apie pirkimą. </w:t>
      </w:r>
    </w:p>
    <w:p w:rsidR="00347BFF" w:rsidRPr="006E3991" w:rsidRDefault="00347BFF" w:rsidP="00347BFF">
      <w:pPr>
        <w:pStyle w:val="Body2"/>
        <w:ind w:firstLine="709"/>
        <w:rPr>
          <w:rFonts w:asciiTheme="majorHAnsi" w:hAnsiTheme="majorHAnsi" w:cs="Times New Roman"/>
          <w:b/>
          <w:highlight w:val="yellow"/>
        </w:rPr>
      </w:pPr>
      <w:r w:rsidRPr="006E3991">
        <w:rPr>
          <w:rFonts w:asciiTheme="majorHAnsi" w:hAnsiTheme="majorHAnsi" w:cs="Times New Roman"/>
          <w:b/>
          <w:highlight w:val="yellow"/>
          <w:u w:val="single"/>
        </w:rPr>
        <w:t>Tiekėjas, dalyvaujantis pirkime, turi atitikti kvalifikacinius reikalavimus</w:t>
      </w:r>
      <w:r w:rsidRPr="006E3991">
        <w:rPr>
          <w:rFonts w:asciiTheme="majorHAnsi" w:hAnsiTheme="majorHAnsi" w:cs="Times New Roman"/>
          <w:b/>
          <w:highlight w:val="yellow"/>
          <w:u w:val="single"/>
          <w:lang w:val="de-DE"/>
        </w:rPr>
        <w:t>:</w:t>
      </w:r>
    </w:p>
    <w:tbl>
      <w:tblPr>
        <w:tblW w:w="9822" w:type="dxa"/>
        <w:tblInd w:w="-5" w:type="dxa"/>
        <w:tblCellMar>
          <w:left w:w="10" w:type="dxa"/>
          <w:right w:w="10" w:type="dxa"/>
        </w:tblCellMar>
        <w:tblLook w:val="04A0" w:firstRow="1" w:lastRow="0" w:firstColumn="1" w:lastColumn="0" w:noHBand="0" w:noVBand="1"/>
      </w:tblPr>
      <w:tblGrid>
        <w:gridCol w:w="820"/>
        <w:gridCol w:w="4129"/>
        <w:gridCol w:w="4873"/>
      </w:tblGrid>
      <w:tr w:rsidR="004D2BB1" w:rsidRPr="006E3991" w:rsidTr="004D2BB1">
        <w:trPr>
          <w:trHeight w:val="244"/>
        </w:trPr>
        <w:tc>
          <w:tcPr>
            <w:tcW w:w="8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2BB1" w:rsidRPr="006E3991" w:rsidRDefault="004D2BB1" w:rsidP="00024B6C">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 xml:space="preserve">Eil. Nr. </w:t>
            </w:r>
          </w:p>
        </w:tc>
        <w:tc>
          <w:tcPr>
            <w:tcW w:w="90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2BB1" w:rsidRPr="006E3991" w:rsidRDefault="004D2BB1" w:rsidP="00024B6C">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Tiekėjų kvalifikacijos reikalavimai ir juos įrodantys dokumentai</w:t>
            </w:r>
          </w:p>
        </w:tc>
      </w:tr>
      <w:tr w:rsidR="004D2BB1" w:rsidRPr="006E3991" w:rsidTr="004D2BB1">
        <w:trPr>
          <w:trHeight w:val="3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D2BB1" w:rsidRPr="006E3991" w:rsidRDefault="004D2BB1" w:rsidP="00024B6C">
            <w:pPr>
              <w:spacing w:line="256" w:lineRule="auto"/>
              <w:rPr>
                <w:rFonts w:asciiTheme="majorHAnsi" w:hAnsiTheme="majorHAnsi"/>
                <w:sz w:val="22"/>
                <w:szCs w:val="22"/>
                <w:highlight w:val="yellow"/>
              </w:rPr>
            </w:pP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2BB1" w:rsidRPr="006E3991" w:rsidRDefault="004D2BB1" w:rsidP="00024B6C">
            <w:pPr>
              <w:tabs>
                <w:tab w:val="left" w:pos="1155"/>
              </w:tabs>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Kvalifikaciniai reikalavimai</w:t>
            </w:r>
          </w:p>
        </w:tc>
        <w:tc>
          <w:tcPr>
            <w:tcW w:w="4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2BB1" w:rsidRPr="006E3991" w:rsidRDefault="004D2BB1" w:rsidP="00024B6C">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 xml:space="preserve">Kvalifikacinius reikalavimus įrodantys </w:t>
            </w:r>
          </w:p>
          <w:p w:rsidR="004D2BB1" w:rsidRPr="006E3991" w:rsidRDefault="004D2BB1" w:rsidP="00024B6C">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dokumentai</w:t>
            </w:r>
          </w:p>
        </w:tc>
      </w:tr>
      <w:tr w:rsidR="004D2BB1" w:rsidRPr="006E3991" w:rsidTr="004D2BB1">
        <w:trPr>
          <w:trHeight w:val="138"/>
        </w:trPr>
        <w:tc>
          <w:tcPr>
            <w:tcW w:w="98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2BB1" w:rsidRPr="006E3991" w:rsidRDefault="004D2BB1" w:rsidP="00024B6C">
            <w:pPr>
              <w:spacing w:line="256" w:lineRule="auto"/>
              <w:jc w:val="center"/>
              <w:rPr>
                <w:rFonts w:asciiTheme="majorHAnsi" w:hAnsiTheme="majorHAnsi"/>
                <w:sz w:val="22"/>
                <w:szCs w:val="22"/>
                <w:highlight w:val="yellow"/>
              </w:rPr>
            </w:pPr>
            <w:r w:rsidRPr="006E3991">
              <w:rPr>
                <w:rFonts w:asciiTheme="majorHAnsi" w:hAnsiTheme="majorHAnsi"/>
                <w:b/>
                <w:sz w:val="22"/>
                <w:szCs w:val="22"/>
                <w:highlight w:val="yellow"/>
              </w:rPr>
              <w:t>Techninio ir profesinio pajėgumo reikalavimai</w:t>
            </w:r>
          </w:p>
        </w:tc>
      </w:tr>
      <w:tr w:rsidR="006E3991" w:rsidRPr="006E3991" w:rsidTr="004D2BB1">
        <w:trPr>
          <w:trHeight w:val="1675"/>
        </w:trPr>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1.</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autoSpaceDE w:val="0"/>
              <w:autoSpaceDN w:val="0"/>
              <w:spacing w:before="100" w:beforeAutospacing="1"/>
              <w:jc w:val="both"/>
              <w:rPr>
                <w:rFonts w:ascii="Cambria" w:eastAsia="Arial Unicode MS" w:hAnsi="Cambria"/>
                <w:sz w:val="22"/>
                <w:highlight w:val="yellow"/>
                <w:lang w:val="en-US"/>
              </w:rPr>
            </w:pPr>
            <w:r w:rsidRPr="006E3991">
              <w:rPr>
                <w:rFonts w:ascii="Cambria" w:eastAsia="Arial Unicode MS" w:hAnsi="Cambria"/>
                <w:sz w:val="22"/>
                <w:highlight w:val="yellow"/>
                <w:lang w:val="en-US"/>
              </w:rPr>
              <w:t>Tiekėjas privalo turėti bent du sertifikuotus serviso inžinierius, turinčius teisę atlikti techninio aptarnavimo (serviso) darbus panaudai siūlomai laboratorinei įrangai (arba turėti susitarimą su tokią teisę turinčiais serviso inžinieriais).</w:t>
            </w:r>
          </w:p>
        </w:tc>
        <w:tc>
          <w:tcPr>
            <w:tcW w:w="4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spacing w:line="256" w:lineRule="auto"/>
              <w:ind w:right="170"/>
              <w:jc w:val="both"/>
              <w:rPr>
                <w:rFonts w:ascii="Cambria" w:eastAsia="Arial Unicode MS" w:hAnsi="Cambria"/>
                <w:sz w:val="22"/>
                <w:highlight w:val="yellow"/>
              </w:rPr>
            </w:pPr>
            <w:r w:rsidRPr="006E3991">
              <w:rPr>
                <w:rFonts w:ascii="Cambria" w:eastAsia="Arial Unicode MS" w:hAnsi="Cambria"/>
                <w:sz w:val="22"/>
                <w:highlight w:val="yellow"/>
                <w:lang w:val="en-US"/>
              </w:rPr>
              <w:t xml:space="preserve">Pateikiami panaudai siūlomos įrangos gamintojo (-jų) išduoti sertifikatai arba kiti lygiaverčiai dokumentai, įrodantys teisę atlikti techninio aptarnavimo (serviso) darbus panaudai siūlomai laboratorinei įrangai. </w:t>
            </w:r>
            <w:r w:rsidRPr="006E3991">
              <w:rPr>
                <w:rFonts w:ascii="Cambria" w:eastAsia="Arial Unicode MS" w:hAnsi="Cambria"/>
                <w:sz w:val="22"/>
                <w:highlight w:val="yellow"/>
                <w:u w:val="single"/>
                <w:lang w:val="en-US"/>
              </w:rPr>
              <w:t>Pateikiamos skaitmeninės dokumentų kopijos</w:t>
            </w:r>
            <w:r w:rsidRPr="006E3991">
              <w:rPr>
                <w:rFonts w:ascii="Cambria" w:eastAsia="Arial Unicode MS" w:hAnsi="Cambria"/>
                <w:sz w:val="22"/>
                <w:highlight w:val="yellow"/>
                <w:lang w:val="en-US"/>
              </w:rPr>
              <w:t>.</w:t>
            </w:r>
          </w:p>
        </w:tc>
      </w:tr>
      <w:tr w:rsidR="006E3991" w:rsidRPr="006E3991" w:rsidTr="004D2BB1">
        <w:trPr>
          <w:trHeight w:val="1675"/>
        </w:trPr>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lastRenderedPageBreak/>
              <w:t>2.</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autoSpaceDE w:val="0"/>
              <w:autoSpaceDN w:val="0"/>
              <w:spacing w:before="100" w:beforeAutospacing="1"/>
              <w:jc w:val="both"/>
              <w:rPr>
                <w:rFonts w:ascii="Cambria" w:eastAsia="Arial Unicode MS" w:hAnsi="Cambria"/>
                <w:sz w:val="22"/>
                <w:highlight w:val="yellow"/>
                <w:lang w:val="en-US"/>
              </w:rPr>
            </w:pPr>
            <w:r w:rsidRPr="006E3991">
              <w:rPr>
                <w:rFonts w:ascii="Cambria" w:hAnsi="Cambria"/>
                <w:color w:val="000000"/>
                <w:sz w:val="22"/>
                <w:highlight w:val="yellow"/>
              </w:rPr>
              <w:t xml:space="preserve">Bent vienas iš tiekėjo turimų (arba pasitelkiamų pagal susitarimą) </w:t>
            </w:r>
            <w:r w:rsidRPr="006E3991">
              <w:rPr>
                <w:rFonts w:ascii="Cambria" w:eastAsia="Arial Unicode MS" w:hAnsi="Cambria"/>
                <w:sz w:val="22"/>
                <w:highlight w:val="yellow"/>
                <w:lang w:val="en-US"/>
              </w:rPr>
              <w:t>sertifikuotų serviso inžinierių</w:t>
            </w:r>
            <w:r w:rsidRPr="006E3991">
              <w:rPr>
                <w:rFonts w:ascii="Cambria" w:hAnsi="Cambria"/>
                <w:color w:val="000000"/>
                <w:sz w:val="22"/>
                <w:highlight w:val="yellow"/>
              </w:rPr>
              <w:t xml:space="preserve"> privalo turėti ne mažesnę kaip 5 metų  techninio aptarnavimo patirtį, aptarnaujant </w:t>
            </w:r>
            <w:r w:rsidRPr="006E3991">
              <w:rPr>
                <w:rFonts w:ascii="Cambria" w:eastAsia="Arial Unicode MS" w:hAnsi="Cambria"/>
                <w:sz w:val="22"/>
                <w:highlight w:val="yellow"/>
                <w:lang w:val="en-US"/>
              </w:rPr>
              <w:t xml:space="preserve">panaudai siūlomą </w:t>
            </w:r>
            <w:r w:rsidRPr="006E3991">
              <w:rPr>
                <w:rFonts w:ascii="Cambria" w:hAnsi="Cambria"/>
                <w:color w:val="000000"/>
                <w:sz w:val="22"/>
                <w:highlight w:val="yellow"/>
              </w:rPr>
              <w:t>laboratorinę įrangą: hematologinius analizatorius, tepinėlių ruošimo ir dažymo įrangą, tepinėlių mikroskopijos įrangą.</w:t>
            </w:r>
          </w:p>
        </w:tc>
        <w:tc>
          <w:tcPr>
            <w:tcW w:w="4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spacing w:line="256" w:lineRule="auto"/>
              <w:ind w:right="170"/>
              <w:jc w:val="both"/>
              <w:rPr>
                <w:rFonts w:ascii="Cambria" w:eastAsia="Arial Unicode MS" w:hAnsi="Cambria"/>
                <w:sz w:val="22"/>
                <w:highlight w:val="yellow"/>
                <w:lang w:val="en-US"/>
              </w:rPr>
            </w:pPr>
            <w:r w:rsidRPr="006E3991">
              <w:rPr>
                <w:rFonts w:ascii="Cambria" w:eastAsia="Arial Unicode MS" w:hAnsi="Cambria"/>
                <w:sz w:val="22"/>
                <w:highlight w:val="yellow"/>
                <w:lang w:val="en-US"/>
              </w:rPr>
              <w:t>Pateikiami panaudai siūlomos įrangos gamintojo (-jų) išduoti sertifikatai arba kiti lygiaverčiai dokumentai, įrodantys, kad prieš 5 metus arba anksčiau (skaičiuojant nuo tiekėjo pasiūlymo pateikimo konkursui dienos) serviso inžinierius buvo gamintojo (-jų) apmokytas atlikti techninio aptarnavimo (serviso) darbus panaudai siūlomai laboratorinei įrangai:</w:t>
            </w:r>
            <w:r w:rsidRPr="006E3991">
              <w:rPr>
                <w:rFonts w:ascii="Cambria" w:hAnsi="Cambria"/>
                <w:color w:val="000000"/>
                <w:sz w:val="22"/>
                <w:highlight w:val="yellow"/>
              </w:rPr>
              <w:t xml:space="preserve"> hematologiniams analizatoriams, tepinėlių ruošimo ir dažymo įrangai, tepinėlių mikroskopijos įrangai.</w:t>
            </w:r>
            <w:r w:rsidRPr="006E3991">
              <w:rPr>
                <w:rFonts w:ascii="Cambria" w:eastAsia="Arial Unicode MS" w:hAnsi="Cambria"/>
                <w:sz w:val="22"/>
                <w:highlight w:val="yellow"/>
                <w:lang w:val="en-US"/>
              </w:rPr>
              <w:t xml:space="preserve"> </w:t>
            </w:r>
            <w:r w:rsidRPr="006E3991">
              <w:rPr>
                <w:rFonts w:ascii="Cambria" w:eastAsia="Arial Unicode MS" w:hAnsi="Cambria"/>
                <w:sz w:val="22"/>
                <w:highlight w:val="yellow"/>
                <w:u w:val="single"/>
                <w:lang w:val="en-US"/>
              </w:rPr>
              <w:t>Pateikiamos skaitmeninės dokumentų kopijos</w:t>
            </w:r>
            <w:r w:rsidRPr="006E3991">
              <w:rPr>
                <w:rFonts w:ascii="Cambria" w:eastAsia="Arial Unicode MS" w:hAnsi="Cambria"/>
                <w:sz w:val="22"/>
                <w:highlight w:val="yellow"/>
                <w:lang w:val="en-US"/>
              </w:rPr>
              <w:t>.</w:t>
            </w:r>
          </w:p>
        </w:tc>
      </w:tr>
      <w:tr w:rsidR="006E3991" w:rsidRPr="008D1C53" w:rsidTr="004D2BB1">
        <w:trPr>
          <w:trHeight w:val="1675"/>
        </w:trPr>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spacing w:line="256" w:lineRule="auto"/>
              <w:jc w:val="center"/>
              <w:rPr>
                <w:rFonts w:asciiTheme="majorHAnsi" w:hAnsiTheme="majorHAnsi"/>
                <w:sz w:val="22"/>
                <w:szCs w:val="22"/>
                <w:highlight w:val="yellow"/>
              </w:rPr>
            </w:pPr>
            <w:r w:rsidRPr="006E3991">
              <w:rPr>
                <w:rFonts w:asciiTheme="majorHAnsi" w:hAnsiTheme="majorHAnsi"/>
                <w:sz w:val="22"/>
                <w:szCs w:val="22"/>
                <w:highlight w:val="yellow"/>
              </w:rPr>
              <w:t>3.</w:t>
            </w:r>
          </w:p>
        </w:tc>
        <w:tc>
          <w:tcPr>
            <w:tcW w:w="4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autoSpaceDE w:val="0"/>
              <w:autoSpaceDN w:val="0"/>
              <w:spacing w:before="100" w:beforeAutospacing="1"/>
              <w:jc w:val="both"/>
              <w:rPr>
                <w:rFonts w:ascii="Cambria" w:eastAsia="Arial Unicode MS" w:hAnsi="Cambria"/>
                <w:sz w:val="22"/>
                <w:highlight w:val="yellow"/>
                <w:lang w:val="en-US"/>
              </w:rPr>
            </w:pPr>
            <w:r w:rsidRPr="006E3991">
              <w:rPr>
                <w:rFonts w:ascii="Cambria" w:hAnsi="Cambria"/>
                <w:color w:val="000000"/>
                <w:sz w:val="22"/>
                <w:highlight w:val="yellow"/>
              </w:rPr>
              <w:t xml:space="preserve">Tiekėjas turi būti Lietuvoje instaliavęs panaudai siūlomai įrangai analogišką techninį sprendimą (tokios pačios arba didesnės apimties) – mechaniškai nepertraukiama konvejerine mėginių transportavimo jungtimi bei programiškai tarpusavyje sujungtus automatinius hematologinius analizatorius (du arba daugiau), automatinę tepinėlių paruošimo ir dažymo sistemą (vieną arba daugiau), automatinę skaitmeninę kraujo ir kūno skysčių tepinėlių morfologijos vertinimo sistemą (vieną arba daugiau), automatinį eritrocitų nusėdimo greičio (ENG) matavimo analizatorių (vieną arba daugiau) (jei aukščiau paminėti hematologiniai analizatoriai neturi ENG matavimo funkcijos). </w:t>
            </w:r>
          </w:p>
        </w:tc>
        <w:tc>
          <w:tcPr>
            <w:tcW w:w="4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3991" w:rsidRPr="006E3991" w:rsidRDefault="006E3991" w:rsidP="006E3991">
            <w:pPr>
              <w:spacing w:line="256" w:lineRule="auto"/>
              <w:ind w:right="170"/>
              <w:jc w:val="both"/>
              <w:rPr>
                <w:rFonts w:ascii="Cambria" w:eastAsia="Arial Unicode MS" w:hAnsi="Cambria"/>
                <w:sz w:val="22"/>
                <w:lang w:val="en-US"/>
              </w:rPr>
            </w:pPr>
            <w:r w:rsidRPr="006E3991">
              <w:rPr>
                <w:rFonts w:ascii="Cambria" w:hAnsi="Cambria"/>
                <w:b/>
                <w:bCs/>
                <w:i/>
                <w:iCs/>
                <w:color w:val="000000"/>
                <w:sz w:val="22"/>
                <w:highlight w:val="yellow"/>
              </w:rPr>
              <w:t xml:space="preserve">Nurodoma įvykdytos sutarties data bei numeris, pateikiamas perkančiosios organizacijos patvirtinamasis raštas, liudijantis, kad sutartis  sėkmingai įvykdyta. </w:t>
            </w:r>
            <w:r w:rsidRPr="006E3991">
              <w:rPr>
                <w:rFonts w:ascii="Cambria" w:eastAsia="Arial Unicode MS" w:hAnsi="Cambria"/>
                <w:sz w:val="22"/>
                <w:highlight w:val="yellow"/>
                <w:u w:val="single"/>
                <w:lang w:val="en-US"/>
              </w:rPr>
              <w:t>Pateikiamos skaitmeninės dokumentų kopijos</w:t>
            </w:r>
            <w:r w:rsidRPr="006E3991">
              <w:rPr>
                <w:rFonts w:ascii="Cambria" w:eastAsia="Arial Unicode MS" w:hAnsi="Cambria"/>
                <w:sz w:val="22"/>
                <w:highlight w:val="yellow"/>
                <w:lang w:val="en-US"/>
              </w:rPr>
              <w:t>.</w:t>
            </w:r>
          </w:p>
        </w:tc>
      </w:tr>
    </w:tbl>
    <w:p w:rsidR="004D2BB1" w:rsidRPr="008D1C53" w:rsidRDefault="004D2BB1" w:rsidP="009E3D01">
      <w:pPr>
        <w:tabs>
          <w:tab w:val="left" w:pos="851"/>
        </w:tabs>
        <w:suppressAutoHyphens/>
        <w:jc w:val="both"/>
        <w:rPr>
          <w:rFonts w:asciiTheme="majorHAnsi" w:hAnsiTheme="majorHAnsi"/>
          <w:b/>
          <w:sz w:val="22"/>
          <w:szCs w:val="22"/>
        </w:rPr>
      </w:pPr>
      <w:r w:rsidRPr="008D1C53">
        <w:rPr>
          <w:rFonts w:asciiTheme="majorHAnsi" w:hAnsiTheme="majorHAnsi"/>
          <w:color w:val="000000"/>
          <w:sz w:val="22"/>
          <w:szCs w:val="22"/>
          <w:lang w:eastAsia="lt-LT"/>
        </w:rPr>
        <w:t>*</w:t>
      </w:r>
      <w:r w:rsidRPr="008D1C53">
        <w:rPr>
          <w:rFonts w:asciiTheme="majorHAnsi" w:hAnsiTheme="majorHAnsi"/>
          <w:b/>
          <w:sz w:val="22"/>
          <w:szCs w:val="22"/>
        </w:rPr>
        <w:t xml:space="preserve"> Perkančioji organizacija aktualių dokumentų, patvirtinančių atitikimą šiame priede nustatytiems reikalavimams, reikalaus pateikti tik iš to tiekėjo, kurio pasiūlymas pagal vertinimo rezultatus galės būti pripažintas laimėjusiu.</w:t>
      </w:r>
    </w:p>
    <w:p w:rsidR="004D2BB1" w:rsidRPr="008D1C53" w:rsidRDefault="004D2BB1" w:rsidP="004D2BB1">
      <w:pPr>
        <w:tabs>
          <w:tab w:val="left" w:pos="851"/>
        </w:tabs>
        <w:suppressAutoHyphens/>
        <w:jc w:val="both"/>
        <w:rPr>
          <w:rFonts w:asciiTheme="majorHAnsi" w:hAnsiTheme="majorHAnsi"/>
          <w:b/>
          <w:sz w:val="22"/>
          <w:szCs w:val="22"/>
        </w:rPr>
      </w:pPr>
    </w:p>
    <w:p w:rsidR="00E85BB1" w:rsidRPr="008D1C53" w:rsidRDefault="00E85BB1" w:rsidP="00347BFF">
      <w:pPr>
        <w:pStyle w:val="Body2"/>
        <w:spacing w:after="0"/>
        <w:ind w:firstLine="709"/>
        <w:rPr>
          <w:rFonts w:asciiTheme="majorHAnsi" w:hAnsiTheme="majorHAnsi" w:cs="Times New Roman"/>
          <w:lang w:val="lt-LT"/>
        </w:rPr>
      </w:pPr>
      <w:r w:rsidRPr="008D1C53">
        <w:rPr>
          <w:rFonts w:asciiTheme="majorHAnsi" w:hAnsiTheme="majorHAnsi" w:cs="Times New Roman"/>
          <w:lang w:val="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D1C53">
        <w:rPr>
          <w:rFonts w:asciiTheme="majorHAnsi" w:hAnsiTheme="majorHAnsi" w:cs="Times New Roman"/>
          <w:i/>
          <w:iCs/>
          <w:lang w:val="lt-LT"/>
        </w:rPr>
        <w:t>Apostille</w:t>
      </w:r>
      <w:r w:rsidRPr="008D1C53">
        <w:rPr>
          <w:rFonts w:asciiTheme="majorHAnsi" w:hAnsiTheme="majorHAnsi" w:cs="Times New Roman"/>
          <w:lang w:val="lt-LT"/>
        </w:rPr>
        <w:t xml:space="preserve">) tvarkos aprašo patvirtinimo“ (Žin., 2006, Nr. 118-4477) ir 1961 m. spalio 5 d. Hagos konvencija dėl užsienio valstybėse išduotų dokumentų legalizavimo panaikinimo (Žin., 1997, Nr. 68-1699). </w:t>
      </w:r>
    </w:p>
    <w:p w:rsidR="00E85BB1" w:rsidRPr="008D1C53" w:rsidRDefault="00E85BB1" w:rsidP="00347BFF">
      <w:pPr>
        <w:pStyle w:val="Body2"/>
        <w:spacing w:after="0"/>
        <w:ind w:firstLine="709"/>
        <w:rPr>
          <w:rFonts w:asciiTheme="majorHAnsi" w:hAnsiTheme="majorHAnsi" w:cs="Times New Roman"/>
          <w:lang w:val="lt-LT"/>
        </w:rPr>
      </w:pPr>
      <w:r w:rsidRPr="008D1C53">
        <w:rPr>
          <w:rFonts w:asciiTheme="majorHAnsi" w:hAnsiTheme="majorHAnsi" w:cs="Times New Roman"/>
          <w:lang w:val="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85BB1" w:rsidRPr="008D1C53" w:rsidRDefault="00E85BB1" w:rsidP="00347BFF">
      <w:pPr>
        <w:pStyle w:val="Body2"/>
        <w:ind w:firstLine="709"/>
        <w:rPr>
          <w:rFonts w:asciiTheme="majorHAnsi" w:hAnsiTheme="majorHAnsi" w:cs="Times New Roman"/>
        </w:rPr>
      </w:pPr>
      <w:r w:rsidRPr="008D1C53">
        <w:rPr>
          <w:rFonts w:asciiTheme="majorHAnsi" w:hAnsiTheme="majorHAnsi" w:cs="Times New Roman"/>
          <w:color w:val="auto"/>
          <w:lang w:val="lt-LT"/>
        </w:rPr>
        <w:t xml:space="preserve">3.12. </w:t>
      </w:r>
      <w:r w:rsidRPr="008D1C53">
        <w:rPr>
          <w:rFonts w:asciiTheme="majorHAnsi" w:hAnsiTheme="majorHAnsi" w:cs="Times New Roman"/>
        </w:rPr>
        <w:t>Jeigu tiekėjo kvalifikacija dėl teisės verstis atitinkama veikla nebuvo tikrinama arba tikrinama ne visa apimtimi, tiekėjas perkančiajai organizacijai įsipareigoja, kad pirkimo sutartį vykdys tik tokią teisę turintys asmenys.</w:t>
      </w:r>
    </w:p>
    <w:p w:rsidR="00E85BB1" w:rsidRPr="008D1C53" w:rsidRDefault="00E85BB1" w:rsidP="00347BFF">
      <w:pPr>
        <w:pStyle w:val="Body2"/>
        <w:spacing w:after="0"/>
        <w:ind w:firstLine="709"/>
        <w:rPr>
          <w:rFonts w:asciiTheme="majorHAnsi" w:hAnsiTheme="majorHAnsi" w:cs="Times New Roman"/>
          <w:color w:val="auto"/>
          <w:u w:val="single"/>
          <w:lang w:val="lt-LT"/>
        </w:rPr>
      </w:pPr>
      <w:r w:rsidRPr="008D1C53">
        <w:rPr>
          <w:rFonts w:asciiTheme="majorHAnsi" w:hAnsiTheme="majorHAnsi" w:cs="Times New Roman"/>
          <w:color w:val="auto"/>
          <w:u w:val="single"/>
          <w:lang w:val="lt-LT"/>
        </w:rPr>
        <w:t xml:space="preserve">3.13. Kiekvienas subjektas, kurio pajėgumais </w:t>
      </w:r>
      <w:r w:rsidRPr="008D1C53">
        <w:rPr>
          <w:rFonts w:asciiTheme="majorHAnsi" w:hAnsiTheme="majorHAnsi" w:cs="Times New Roman"/>
          <w:u w:val="single"/>
          <w:lang w:val="pt-PT"/>
        </w:rPr>
        <w:t>tiek</w:t>
      </w:r>
      <w:r w:rsidRPr="008D1C53">
        <w:rPr>
          <w:rFonts w:asciiTheme="majorHAnsi" w:hAnsiTheme="majorHAnsi" w:cs="Times New Roman"/>
          <w:u w:val="single"/>
          <w:lang w:val="lt-LT"/>
        </w:rPr>
        <w:t>ė</w:t>
      </w:r>
      <w:r w:rsidRPr="008D1C53">
        <w:rPr>
          <w:rFonts w:asciiTheme="majorHAnsi" w:hAnsiTheme="majorHAnsi" w:cs="Times New Roman"/>
          <w:u w:val="single"/>
          <w:lang w:val="es-ES_tradnl"/>
        </w:rPr>
        <w:t>jas remiasi, u</w:t>
      </w:r>
      <w:r w:rsidRPr="008D1C53">
        <w:rPr>
          <w:rFonts w:asciiTheme="majorHAnsi" w:hAnsiTheme="majorHAnsi" w:cs="Times New Roman"/>
          <w:u w:val="single"/>
          <w:lang w:val="lt-LT"/>
        </w:rPr>
        <w:t>ž</w:t>
      </w:r>
      <w:r w:rsidRPr="008D1C53">
        <w:rPr>
          <w:rFonts w:asciiTheme="majorHAnsi" w:hAnsiTheme="majorHAnsi" w:cs="Times New Roman"/>
          <w:u w:val="single"/>
          <w:lang w:val="es-ES_tradnl"/>
        </w:rPr>
        <w:t>pildo ir pasira</w:t>
      </w:r>
      <w:r w:rsidRPr="008D1C53">
        <w:rPr>
          <w:rFonts w:asciiTheme="majorHAnsi" w:hAnsiTheme="majorHAnsi" w:cs="Times New Roman"/>
          <w:u w:val="single"/>
          <w:lang w:val="lt-LT"/>
        </w:rPr>
        <w:t xml:space="preserve">šo atskirą </w:t>
      </w:r>
      <w:r w:rsidRPr="008D1C53">
        <w:rPr>
          <w:rFonts w:asciiTheme="majorHAnsi" w:hAnsiTheme="majorHAnsi" w:cs="Times New Roman"/>
          <w:u w:val="single"/>
          <w:lang w:val="de-DE"/>
        </w:rPr>
        <w:t>EBVPD</w:t>
      </w:r>
      <w:r w:rsidRPr="008D1C53">
        <w:rPr>
          <w:rFonts w:asciiTheme="majorHAnsi" w:hAnsiTheme="majorHAnsi" w:cs="Times New Roman"/>
          <w:u w:val="single"/>
          <w:lang w:val="lt-LT"/>
        </w:rPr>
        <w:t>.</w:t>
      </w:r>
    </w:p>
    <w:p w:rsidR="003B11E2" w:rsidRPr="008D1C53" w:rsidRDefault="003B11E2" w:rsidP="003B11E2">
      <w:pPr>
        <w:shd w:val="clear" w:color="auto" w:fill="FFFFFF"/>
        <w:ind w:left="-567" w:firstLine="1134"/>
        <w:jc w:val="both"/>
        <w:rPr>
          <w:rFonts w:asciiTheme="majorHAnsi" w:hAnsiTheme="majorHAnsi"/>
          <w:b/>
          <w:sz w:val="22"/>
          <w:szCs w:val="22"/>
        </w:rPr>
      </w:pPr>
      <w:bookmarkStart w:id="16" w:name="_Toc487805678"/>
      <w:bookmarkStart w:id="17" w:name="_Toc488054834"/>
      <w:bookmarkStart w:id="18" w:name="_Toc227136940"/>
      <w:r w:rsidRPr="008D1C53">
        <w:rPr>
          <w:rFonts w:asciiTheme="majorHAnsi" w:hAnsiTheme="majorHAnsi"/>
          <w:b/>
          <w:sz w:val="22"/>
          <w:szCs w:val="22"/>
        </w:rPr>
        <w:t xml:space="preserve">  </w:t>
      </w:r>
    </w:p>
    <w:p w:rsidR="003B11E2" w:rsidRPr="008D1C53" w:rsidRDefault="003B11E2" w:rsidP="003B11E2">
      <w:pPr>
        <w:shd w:val="clear" w:color="auto" w:fill="FFFFFF"/>
        <w:ind w:left="-567" w:firstLine="1134"/>
        <w:jc w:val="both"/>
        <w:rPr>
          <w:rFonts w:asciiTheme="majorHAnsi" w:hAnsiTheme="majorHAnsi"/>
          <w:b/>
          <w:sz w:val="22"/>
          <w:szCs w:val="22"/>
        </w:rPr>
      </w:pPr>
      <w:r w:rsidRPr="008D1C53">
        <w:rPr>
          <w:rFonts w:asciiTheme="majorHAnsi" w:hAnsiTheme="majorHAnsi"/>
          <w:b/>
          <w:sz w:val="22"/>
          <w:szCs w:val="22"/>
        </w:rPr>
        <w:t xml:space="preserve">  3.14. Tarybos reglamente </w:t>
      </w:r>
      <w:r w:rsidRPr="008D1C53">
        <w:rPr>
          <w:rFonts w:asciiTheme="majorHAnsi" w:hAnsiTheme="majorHAnsi"/>
          <w:b/>
          <w:bCs/>
          <w:sz w:val="22"/>
          <w:szCs w:val="22"/>
          <w:shd w:val="clear" w:color="auto" w:fill="FFFFFF"/>
        </w:rPr>
        <w:t>(ES) 2022/576</w:t>
      </w:r>
      <w:r w:rsidRPr="008D1C53">
        <w:rPr>
          <w:rFonts w:asciiTheme="majorHAnsi" w:hAnsiTheme="majorHAnsi"/>
          <w:b/>
          <w:sz w:val="22"/>
          <w:szCs w:val="22"/>
        </w:rPr>
        <w:t xml:space="preserve"> nustatytų sąlygų nebuvimas*</w:t>
      </w:r>
    </w:p>
    <w:p w:rsidR="003B11E2" w:rsidRPr="008D1C53" w:rsidRDefault="003B11E2" w:rsidP="003B11E2">
      <w:pPr>
        <w:shd w:val="clear" w:color="auto" w:fill="FFFFFF"/>
        <w:ind w:left="-567" w:firstLine="1134"/>
        <w:jc w:val="both"/>
        <w:rPr>
          <w:rFonts w:asciiTheme="majorHAnsi" w:hAnsiTheme="majorHAnsi"/>
          <w:sz w:val="22"/>
          <w:szCs w:val="22"/>
        </w:rPr>
      </w:pPr>
      <w:r w:rsidRPr="008D1C53">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8D1C53" w:rsidTr="001F29D0">
        <w:trPr>
          <w:trHeight w:val="447"/>
        </w:trPr>
        <w:tc>
          <w:tcPr>
            <w:tcW w:w="295" w:type="pct"/>
          </w:tcPr>
          <w:p w:rsidR="003B11E2" w:rsidRPr="008D1C53" w:rsidRDefault="003B11E2" w:rsidP="001F29D0">
            <w:pPr>
              <w:shd w:val="clear" w:color="auto" w:fill="FFFFFF"/>
              <w:ind w:firstLine="33"/>
              <w:jc w:val="both"/>
              <w:rPr>
                <w:rFonts w:asciiTheme="majorHAnsi" w:eastAsia="Calibri" w:hAnsiTheme="majorHAnsi"/>
                <w:color w:val="000000"/>
                <w:sz w:val="22"/>
                <w:szCs w:val="22"/>
              </w:rPr>
            </w:pPr>
            <w:r w:rsidRPr="008D1C53">
              <w:rPr>
                <w:rFonts w:asciiTheme="majorHAnsi" w:eastAsia="Calibri" w:hAnsiTheme="majorHAnsi"/>
                <w:color w:val="000000"/>
                <w:sz w:val="22"/>
                <w:szCs w:val="22"/>
              </w:rPr>
              <w:t>1.</w:t>
            </w:r>
          </w:p>
        </w:tc>
        <w:tc>
          <w:tcPr>
            <w:tcW w:w="2799" w:type="pct"/>
          </w:tcPr>
          <w:p w:rsidR="003B11E2" w:rsidRPr="008D1C53" w:rsidRDefault="003B11E2" w:rsidP="001F29D0">
            <w:pPr>
              <w:shd w:val="clear" w:color="auto" w:fill="FFFFFF"/>
              <w:ind w:firstLine="33"/>
              <w:jc w:val="both"/>
              <w:rPr>
                <w:rFonts w:asciiTheme="majorHAnsi" w:hAnsiTheme="majorHAnsi"/>
                <w:sz w:val="22"/>
                <w:szCs w:val="22"/>
              </w:rPr>
            </w:pPr>
            <w:r w:rsidRPr="008D1C53">
              <w:rPr>
                <w:rFonts w:asciiTheme="majorHAnsi" w:hAnsiTheme="majorHAnsi"/>
                <w:sz w:val="22"/>
                <w:szCs w:val="22"/>
              </w:rPr>
              <w:t>Tiekėjas</w:t>
            </w:r>
            <w:r w:rsidR="009836A2" w:rsidRPr="008D1C53">
              <w:rPr>
                <w:rFonts w:asciiTheme="majorHAnsi" w:hAnsiTheme="majorHAnsi"/>
                <w:sz w:val="22"/>
                <w:szCs w:val="22"/>
              </w:rPr>
              <w:t xml:space="preserve"> (</w:t>
            </w:r>
            <w:r w:rsidR="009836A2" w:rsidRPr="008D1C53">
              <w:rPr>
                <w:rFonts w:asciiTheme="majorHAnsi" w:hAnsiTheme="majorHAnsi"/>
                <w:sz w:val="22"/>
                <w:szCs w:val="22"/>
                <w:lang w:eastAsia="lt-LT"/>
              </w:rPr>
              <w:t>ar bent vienas iš tiekėjų grupės narių</w:t>
            </w:r>
            <w:r w:rsidR="009836A2" w:rsidRPr="008D1C53">
              <w:rPr>
                <w:rFonts w:asciiTheme="majorHAnsi" w:hAnsiTheme="majorHAnsi"/>
                <w:sz w:val="22"/>
                <w:szCs w:val="22"/>
              </w:rPr>
              <w:t>)</w:t>
            </w:r>
            <w:r w:rsidRPr="008D1C53">
              <w:rPr>
                <w:rFonts w:asciiTheme="majorHAnsi" w:hAnsiTheme="majorHAnsi"/>
                <w:sz w:val="22"/>
                <w:szCs w:val="22"/>
              </w:rPr>
              <w:t xml:space="preserve"> yra Rusijos pilietis</w:t>
            </w:r>
            <w:r w:rsidRPr="008D1C53">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8D1C53" w:rsidRDefault="003B11E2" w:rsidP="001F29D0">
            <w:pPr>
              <w:jc w:val="both"/>
              <w:rPr>
                <w:rFonts w:asciiTheme="majorHAnsi" w:hAnsiTheme="majorHAnsi"/>
                <w:sz w:val="22"/>
                <w:szCs w:val="22"/>
              </w:rPr>
            </w:pPr>
            <w:r w:rsidRPr="008D1C53">
              <w:rPr>
                <w:rFonts w:asciiTheme="majorHAnsi" w:hAnsiTheme="majorHAnsi"/>
                <w:sz w:val="22"/>
                <w:szCs w:val="22"/>
              </w:rPr>
              <w:t xml:space="preserve">Pateikiama: </w:t>
            </w:r>
            <w:r w:rsidRPr="008D1C53">
              <w:rPr>
                <w:rFonts w:asciiTheme="majorHAnsi" w:hAnsiTheme="majorHAnsi"/>
                <w:b/>
                <w:sz w:val="22"/>
                <w:szCs w:val="22"/>
              </w:rPr>
              <w:t>Tiekėjo d</w:t>
            </w:r>
            <w:r w:rsidRPr="008D1C53">
              <w:rPr>
                <w:rFonts w:asciiTheme="majorHAnsi" w:hAnsiTheme="majorHAnsi"/>
                <w:b/>
                <w:bCs/>
                <w:sz w:val="22"/>
                <w:szCs w:val="22"/>
              </w:rPr>
              <w:t xml:space="preserve">eklaracija dėl </w:t>
            </w:r>
            <w:r w:rsidRPr="008D1C53">
              <w:rPr>
                <w:rFonts w:asciiTheme="majorHAnsi" w:hAnsiTheme="majorHAnsi"/>
                <w:b/>
                <w:sz w:val="22"/>
                <w:szCs w:val="22"/>
              </w:rPr>
              <w:t xml:space="preserve">Tarybos reglamente </w:t>
            </w:r>
            <w:r w:rsidRPr="008D1C53">
              <w:rPr>
                <w:rFonts w:asciiTheme="majorHAnsi" w:hAnsiTheme="majorHAnsi"/>
                <w:b/>
                <w:bCs/>
                <w:sz w:val="22"/>
                <w:szCs w:val="22"/>
                <w:shd w:val="clear" w:color="auto" w:fill="FFFFFF"/>
              </w:rPr>
              <w:t>(ES) 2022/576</w:t>
            </w:r>
            <w:r w:rsidRPr="008D1C53">
              <w:rPr>
                <w:rFonts w:asciiTheme="majorHAnsi" w:hAnsiTheme="majorHAnsi"/>
                <w:b/>
                <w:sz w:val="22"/>
                <w:szCs w:val="22"/>
              </w:rPr>
              <w:t xml:space="preserve"> nustatytų sąlygų </w:t>
            </w:r>
            <w:r w:rsidRPr="008D1C53">
              <w:rPr>
                <w:rFonts w:asciiTheme="majorHAnsi" w:hAnsiTheme="majorHAnsi"/>
                <w:b/>
                <w:sz w:val="22"/>
                <w:szCs w:val="22"/>
              </w:rPr>
              <w:lastRenderedPageBreak/>
              <w:t>nebuvimo</w:t>
            </w:r>
            <w:r w:rsidRPr="008D1C53">
              <w:rPr>
                <w:rFonts w:asciiTheme="majorHAnsi" w:hAnsiTheme="majorHAnsi"/>
                <w:sz w:val="22"/>
                <w:szCs w:val="22"/>
              </w:rPr>
              <w:t xml:space="preserve"> (pildoma pagal pirkimo sąlygų </w:t>
            </w:r>
            <w:r w:rsidR="006E3FB8" w:rsidRPr="008D1C53">
              <w:rPr>
                <w:rFonts w:asciiTheme="majorHAnsi" w:hAnsiTheme="majorHAnsi"/>
                <w:sz w:val="22"/>
                <w:szCs w:val="22"/>
              </w:rPr>
              <w:t>6</w:t>
            </w:r>
            <w:r w:rsidRPr="008D1C53">
              <w:rPr>
                <w:rFonts w:asciiTheme="majorHAnsi" w:hAnsiTheme="majorHAnsi"/>
                <w:sz w:val="22"/>
                <w:szCs w:val="22"/>
              </w:rPr>
              <w:t xml:space="preserve"> priedą)</w:t>
            </w:r>
          </w:p>
          <w:p w:rsidR="003B11E2" w:rsidRPr="008D1C53" w:rsidRDefault="003B11E2" w:rsidP="001F29D0">
            <w:pPr>
              <w:jc w:val="both"/>
              <w:rPr>
                <w:rFonts w:asciiTheme="majorHAnsi" w:hAnsiTheme="majorHAnsi"/>
                <w:sz w:val="22"/>
                <w:szCs w:val="22"/>
              </w:rPr>
            </w:pPr>
            <w:r w:rsidRPr="008D1C53">
              <w:rPr>
                <w:rFonts w:asciiTheme="majorHAnsi" w:hAnsiTheme="majorHAnsi"/>
                <w:sz w:val="22"/>
                <w:szCs w:val="22"/>
                <w:u w:val="single"/>
              </w:rPr>
              <w:t>Pateikiama dokumento kopija</w:t>
            </w:r>
          </w:p>
          <w:p w:rsidR="003B11E2" w:rsidRPr="008D1C53" w:rsidRDefault="003B11E2" w:rsidP="001F29D0">
            <w:pPr>
              <w:jc w:val="both"/>
              <w:rPr>
                <w:rFonts w:asciiTheme="majorHAnsi" w:hAnsiTheme="majorHAnsi"/>
                <w:i/>
                <w:sz w:val="22"/>
                <w:szCs w:val="22"/>
              </w:rPr>
            </w:pPr>
            <w:r w:rsidRPr="008D1C53">
              <w:rPr>
                <w:rFonts w:asciiTheme="majorHAnsi" w:hAnsiTheme="majorHAnsi"/>
                <w:i/>
                <w:sz w:val="22"/>
                <w:szCs w:val="22"/>
              </w:rPr>
              <w:t xml:space="preserve"> </w:t>
            </w:r>
            <w:r w:rsidR="002431E3" w:rsidRPr="008D1C53">
              <w:rPr>
                <w:rFonts w:asciiTheme="majorHAnsi" w:hAnsiTheme="majorHAnsi"/>
                <w:i/>
                <w:sz w:val="22"/>
                <w:szCs w:val="22"/>
              </w:rPr>
              <w:t xml:space="preserve"> </w:t>
            </w:r>
            <w:r w:rsidR="009836A2" w:rsidRPr="008D1C53">
              <w:rPr>
                <w:rFonts w:asciiTheme="majorHAnsi" w:hAnsiTheme="majorHAnsi"/>
                <w:i/>
                <w:sz w:val="22"/>
                <w:szCs w:val="22"/>
              </w:rPr>
              <w:t xml:space="preserve">  </w:t>
            </w:r>
          </w:p>
        </w:tc>
      </w:tr>
      <w:tr w:rsidR="005A345B" w:rsidRPr="008D1C53" w:rsidTr="001F29D0">
        <w:trPr>
          <w:trHeight w:val="841"/>
        </w:trPr>
        <w:tc>
          <w:tcPr>
            <w:tcW w:w="295" w:type="pct"/>
          </w:tcPr>
          <w:p w:rsidR="005A345B" w:rsidRPr="008D1C53" w:rsidRDefault="005A345B" w:rsidP="005A345B">
            <w:pPr>
              <w:shd w:val="clear" w:color="auto" w:fill="FFFFFF"/>
              <w:ind w:firstLine="33"/>
              <w:jc w:val="both"/>
              <w:rPr>
                <w:rFonts w:asciiTheme="majorHAnsi" w:eastAsia="Calibri" w:hAnsiTheme="majorHAnsi"/>
                <w:color w:val="000000"/>
                <w:sz w:val="22"/>
                <w:szCs w:val="22"/>
              </w:rPr>
            </w:pPr>
            <w:r w:rsidRPr="008D1C53">
              <w:rPr>
                <w:rFonts w:asciiTheme="majorHAnsi" w:eastAsia="Calibri" w:hAnsiTheme="majorHAnsi"/>
                <w:color w:val="000000"/>
                <w:sz w:val="22"/>
                <w:szCs w:val="22"/>
              </w:rPr>
              <w:lastRenderedPageBreak/>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D1C53" w:rsidRDefault="005A345B" w:rsidP="005A345B">
            <w:pPr>
              <w:shd w:val="clear" w:color="auto" w:fill="FFFFFF"/>
              <w:ind w:firstLine="33"/>
              <w:jc w:val="both"/>
              <w:rPr>
                <w:rFonts w:asciiTheme="majorHAnsi" w:hAnsiTheme="majorHAnsi"/>
                <w:color w:val="8DB3E2" w:themeColor="text2" w:themeTint="66"/>
                <w:sz w:val="22"/>
                <w:szCs w:val="22"/>
              </w:rPr>
            </w:pPr>
            <w:r w:rsidRPr="008D1C53">
              <w:rPr>
                <w:rFonts w:asciiTheme="majorHAnsi" w:hAnsiTheme="majorHAnsi"/>
                <w:sz w:val="22"/>
                <w:szCs w:val="22"/>
              </w:rPr>
              <w:t xml:space="preserve">Tiekėjas </w:t>
            </w:r>
            <w:r w:rsidR="009836A2" w:rsidRPr="008D1C53">
              <w:rPr>
                <w:rFonts w:asciiTheme="majorHAnsi" w:hAnsiTheme="majorHAnsi"/>
                <w:sz w:val="22"/>
                <w:szCs w:val="22"/>
              </w:rPr>
              <w:t>(</w:t>
            </w:r>
            <w:r w:rsidR="009836A2" w:rsidRPr="008D1C53">
              <w:rPr>
                <w:rFonts w:asciiTheme="majorHAnsi" w:hAnsiTheme="majorHAnsi"/>
                <w:sz w:val="22"/>
                <w:szCs w:val="22"/>
                <w:lang w:eastAsia="lt-LT"/>
              </w:rPr>
              <w:t>ar bent vienas iš tiekėjų grupės narių</w:t>
            </w:r>
            <w:r w:rsidR="009836A2" w:rsidRPr="008D1C53">
              <w:rPr>
                <w:rFonts w:asciiTheme="majorHAnsi" w:hAnsiTheme="majorHAnsi"/>
                <w:sz w:val="22"/>
                <w:szCs w:val="22"/>
              </w:rPr>
              <w:t xml:space="preserve">) </w:t>
            </w:r>
            <w:r w:rsidRPr="008D1C53">
              <w:rPr>
                <w:rFonts w:asciiTheme="majorHAnsi" w:hAnsiTheme="majorHAnsi"/>
                <w:sz w:val="22"/>
                <w:szCs w:val="22"/>
              </w:rPr>
              <w:t xml:space="preserve">yra juridinis asmuo, subjektas ar organizacija, kuriuose </w:t>
            </w:r>
            <w:r w:rsidR="00F26547" w:rsidRPr="008D1C53">
              <w:rPr>
                <w:rFonts w:asciiTheme="majorHAnsi" w:hAnsiTheme="majorHAnsi"/>
                <w:sz w:val="22"/>
                <w:szCs w:val="22"/>
              </w:rPr>
              <w:t xml:space="preserve">daugiau kaip 50 % </w:t>
            </w:r>
            <w:r w:rsidRPr="008D1C53">
              <w:rPr>
                <w:rFonts w:asciiTheme="majorHAnsi" w:hAnsiTheme="majorHAnsi"/>
                <w:sz w:val="22"/>
                <w:szCs w:val="22"/>
              </w:rPr>
              <w:t>nuosavybės teisių tiesiogiai ar netiesiogiai priklauso šios dalies 1 punkte nurodytam subjektui.</w:t>
            </w:r>
          </w:p>
        </w:tc>
        <w:tc>
          <w:tcPr>
            <w:tcW w:w="1906" w:type="pct"/>
            <w:vMerge/>
          </w:tcPr>
          <w:p w:rsidR="005A345B" w:rsidRPr="008D1C53" w:rsidRDefault="005A345B" w:rsidP="005A345B">
            <w:pPr>
              <w:jc w:val="both"/>
              <w:rPr>
                <w:rFonts w:asciiTheme="majorHAnsi" w:hAnsiTheme="majorHAnsi"/>
                <w:sz w:val="22"/>
                <w:szCs w:val="22"/>
              </w:rPr>
            </w:pPr>
          </w:p>
        </w:tc>
      </w:tr>
      <w:tr w:rsidR="009836A2" w:rsidRPr="008D1C53" w:rsidTr="001F29D0">
        <w:trPr>
          <w:trHeight w:val="841"/>
        </w:trPr>
        <w:tc>
          <w:tcPr>
            <w:tcW w:w="295" w:type="pct"/>
          </w:tcPr>
          <w:p w:rsidR="009836A2" w:rsidRPr="008D1C53" w:rsidRDefault="009836A2" w:rsidP="005A345B">
            <w:pPr>
              <w:shd w:val="clear" w:color="auto" w:fill="FFFFFF"/>
              <w:ind w:firstLine="33"/>
              <w:jc w:val="both"/>
              <w:rPr>
                <w:rFonts w:asciiTheme="majorHAnsi" w:eastAsia="Calibri" w:hAnsiTheme="majorHAnsi"/>
                <w:color w:val="000000"/>
                <w:sz w:val="22"/>
                <w:szCs w:val="22"/>
              </w:rPr>
            </w:pPr>
            <w:r w:rsidRPr="008D1C53">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9836A2" w:rsidRPr="008D1C53" w:rsidRDefault="009836A2" w:rsidP="005A345B">
            <w:pPr>
              <w:jc w:val="both"/>
              <w:rPr>
                <w:rFonts w:asciiTheme="majorHAnsi" w:hAnsiTheme="majorHAnsi"/>
                <w:sz w:val="22"/>
                <w:szCs w:val="22"/>
              </w:rPr>
            </w:pPr>
            <w:r w:rsidRPr="008D1C53">
              <w:rPr>
                <w:rFonts w:asciiTheme="majorHAnsi" w:hAnsiTheme="majorHAnsi"/>
                <w:sz w:val="22"/>
                <w:szCs w:val="22"/>
              </w:rPr>
              <w:t xml:space="preserve">Tiekėjas yra fizinis ar juridinis asmuo, subjektas ar įstaiga, veikianti šios lentelės 1 arba 2 punkte nurodyto subjekto vardu ar jo nurodymu. </w:t>
            </w:r>
          </w:p>
        </w:tc>
        <w:tc>
          <w:tcPr>
            <w:tcW w:w="1906" w:type="pct"/>
            <w:vMerge/>
          </w:tcPr>
          <w:p w:rsidR="009836A2" w:rsidRPr="008D1C53" w:rsidRDefault="009836A2" w:rsidP="005A345B">
            <w:pPr>
              <w:jc w:val="both"/>
              <w:rPr>
                <w:rFonts w:asciiTheme="majorHAnsi" w:hAnsiTheme="majorHAnsi"/>
                <w:sz w:val="22"/>
                <w:szCs w:val="22"/>
              </w:rPr>
            </w:pPr>
          </w:p>
        </w:tc>
      </w:tr>
      <w:tr w:rsidR="005A345B" w:rsidRPr="008D1C53" w:rsidTr="001F29D0">
        <w:trPr>
          <w:trHeight w:val="841"/>
        </w:trPr>
        <w:tc>
          <w:tcPr>
            <w:tcW w:w="295" w:type="pct"/>
          </w:tcPr>
          <w:p w:rsidR="005A345B" w:rsidRPr="008D1C53" w:rsidRDefault="009836A2" w:rsidP="005A345B">
            <w:pPr>
              <w:shd w:val="clear" w:color="auto" w:fill="FFFFFF"/>
              <w:ind w:firstLine="33"/>
              <w:jc w:val="both"/>
              <w:rPr>
                <w:rFonts w:asciiTheme="majorHAnsi" w:eastAsia="Calibri" w:hAnsiTheme="majorHAnsi"/>
                <w:color w:val="000000"/>
                <w:sz w:val="22"/>
                <w:szCs w:val="22"/>
              </w:rPr>
            </w:pPr>
            <w:r w:rsidRPr="008D1C53">
              <w:rPr>
                <w:rFonts w:asciiTheme="majorHAnsi" w:eastAsia="Calibri" w:hAnsiTheme="majorHAnsi"/>
                <w:color w:val="000000"/>
                <w:sz w:val="22"/>
                <w:szCs w:val="22"/>
              </w:rPr>
              <w:t>4</w:t>
            </w:r>
            <w:r w:rsidR="005A345B" w:rsidRPr="008D1C53">
              <w:rPr>
                <w:rFonts w:asciiTheme="majorHAnsi" w:eastAsia="Calibri" w:hAnsiTheme="majorHAnsi"/>
                <w:color w:val="000000"/>
                <w:sz w:val="22"/>
                <w:szCs w:val="22"/>
              </w:rPr>
              <w:t>.</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D1C53" w:rsidRDefault="005A345B" w:rsidP="005A345B">
            <w:pPr>
              <w:jc w:val="both"/>
              <w:rPr>
                <w:rFonts w:asciiTheme="majorHAnsi" w:hAnsiTheme="majorHAnsi"/>
                <w:color w:val="8DB3E2" w:themeColor="text2" w:themeTint="66"/>
                <w:sz w:val="22"/>
                <w:szCs w:val="22"/>
              </w:rPr>
            </w:pPr>
            <w:r w:rsidRPr="008D1C53">
              <w:rPr>
                <w:rFonts w:asciiTheme="majorHAnsi" w:hAnsiTheme="majorHAnsi"/>
                <w:sz w:val="22"/>
                <w:szCs w:val="22"/>
              </w:rPr>
              <w:t xml:space="preserve">Tiekėjas </w:t>
            </w:r>
            <w:r w:rsidR="009836A2" w:rsidRPr="008D1C53">
              <w:rPr>
                <w:rFonts w:asciiTheme="majorHAnsi" w:hAnsiTheme="majorHAnsi"/>
                <w:sz w:val="22"/>
                <w:szCs w:val="22"/>
              </w:rPr>
              <w:t>(</w:t>
            </w:r>
            <w:r w:rsidR="009836A2" w:rsidRPr="008D1C53">
              <w:rPr>
                <w:rFonts w:asciiTheme="majorHAnsi" w:hAnsiTheme="majorHAnsi"/>
                <w:sz w:val="22"/>
                <w:szCs w:val="22"/>
                <w:lang w:eastAsia="lt-LT"/>
              </w:rPr>
              <w:t>ar bent vienas iš tiekėjų grupės narių</w:t>
            </w:r>
            <w:r w:rsidR="009836A2" w:rsidRPr="008D1C53">
              <w:rPr>
                <w:rFonts w:asciiTheme="majorHAnsi" w:hAnsiTheme="majorHAnsi"/>
                <w:sz w:val="22"/>
                <w:szCs w:val="22"/>
              </w:rPr>
              <w:t xml:space="preserve">) </w:t>
            </w:r>
            <w:r w:rsidRPr="008D1C53">
              <w:rPr>
                <w:rFonts w:asciiTheme="majorHAnsi" w:hAnsiTheme="majorHAnsi"/>
                <w:sz w:val="22"/>
                <w:szCs w:val="22"/>
              </w:rPr>
              <w:t>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8D1C53" w:rsidRDefault="005A345B" w:rsidP="005A345B">
            <w:pPr>
              <w:jc w:val="both"/>
              <w:rPr>
                <w:rFonts w:asciiTheme="majorHAnsi" w:hAnsiTheme="majorHAnsi"/>
                <w:sz w:val="22"/>
                <w:szCs w:val="22"/>
              </w:rPr>
            </w:pPr>
          </w:p>
        </w:tc>
      </w:tr>
    </w:tbl>
    <w:p w:rsidR="003B11E2" w:rsidRPr="008D1C53" w:rsidRDefault="003B11E2" w:rsidP="003B11E2">
      <w:pPr>
        <w:pStyle w:val="Body2"/>
        <w:rPr>
          <w:rFonts w:asciiTheme="majorHAnsi" w:hAnsiTheme="majorHAnsi"/>
          <w:b/>
          <w:i/>
          <w:lang w:val="lt-LT"/>
        </w:rPr>
      </w:pPr>
      <w:r w:rsidRPr="008D1C53">
        <w:rPr>
          <w:rFonts w:asciiTheme="majorHAnsi" w:hAnsiTheme="majorHAnsi" w:cs="Times New Roman"/>
          <w:b/>
          <w:i/>
        </w:rPr>
        <w:t xml:space="preserve">*Pastaba. Esant poreikiui </w:t>
      </w:r>
      <w:r w:rsidRPr="008D1C53">
        <w:rPr>
          <w:rFonts w:asciiTheme="majorHAnsi" w:hAnsiTheme="majorHAnsi"/>
          <w:b/>
          <w:i/>
          <w:lang w:val="lt-LT"/>
        </w:rPr>
        <w:t>Perkančioji organizacija gali paprašyti galimo laimėtojo pateikti dokumentus (VPĮ 51 str. 12 d.), pagrindžiančius užpildytoje deklaracijoje (</w:t>
      </w:r>
      <w:r w:rsidR="006E3FB8" w:rsidRPr="008D1C53">
        <w:rPr>
          <w:rFonts w:asciiTheme="majorHAnsi" w:hAnsiTheme="majorHAnsi"/>
          <w:b/>
          <w:i/>
          <w:lang w:val="lt-LT"/>
        </w:rPr>
        <w:t>6</w:t>
      </w:r>
      <w:r w:rsidRPr="008D1C53">
        <w:rPr>
          <w:rFonts w:asciiTheme="majorHAnsi" w:hAnsiTheme="majorHAnsi"/>
          <w:b/>
          <w:i/>
          <w:lang w:val="lt-LT"/>
        </w:rPr>
        <w:t xml:space="preserve"> priedas) pateiktos informacijos teisingumą.</w:t>
      </w:r>
    </w:p>
    <w:p w:rsidR="00823437" w:rsidRPr="008D1C53" w:rsidRDefault="00823437" w:rsidP="00823437">
      <w:pPr>
        <w:pStyle w:val="Body2"/>
        <w:spacing w:after="0"/>
        <w:rPr>
          <w:rFonts w:asciiTheme="majorHAnsi" w:hAnsiTheme="majorHAnsi" w:cs="Times New Roman"/>
          <w:b/>
          <w:iCs/>
          <w:color w:val="auto"/>
          <w:sz w:val="20"/>
          <w:szCs w:val="20"/>
        </w:rPr>
      </w:pPr>
    </w:p>
    <w:p w:rsidR="00823437" w:rsidRPr="008D1C53" w:rsidRDefault="00823437" w:rsidP="00823437">
      <w:pPr>
        <w:pStyle w:val="Body2"/>
        <w:spacing w:after="0"/>
        <w:rPr>
          <w:rFonts w:asciiTheme="majorHAnsi" w:hAnsiTheme="majorHAnsi" w:cs="Times New Roman"/>
          <w:b/>
          <w:szCs w:val="20"/>
        </w:rPr>
      </w:pPr>
      <w:r w:rsidRPr="008D1C53">
        <w:rPr>
          <w:rFonts w:asciiTheme="majorHAnsi" w:hAnsiTheme="majorHAnsi" w:cs="Times New Roman"/>
          <w:b/>
          <w:iCs/>
          <w:color w:val="auto"/>
          <w:szCs w:val="20"/>
        </w:rPr>
        <w:t>3.15</w:t>
      </w:r>
      <w:r w:rsidRPr="008D1C53">
        <w:rPr>
          <w:rFonts w:asciiTheme="majorHAnsi" w:hAnsiTheme="majorHAnsi" w:cs="Times New Roman"/>
          <w:b/>
          <w:i/>
          <w:iCs/>
          <w:color w:val="auto"/>
          <w:szCs w:val="20"/>
        </w:rPr>
        <w:t>.</w:t>
      </w:r>
      <w:r w:rsidRPr="008D1C53">
        <w:rPr>
          <w:rFonts w:asciiTheme="majorHAnsi" w:hAnsiTheme="majorHAnsi" w:cs="Times New Roman"/>
          <w:szCs w:val="20"/>
        </w:rPr>
        <w:t xml:space="preserve"> </w:t>
      </w:r>
      <w:r w:rsidRPr="008D1C53">
        <w:rPr>
          <w:rFonts w:asciiTheme="majorHAnsi" w:hAnsiTheme="majorHAnsi" w:cs="Times New Roman"/>
          <w:b/>
          <w:szCs w:val="20"/>
        </w:rPr>
        <w:t>Reikalavimai, susiję su nacionaliniu saugumu:</w:t>
      </w:r>
    </w:p>
    <w:p w:rsidR="00823437" w:rsidRPr="008D1C53" w:rsidRDefault="00823437" w:rsidP="00823437">
      <w:pPr>
        <w:ind w:firstLine="567"/>
        <w:jc w:val="both"/>
        <w:rPr>
          <w:rFonts w:asciiTheme="majorHAnsi" w:hAnsiTheme="majorHAnsi"/>
          <w:sz w:val="22"/>
          <w:szCs w:val="20"/>
        </w:rPr>
      </w:pPr>
      <w:r w:rsidRPr="008D1C53">
        <w:rPr>
          <w:rFonts w:asciiTheme="majorHAnsi" w:hAnsiTheme="majorHAnsi"/>
          <w:color w:val="000000"/>
          <w:sz w:val="22"/>
          <w:szCs w:val="20"/>
        </w:rPr>
        <w:t xml:space="preserve">3.15.1. Pirkimui taikomos Reglamento nuostatos. Kartu su pasiūlymu tiekėjas turi pateikti užpildytą deklaraciją dėl (ne)atitikties Reglamento nuostatoms, kuri pateikta Pirkimo </w:t>
      </w:r>
      <w:r w:rsidRPr="008D1C53">
        <w:rPr>
          <w:rFonts w:asciiTheme="majorHAnsi" w:hAnsiTheme="majorHAnsi"/>
          <w:sz w:val="22"/>
          <w:szCs w:val="20"/>
        </w:rPr>
        <w:t>sąlygų 7 priede</w:t>
      </w:r>
      <w:r w:rsidRPr="008D1C53">
        <w:rPr>
          <w:rFonts w:asciiTheme="majorHAnsi" w:hAnsiTheme="majorHAnsi"/>
          <w:color w:val="000000"/>
          <w:sz w:val="22"/>
          <w:szCs w:val="20"/>
        </w:rPr>
        <w:t xml:space="preserve">. Kilus abejonių dėl tiekėjo (ne)atitikties Reglamento nuostatoms, perkančioji organizacija iš galimo laimėtojo prašys pateikti dokumentus, įrodančius deklaracijoje </w:t>
      </w:r>
      <w:r w:rsidRPr="008D1C53">
        <w:rPr>
          <w:rFonts w:asciiTheme="majorHAnsi" w:hAnsiTheme="majorHAnsi"/>
          <w:sz w:val="22"/>
          <w:szCs w:val="20"/>
        </w:rPr>
        <w:t>pateiktų duomenų teisingumą.</w:t>
      </w:r>
    </w:p>
    <w:p w:rsidR="00823437" w:rsidRPr="008D1C53" w:rsidRDefault="00823437" w:rsidP="00823437">
      <w:pPr>
        <w:tabs>
          <w:tab w:val="left" w:pos="993"/>
        </w:tabs>
        <w:ind w:firstLine="567"/>
        <w:jc w:val="both"/>
        <w:rPr>
          <w:rFonts w:asciiTheme="majorHAnsi" w:hAnsiTheme="majorHAnsi"/>
          <w:sz w:val="22"/>
          <w:szCs w:val="20"/>
        </w:rPr>
      </w:pPr>
      <w:r w:rsidRPr="008D1C53">
        <w:rPr>
          <w:rFonts w:asciiTheme="majorHAnsi" w:hAnsiTheme="majorHAnsi"/>
          <w:sz w:val="22"/>
          <w:szCs w:val="20"/>
        </w:rPr>
        <w:t xml:space="preserve">3.15.2.Perkančioji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823437" w:rsidRPr="008D1C53" w:rsidRDefault="00823437" w:rsidP="00823437">
      <w:pPr>
        <w:ind w:firstLine="567"/>
        <w:jc w:val="both"/>
        <w:rPr>
          <w:rFonts w:asciiTheme="majorHAnsi" w:hAnsiTheme="majorHAnsi"/>
          <w:sz w:val="22"/>
          <w:szCs w:val="20"/>
        </w:rPr>
      </w:pPr>
      <w:r w:rsidRPr="008D1C53">
        <w:rPr>
          <w:rFonts w:asciiTheme="majorHAnsi" w:hAnsiTheme="majorHAnsi"/>
          <w:sz w:val="22"/>
          <w:szCs w:val="20"/>
        </w:rPr>
        <w:t>3.15.3.</w:t>
      </w:r>
      <w:r w:rsidRPr="008D1C53">
        <w:rPr>
          <w:rFonts w:asciiTheme="majorHAnsi" w:hAnsiTheme="majorHAnsi"/>
          <w:iCs/>
          <w:sz w:val="22"/>
          <w:szCs w:val="20"/>
        </w:rPr>
        <w:t>Perkančioji organizacija atmes tiekėjo pasiūlymą, jei bus tenkinama bent viena VPĮ 45 straipsnio 2</w:t>
      </w:r>
      <w:r w:rsidRPr="008D1C53">
        <w:rPr>
          <w:rFonts w:asciiTheme="majorHAnsi" w:hAnsiTheme="majorHAnsi"/>
          <w:iCs/>
          <w:sz w:val="22"/>
          <w:szCs w:val="20"/>
          <w:vertAlign w:val="superscript"/>
        </w:rPr>
        <w:t>1</w:t>
      </w:r>
      <w:r w:rsidRPr="008D1C53">
        <w:rPr>
          <w:rFonts w:asciiTheme="majorHAnsi" w:hAnsiTheme="majorHAnsi"/>
          <w:iCs/>
          <w:sz w:val="22"/>
          <w:szCs w:val="20"/>
        </w:rPr>
        <w:t xml:space="preserve"> dalies 1-3</w:t>
      </w:r>
      <w:r w:rsidR="000179E1" w:rsidRPr="008D1C53">
        <w:rPr>
          <w:rFonts w:asciiTheme="majorHAnsi" w:hAnsiTheme="majorHAnsi"/>
          <w:iCs/>
          <w:sz w:val="22"/>
          <w:szCs w:val="20"/>
        </w:rPr>
        <w:t xml:space="preserve"> </w:t>
      </w:r>
      <w:r w:rsidRPr="008D1C53">
        <w:rPr>
          <w:rFonts w:asciiTheme="majorHAnsi" w:hAnsiTheme="majorHAnsi"/>
          <w:iCs/>
          <w:sz w:val="22"/>
          <w:szCs w:val="20"/>
        </w:rPr>
        <w:t xml:space="preserve">punktuose nurodytų </w:t>
      </w:r>
      <w:r w:rsidRPr="008D1C53">
        <w:rPr>
          <w:rFonts w:asciiTheme="majorHAnsi" w:hAnsiTheme="majorHAnsi"/>
          <w:iCs/>
          <w:sz w:val="22"/>
          <w:szCs w:val="22"/>
        </w:rPr>
        <w:t xml:space="preserve">sąlygų.  </w:t>
      </w:r>
    </w:p>
    <w:p w:rsidR="00823437" w:rsidRPr="008D1C53" w:rsidRDefault="00823437" w:rsidP="00823437">
      <w:pPr>
        <w:pStyle w:val="ListParagraph"/>
        <w:ind w:left="0" w:firstLine="567"/>
        <w:rPr>
          <w:rFonts w:asciiTheme="majorHAnsi" w:hAnsiTheme="majorHAnsi"/>
          <w:sz w:val="22"/>
          <w:szCs w:val="20"/>
        </w:rPr>
      </w:pPr>
      <w:r w:rsidRPr="008D1C53">
        <w:rPr>
          <w:rFonts w:asciiTheme="majorHAnsi" w:hAnsiTheme="majorHAnsi"/>
          <w:sz w:val="22"/>
          <w:szCs w:val="20"/>
        </w:rPr>
        <w:t xml:space="preserve">3.15.4.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8038E3" w:rsidRPr="008D1C53">
        <w:rPr>
          <w:rFonts w:asciiTheme="majorHAnsi" w:hAnsiTheme="majorHAnsi"/>
          <w:sz w:val="22"/>
          <w:szCs w:val="20"/>
        </w:rPr>
        <w:t>Tokių dokumentų ir (ar) paaiškinimų perkančioji organizacija gali prašyti bet kuriuo pirkimo procedūros metu siekdama užtikrinti tinkamą pirkimo procedūros atlikimą.</w:t>
      </w:r>
    </w:p>
    <w:p w:rsidR="00823437" w:rsidRPr="008D1C53" w:rsidRDefault="00823437" w:rsidP="00823437">
      <w:pPr>
        <w:pStyle w:val="ListParagraph"/>
        <w:ind w:left="0" w:firstLine="567"/>
        <w:rPr>
          <w:rFonts w:asciiTheme="majorHAnsi" w:hAnsiTheme="majorHAnsi"/>
          <w:sz w:val="22"/>
          <w:szCs w:val="20"/>
        </w:rPr>
      </w:pPr>
      <w:r w:rsidRPr="008D1C53">
        <w:rPr>
          <w:rFonts w:asciiTheme="majorHAnsi" w:hAnsiTheme="majorHAnsi"/>
          <w:sz w:val="22"/>
          <w:szCs w:val="20"/>
        </w:rPr>
        <w:t>3.15.5.Perkančioji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8038E3" w:rsidRPr="008D1C53">
        <w:rPr>
          <w:rFonts w:asciiTheme="majorHAnsi" w:hAnsiTheme="majorHAnsi"/>
          <w:sz w:val="22"/>
          <w:szCs w:val="20"/>
        </w:rPr>
        <w:t xml:space="preserve"> </w:t>
      </w:r>
    </w:p>
    <w:p w:rsidR="00823437" w:rsidRPr="008D1C53" w:rsidRDefault="00823437" w:rsidP="00823437">
      <w:pPr>
        <w:pStyle w:val="ListParagraph"/>
        <w:ind w:left="0" w:firstLine="567"/>
        <w:rPr>
          <w:rFonts w:asciiTheme="majorHAnsi" w:hAnsiTheme="majorHAnsi"/>
          <w:sz w:val="22"/>
          <w:szCs w:val="20"/>
        </w:rPr>
      </w:pPr>
      <w:r w:rsidRPr="008D1C53">
        <w:rPr>
          <w:rFonts w:asciiTheme="majorHAnsi" w:hAnsiTheme="majorHAnsi"/>
          <w:sz w:val="22"/>
          <w:szCs w:val="20"/>
        </w:rPr>
        <w:t xml:space="preserve">3.15.6. Perkančioji organizacija laiko, kad </w:t>
      </w:r>
      <w:r w:rsidRPr="008D1C53">
        <w:rPr>
          <w:rFonts w:asciiTheme="majorHAnsi" w:hAnsiTheme="majorHAnsi"/>
          <w:color w:val="000000"/>
          <w:sz w:val="22"/>
          <w:szCs w:val="20"/>
          <w:shd w:val="clear" w:color="auto" w:fill="FFFFFF"/>
        </w:rPr>
        <w:t>pirkimo objektas kelia grėsmę nacionaliniam saugumui</w:t>
      </w:r>
      <w:r w:rsidRPr="008D1C53">
        <w:rPr>
          <w:rFonts w:asciiTheme="majorHAnsi" w:hAnsiTheme="majorHAnsi"/>
          <w:sz w:val="22"/>
          <w:szCs w:val="20"/>
        </w:rPr>
        <w:t xml:space="preserve">, jei jis atitinka VPĮ 37 straipsnio 9 dalies 1 ir  2 punkte numatytas sąlygas. </w:t>
      </w:r>
      <w:r w:rsidRPr="008D1C53">
        <w:rPr>
          <w:rFonts w:asciiTheme="majorHAnsi" w:hAnsiTheme="majorHAnsi"/>
          <w:color w:val="000000"/>
          <w:sz w:val="22"/>
          <w:szCs w:val="20"/>
        </w:rPr>
        <w:t>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823437" w:rsidRPr="008D1C53" w:rsidRDefault="00823437" w:rsidP="00823437">
      <w:pPr>
        <w:ind w:firstLine="567"/>
        <w:jc w:val="both"/>
        <w:rPr>
          <w:rFonts w:asciiTheme="majorHAnsi" w:hAnsiTheme="majorHAnsi"/>
          <w:i/>
          <w:iCs/>
          <w:sz w:val="22"/>
          <w:szCs w:val="20"/>
        </w:rPr>
      </w:pPr>
      <w:r w:rsidRPr="008D1C53">
        <w:rPr>
          <w:rFonts w:asciiTheme="majorHAnsi" w:hAnsiTheme="majorHAnsi"/>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2E1B" w:rsidRPr="008D1C53"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604E72" w:rsidRPr="008D1C53" w:rsidRDefault="00604E72" w:rsidP="00604E72">
      <w:pPr>
        <w:rPr>
          <w:rFonts w:asciiTheme="majorHAnsi" w:hAnsiTheme="majorHAnsi"/>
        </w:rPr>
      </w:pPr>
    </w:p>
    <w:p w:rsidR="00B90A76" w:rsidRPr="008D1C53" w:rsidRDefault="00A007FC" w:rsidP="00A007FC">
      <w:pPr>
        <w:pStyle w:val="Heading1"/>
        <w:numPr>
          <w:ilvl w:val="0"/>
          <w:numId w:val="0"/>
        </w:numPr>
        <w:spacing w:before="0" w:after="0"/>
        <w:ind w:left="851"/>
        <w:rPr>
          <w:rFonts w:asciiTheme="majorHAnsi" w:hAnsiTheme="majorHAnsi"/>
          <w:b/>
          <w:sz w:val="22"/>
          <w:szCs w:val="22"/>
          <w:lang w:eastAsia="lt-LT"/>
        </w:rPr>
      </w:pPr>
      <w:r w:rsidRPr="008D1C53">
        <w:rPr>
          <w:rFonts w:asciiTheme="majorHAnsi" w:hAnsiTheme="majorHAnsi"/>
          <w:b/>
          <w:sz w:val="22"/>
          <w:szCs w:val="22"/>
          <w:lang w:eastAsia="lt-LT"/>
        </w:rPr>
        <w:lastRenderedPageBreak/>
        <w:t xml:space="preserve">4. </w:t>
      </w:r>
      <w:r w:rsidR="00B90A76" w:rsidRPr="008D1C53">
        <w:rPr>
          <w:rFonts w:asciiTheme="majorHAnsi" w:hAnsiTheme="majorHAnsi"/>
          <w:b/>
          <w:sz w:val="22"/>
          <w:szCs w:val="22"/>
          <w:lang w:eastAsia="lt-LT"/>
        </w:rPr>
        <w:t>ŪKIO SUBJEKTŲ GRUPĖS DALYVAVIMAS PIRKIMO PROCEDŪROSE</w:t>
      </w:r>
      <w:bookmarkEnd w:id="16"/>
      <w:bookmarkEnd w:id="17"/>
    </w:p>
    <w:p w:rsidR="004327DD" w:rsidRPr="008D1C53" w:rsidRDefault="004327DD" w:rsidP="004327DD">
      <w:pPr>
        <w:rPr>
          <w:rFonts w:asciiTheme="majorHAnsi" w:hAnsiTheme="majorHAnsi"/>
          <w:sz w:val="22"/>
          <w:szCs w:val="22"/>
          <w:lang w:eastAsia="lt-LT"/>
        </w:rPr>
      </w:pPr>
    </w:p>
    <w:bookmarkEnd w:id="18"/>
    <w:p w:rsidR="00D57CE0" w:rsidRPr="008D1C53" w:rsidRDefault="002A13B2" w:rsidP="00D57CE0">
      <w:pPr>
        <w:pStyle w:val="Body2"/>
        <w:ind w:firstLine="709"/>
        <w:rPr>
          <w:rFonts w:asciiTheme="majorHAnsi" w:hAnsiTheme="majorHAnsi" w:cs="Times New Roman"/>
          <w:lang w:val="lt-LT"/>
        </w:rPr>
      </w:pPr>
      <w:r w:rsidRPr="008D1C53">
        <w:rPr>
          <w:rFonts w:asciiTheme="majorHAnsi" w:hAnsiTheme="majorHAnsi" w:cs="Times New Roman"/>
          <w:lang w:val="lt-LT"/>
        </w:rPr>
        <w:t>4</w:t>
      </w:r>
      <w:r w:rsidR="007A47C6" w:rsidRPr="008D1C53">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D1C53" w:rsidRDefault="002A13B2" w:rsidP="00D57CE0">
      <w:pPr>
        <w:pStyle w:val="Body2"/>
        <w:ind w:firstLine="709"/>
        <w:rPr>
          <w:rFonts w:asciiTheme="majorHAnsi" w:hAnsiTheme="majorHAnsi" w:cs="Times New Roman"/>
          <w:lang w:val="lt-LT"/>
        </w:rPr>
      </w:pPr>
      <w:r w:rsidRPr="008D1C53">
        <w:rPr>
          <w:rFonts w:asciiTheme="majorHAnsi" w:hAnsiTheme="majorHAnsi" w:cs="Times New Roman"/>
          <w:lang w:val="lt-LT"/>
        </w:rPr>
        <w:t>4</w:t>
      </w:r>
      <w:r w:rsidR="007A47C6" w:rsidRPr="008D1C53">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D1C53" w:rsidRDefault="004327DD" w:rsidP="00D57CE0">
      <w:pPr>
        <w:pStyle w:val="Body2"/>
        <w:ind w:firstLine="709"/>
        <w:rPr>
          <w:rFonts w:asciiTheme="majorHAnsi" w:hAnsiTheme="majorHAnsi" w:cs="Times New Roman"/>
          <w:lang w:val="lt-LT"/>
        </w:rPr>
      </w:pPr>
      <w:r w:rsidRPr="008D1C53">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D1C53" w:rsidRDefault="004327DD" w:rsidP="00D57CE0">
      <w:pPr>
        <w:pStyle w:val="Body2"/>
        <w:ind w:firstLine="709"/>
        <w:rPr>
          <w:rFonts w:asciiTheme="majorHAnsi" w:hAnsiTheme="majorHAnsi" w:cs="Times New Roman"/>
          <w:lang w:val="lt-LT"/>
        </w:rPr>
      </w:pPr>
      <w:r w:rsidRPr="008D1C53">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D1C53" w:rsidRDefault="004327DD" w:rsidP="004305D9">
      <w:pPr>
        <w:pStyle w:val="Body2"/>
        <w:ind w:firstLine="709"/>
        <w:rPr>
          <w:rFonts w:asciiTheme="majorHAnsi" w:hAnsiTheme="majorHAnsi" w:cs="Times New Roman"/>
          <w:lang w:val="lt-LT"/>
        </w:rPr>
      </w:pPr>
      <w:r w:rsidRPr="008D1C53">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D1C53" w:rsidRDefault="004327DD" w:rsidP="004305D9">
      <w:pPr>
        <w:pStyle w:val="Body2"/>
        <w:ind w:firstLine="709"/>
        <w:rPr>
          <w:rFonts w:asciiTheme="majorHAnsi" w:hAnsiTheme="majorHAnsi" w:cs="Times New Roman"/>
          <w:lang w:val="lt-LT"/>
        </w:rPr>
      </w:pPr>
      <w:r w:rsidRPr="008D1C53">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D1C53" w:rsidRDefault="004327DD" w:rsidP="004305D9">
      <w:pPr>
        <w:pStyle w:val="Body2"/>
        <w:ind w:firstLine="709"/>
        <w:rPr>
          <w:rFonts w:asciiTheme="majorHAnsi" w:hAnsiTheme="majorHAnsi" w:cs="Times New Roman"/>
          <w:lang w:val="lt-LT"/>
        </w:rPr>
      </w:pPr>
      <w:r w:rsidRPr="008D1C53">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D1C53" w:rsidRDefault="004327DD" w:rsidP="004305D9">
      <w:pPr>
        <w:pStyle w:val="Body2"/>
        <w:ind w:firstLine="709"/>
        <w:rPr>
          <w:rFonts w:asciiTheme="majorHAnsi" w:hAnsiTheme="majorHAnsi" w:cs="Times New Roman"/>
          <w:lang w:val="lt-LT"/>
        </w:rPr>
      </w:pPr>
      <w:r w:rsidRPr="008D1C53">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8D1C53" w:rsidRDefault="00FA563B" w:rsidP="004305D9">
      <w:pPr>
        <w:pStyle w:val="Body2"/>
        <w:ind w:firstLine="709"/>
        <w:rPr>
          <w:rFonts w:asciiTheme="majorHAnsi" w:hAnsiTheme="majorHAnsi" w:cs="Times New Roman"/>
          <w:lang w:val="lt-LT"/>
        </w:rPr>
      </w:pPr>
      <w:r w:rsidRPr="008D1C53">
        <w:rPr>
          <w:rFonts w:asciiTheme="majorHAnsi" w:hAnsiTheme="majorHAnsi" w:cs="Times New Roman"/>
          <w:lang w:val="lt-LT"/>
        </w:rPr>
        <w:t xml:space="preserve">4.9. Tiekėjas pasiūlyme </w:t>
      </w:r>
      <w:r w:rsidR="00A11B6B" w:rsidRPr="008D1C53">
        <w:rPr>
          <w:rFonts w:asciiTheme="majorHAnsi" w:hAnsiTheme="majorHAnsi" w:cs="Times New Roman"/>
          <w:lang w:val="lt-LT"/>
        </w:rPr>
        <w:t xml:space="preserve">turi nurodyti, kokiai pirkimo </w:t>
      </w:r>
      <w:r w:rsidR="00F13000" w:rsidRPr="008D1C53">
        <w:rPr>
          <w:rFonts w:asciiTheme="majorHAnsi" w:hAnsiTheme="majorHAnsi" w:cs="Times New Roman"/>
          <w:lang w:val="lt-LT"/>
        </w:rPr>
        <w:t xml:space="preserve">sutarties </w:t>
      </w:r>
      <w:r w:rsidR="00A11B6B" w:rsidRPr="008D1C53">
        <w:rPr>
          <w:rFonts w:asciiTheme="majorHAnsi" w:hAnsiTheme="majorHAnsi" w:cs="Times New Roman"/>
          <w:lang w:val="lt-LT"/>
        </w:rPr>
        <w:t xml:space="preserve">daliai ir kokius subtiekėjus, jeigu jie yra žinomi, jis ketina pasitelkti. </w:t>
      </w:r>
    </w:p>
    <w:p w:rsidR="00837AE4" w:rsidRPr="008D1C53" w:rsidRDefault="00837AE4" w:rsidP="004327DD">
      <w:pPr>
        <w:pStyle w:val="Body2"/>
        <w:spacing w:after="0"/>
        <w:rPr>
          <w:rFonts w:asciiTheme="majorHAnsi" w:hAnsiTheme="majorHAnsi" w:cs="Times New Roman"/>
          <w:lang w:val="lt-LT"/>
        </w:rPr>
      </w:pPr>
    </w:p>
    <w:p w:rsidR="00B90A76" w:rsidRPr="008D1C53" w:rsidRDefault="00A007FC" w:rsidP="00A007FC">
      <w:pPr>
        <w:pStyle w:val="Heading1"/>
        <w:numPr>
          <w:ilvl w:val="0"/>
          <w:numId w:val="0"/>
        </w:numPr>
        <w:spacing w:before="0" w:after="0"/>
        <w:ind w:left="1283"/>
        <w:rPr>
          <w:rFonts w:asciiTheme="majorHAnsi" w:hAnsiTheme="majorHAnsi"/>
          <w:b/>
          <w:sz w:val="22"/>
          <w:szCs w:val="22"/>
          <w:lang w:eastAsia="lt-LT"/>
        </w:rPr>
      </w:pPr>
      <w:bookmarkStart w:id="19" w:name="_Toc60525485"/>
      <w:bookmarkStart w:id="20" w:name="_Toc47844931"/>
      <w:bookmarkStart w:id="21" w:name="_Toc227136943"/>
      <w:bookmarkStart w:id="22" w:name="_Toc487805679"/>
      <w:bookmarkStart w:id="23" w:name="_Toc488054835"/>
      <w:r w:rsidRPr="008D1C53">
        <w:rPr>
          <w:rFonts w:asciiTheme="majorHAnsi" w:hAnsiTheme="majorHAnsi"/>
          <w:b/>
          <w:sz w:val="22"/>
          <w:szCs w:val="22"/>
          <w:lang w:eastAsia="lt-LT"/>
        </w:rPr>
        <w:t xml:space="preserve">5. </w:t>
      </w:r>
      <w:r w:rsidR="00B90A76" w:rsidRPr="008D1C53">
        <w:rPr>
          <w:rFonts w:asciiTheme="majorHAnsi" w:hAnsiTheme="majorHAnsi"/>
          <w:b/>
          <w:sz w:val="22"/>
          <w:szCs w:val="22"/>
          <w:lang w:eastAsia="lt-LT"/>
        </w:rPr>
        <w:t>PASIŪLYMŲ RENGIMAS, PATEIKIMAS, KEITIMAS</w:t>
      </w:r>
      <w:bookmarkEnd w:id="19"/>
      <w:bookmarkEnd w:id="20"/>
      <w:bookmarkEnd w:id="21"/>
      <w:bookmarkEnd w:id="22"/>
      <w:bookmarkEnd w:id="23"/>
    </w:p>
    <w:p w:rsidR="004327DD" w:rsidRPr="008D1C53" w:rsidRDefault="004327DD" w:rsidP="004327DD">
      <w:pPr>
        <w:rPr>
          <w:rFonts w:asciiTheme="majorHAnsi" w:hAnsiTheme="majorHAnsi"/>
          <w:sz w:val="22"/>
          <w:szCs w:val="22"/>
          <w:lang w:eastAsia="lt-LT"/>
        </w:rPr>
      </w:pPr>
    </w:p>
    <w:p w:rsidR="004305D9" w:rsidRPr="008D1C53" w:rsidRDefault="002A13B2" w:rsidP="004305D9">
      <w:pPr>
        <w:pStyle w:val="Body2"/>
        <w:ind w:firstLine="709"/>
        <w:rPr>
          <w:rFonts w:asciiTheme="majorHAnsi" w:hAnsiTheme="majorHAnsi" w:cs="Times New Roman"/>
          <w:lang w:val="lt-LT"/>
        </w:rPr>
      </w:pPr>
      <w:bookmarkStart w:id="24" w:name="_Ref58463908"/>
      <w:bookmarkStart w:id="25" w:name="_Ref60481947"/>
      <w:bookmarkStart w:id="26" w:name="_Ref227845325"/>
      <w:r w:rsidRPr="008D1C53">
        <w:rPr>
          <w:rFonts w:asciiTheme="majorHAnsi" w:hAnsiTheme="majorHAnsi" w:cs="Times New Roman"/>
          <w:lang w:val="lt-LT"/>
        </w:rPr>
        <w:t>5</w:t>
      </w:r>
      <w:r w:rsidR="007A47C6" w:rsidRPr="008D1C53">
        <w:rPr>
          <w:rFonts w:asciiTheme="majorHAnsi" w:hAnsiTheme="majorHAnsi" w:cs="Times New Roman"/>
          <w:lang w:val="lt-LT"/>
        </w:rPr>
        <w:t xml:space="preserve">.1. </w:t>
      </w:r>
      <w:r w:rsidR="00837AE4" w:rsidRPr="008D1C53">
        <w:rPr>
          <w:rFonts w:asciiTheme="majorHAnsi" w:hAnsiTheme="majorHAnsi" w:cs="Times New Roman"/>
          <w:lang w:val="lt-LT"/>
        </w:rPr>
        <w:t>Tiekėjas gali pateikti tik vieną pasiūlymą. Jei tiekėjas pateikia daugiau kaip vieną pasiūlymą arba ūkio subjektų grupės dalyvis dalyvauja teikiant kelis pasiūlymus, visi tokie pasiūlymai bus atmesti.</w:t>
      </w:r>
    </w:p>
    <w:p w:rsidR="004305D9" w:rsidRPr="008D1C53" w:rsidRDefault="002A13B2" w:rsidP="004305D9">
      <w:pPr>
        <w:pStyle w:val="Body2"/>
        <w:ind w:firstLine="709"/>
        <w:rPr>
          <w:rFonts w:asciiTheme="majorHAnsi" w:hAnsiTheme="majorHAnsi" w:cs="Times New Roman"/>
          <w:lang w:val="lt-LT"/>
        </w:rPr>
      </w:pPr>
      <w:r w:rsidRPr="008D1C53">
        <w:rPr>
          <w:rFonts w:asciiTheme="majorHAnsi" w:hAnsiTheme="majorHAnsi" w:cs="Times New Roman"/>
          <w:lang w:val="lt-LT"/>
        </w:rPr>
        <w:lastRenderedPageBreak/>
        <w:t>5</w:t>
      </w:r>
      <w:r w:rsidR="007A47C6" w:rsidRPr="008D1C53">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8D1C53" w:rsidRDefault="002A13B2" w:rsidP="00FB12FF">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0763B0" w:rsidRPr="00316C29">
        <w:rPr>
          <w:rFonts w:asciiTheme="majorHAnsi" w:hAnsiTheme="majorHAnsi"/>
        </w:rPr>
        <w:t>https://viesiejipirkimai.lt</w:t>
      </w:r>
      <w:r w:rsidR="007A47C6" w:rsidRPr="008D1C53">
        <w:rPr>
          <w:rFonts w:asciiTheme="majorHAnsi" w:hAnsiTheme="majorHAnsi"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FB12FF" w:rsidRPr="008D1C53" w:rsidRDefault="002A13B2" w:rsidP="00FB12FF">
      <w:pPr>
        <w:pStyle w:val="Body2"/>
        <w:ind w:firstLine="709"/>
        <w:rPr>
          <w:rFonts w:asciiTheme="majorHAnsi" w:hAnsiTheme="majorHAnsi" w:cs="Times New Roman"/>
          <w:lang w:val="lt-LT"/>
        </w:rPr>
      </w:pPr>
      <w:r w:rsidRPr="008D1C53">
        <w:rPr>
          <w:rFonts w:asciiTheme="majorHAnsi" w:hAnsiTheme="majorHAnsi" w:cs="Times New Roman"/>
          <w:color w:val="auto"/>
          <w:lang w:val="lt-LT"/>
        </w:rPr>
        <w:t>5</w:t>
      </w:r>
      <w:r w:rsidR="007A47C6" w:rsidRPr="008D1C53">
        <w:rPr>
          <w:rFonts w:asciiTheme="majorHAnsi" w:hAnsiTheme="majorHAnsi" w:cs="Times New Roman"/>
          <w:color w:val="auto"/>
          <w:lang w:val="lt-LT"/>
        </w:rPr>
        <w:t xml:space="preserve">.4. </w:t>
      </w:r>
      <w:r w:rsidR="007A47C6" w:rsidRPr="008D1C53">
        <w:rPr>
          <w:rFonts w:asciiTheme="majorHAnsi" w:hAnsiTheme="majorHAnsi" w:cs="Times New Roman"/>
          <w:iCs/>
          <w:color w:val="auto"/>
          <w:lang w:val="lt-LT"/>
        </w:rPr>
        <w:t xml:space="preserve">Pasiūlymas turi būti pateiktas </w:t>
      </w:r>
      <w:r w:rsidR="007A47C6" w:rsidRPr="008D1C53">
        <w:rPr>
          <w:rFonts w:asciiTheme="majorHAnsi" w:hAnsiTheme="majorHAnsi" w:cs="Times New Roman"/>
          <w:b/>
          <w:iCs/>
          <w:color w:val="auto"/>
          <w:lang w:val="lt-LT"/>
        </w:rPr>
        <w:t xml:space="preserve">iki </w:t>
      </w:r>
      <w:r w:rsidR="002977F4" w:rsidRPr="008D1C53">
        <w:rPr>
          <w:rFonts w:asciiTheme="majorHAnsi" w:hAnsiTheme="majorHAnsi" w:cs="Times New Roman"/>
          <w:b/>
          <w:iCs/>
          <w:color w:val="auto"/>
          <w:lang w:val="lt-LT"/>
        </w:rPr>
        <w:t>20</w:t>
      </w:r>
      <w:r w:rsidR="006647CB" w:rsidRPr="008D1C53">
        <w:rPr>
          <w:rFonts w:asciiTheme="majorHAnsi" w:hAnsiTheme="majorHAnsi" w:cs="Times New Roman"/>
          <w:b/>
          <w:iCs/>
          <w:color w:val="auto"/>
          <w:lang w:val="lt-LT"/>
        </w:rPr>
        <w:t>2</w:t>
      </w:r>
      <w:r w:rsidR="00A53CBA">
        <w:rPr>
          <w:rFonts w:asciiTheme="majorHAnsi" w:hAnsiTheme="majorHAnsi" w:cs="Times New Roman"/>
          <w:b/>
          <w:iCs/>
          <w:color w:val="auto"/>
          <w:lang w:val="lt-LT"/>
        </w:rPr>
        <w:t>5</w:t>
      </w:r>
      <w:r w:rsidR="002977F4" w:rsidRPr="008D1C53">
        <w:rPr>
          <w:rFonts w:asciiTheme="majorHAnsi" w:hAnsiTheme="majorHAnsi" w:cs="Times New Roman"/>
          <w:b/>
          <w:iCs/>
          <w:color w:val="auto"/>
          <w:lang w:val="lt-LT"/>
        </w:rPr>
        <w:t xml:space="preserve"> m. </w:t>
      </w:r>
      <w:r w:rsidR="00A53CBA">
        <w:rPr>
          <w:rFonts w:asciiTheme="majorHAnsi" w:hAnsiTheme="majorHAnsi" w:cs="Times New Roman"/>
          <w:b/>
          <w:iCs/>
          <w:color w:val="auto"/>
          <w:lang w:val="lt-LT"/>
        </w:rPr>
        <w:t>sausio</w:t>
      </w:r>
      <w:r w:rsidR="00D323A8" w:rsidRPr="008D1C53">
        <w:rPr>
          <w:rFonts w:asciiTheme="majorHAnsi" w:hAnsiTheme="majorHAnsi" w:cs="Times New Roman"/>
          <w:b/>
          <w:iCs/>
          <w:color w:val="auto"/>
          <w:lang w:val="lt-LT"/>
        </w:rPr>
        <w:t xml:space="preserve"> </w:t>
      </w:r>
      <w:r w:rsidR="00D62372">
        <w:rPr>
          <w:rFonts w:asciiTheme="majorHAnsi" w:hAnsiTheme="majorHAnsi" w:cs="Times New Roman"/>
          <w:b/>
          <w:iCs/>
          <w:color w:val="auto"/>
          <w:lang w:val="lt-LT"/>
        </w:rPr>
        <w:t>21</w:t>
      </w:r>
      <w:r w:rsidR="0063056D" w:rsidRPr="008D1C53">
        <w:rPr>
          <w:rFonts w:asciiTheme="majorHAnsi" w:hAnsiTheme="majorHAnsi" w:cs="Times New Roman"/>
          <w:b/>
          <w:iCs/>
          <w:color w:val="auto"/>
          <w:lang w:val="lt-LT"/>
        </w:rPr>
        <w:t xml:space="preserve"> </w:t>
      </w:r>
      <w:r w:rsidR="001132A8" w:rsidRPr="008D1C53">
        <w:rPr>
          <w:rFonts w:asciiTheme="majorHAnsi" w:hAnsiTheme="majorHAnsi" w:cs="Times New Roman"/>
          <w:b/>
          <w:iCs/>
          <w:color w:val="auto"/>
          <w:lang w:val="lt-LT"/>
        </w:rPr>
        <w:t xml:space="preserve">d. </w:t>
      </w:r>
      <w:r w:rsidR="00604E72" w:rsidRPr="008D1C53">
        <w:rPr>
          <w:rFonts w:asciiTheme="majorHAnsi" w:hAnsiTheme="majorHAnsi" w:cs="Times New Roman"/>
          <w:b/>
          <w:iCs/>
          <w:color w:val="auto"/>
          <w:lang w:val="lt-LT"/>
        </w:rPr>
        <w:t>11</w:t>
      </w:r>
      <w:r w:rsidR="007A47C6" w:rsidRPr="008D1C53">
        <w:rPr>
          <w:rFonts w:asciiTheme="majorHAnsi" w:hAnsiTheme="majorHAnsi" w:cs="Times New Roman"/>
          <w:b/>
          <w:iCs/>
          <w:color w:val="auto"/>
          <w:lang w:val="lt-LT"/>
        </w:rPr>
        <w:t xml:space="preserve"> val. </w:t>
      </w:r>
      <w:r w:rsidR="00AA221A" w:rsidRPr="008D1C53">
        <w:rPr>
          <w:rFonts w:asciiTheme="majorHAnsi" w:hAnsiTheme="majorHAnsi" w:cs="Times New Roman"/>
          <w:b/>
          <w:iCs/>
          <w:color w:val="auto"/>
          <w:lang w:val="lt-LT"/>
        </w:rPr>
        <w:t>00</w:t>
      </w:r>
      <w:r w:rsidR="007A47C6" w:rsidRPr="008D1C53">
        <w:rPr>
          <w:rFonts w:asciiTheme="majorHAnsi" w:hAnsiTheme="majorHAnsi" w:cs="Times New Roman"/>
          <w:b/>
          <w:iCs/>
          <w:color w:val="auto"/>
          <w:lang w:val="lt-LT"/>
        </w:rPr>
        <w:t xml:space="preserve"> min.</w:t>
      </w:r>
      <w:r w:rsidR="007A47C6" w:rsidRPr="008D1C53">
        <w:rPr>
          <w:rFonts w:asciiTheme="majorHAnsi" w:hAnsiTheme="majorHAnsi" w:cs="Times New Roman"/>
          <w:iCs/>
          <w:color w:val="auto"/>
          <w:lang w:val="lt-LT"/>
        </w:rPr>
        <w:t xml:space="preserve"> (Lietuvos Respublikos laiku) tik elektroninėmis priemonėmis, naudojant CVP IS.</w:t>
      </w:r>
      <w:r w:rsidR="007A47C6" w:rsidRPr="008D1C53">
        <w:rPr>
          <w:rFonts w:asciiTheme="majorHAnsi" w:hAnsiTheme="majorHAnsi" w:cs="Times New Roman"/>
          <w:color w:val="auto"/>
          <w:lang w:val="lt-LT"/>
        </w:rPr>
        <w:tab/>
      </w:r>
    </w:p>
    <w:p w:rsidR="00FB12FF" w:rsidRPr="008D1C53" w:rsidRDefault="002A13B2" w:rsidP="00FB12FF">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.5. Susipažinti su pirkimo dokumentais tiekėjai turi teisę iki pasiūlymų pateikimo termino pabaigos.</w:t>
      </w:r>
    </w:p>
    <w:p w:rsidR="00FB12FF" w:rsidRPr="008D1C53" w:rsidRDefault="002A13B2" w:rsidP="00FB12FF">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8D1C53" w:rsidRDefault="002A13B2" w:rsidP="00FB12FF">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 xml:space="preserve">.7. Tiekėjo pasiūlymas bei kita korespondencija pateikiami lietuvių kalba. </w:t>
      </w:r>
      <w:r w:rsidR="006E5521" w:rsidRPr="008D1C53">
        <w:rPr>
          <w:rFonts w:asciiTheme="majorHAnsi" w:hAnsiTheme="majorHAnsi" w:cs="Times New Roman"/>
          <w:lang w:val="lt-LT"/>
        </w:rPr>
        <w:t>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6E5521" w:rsidRPr="008D1C53">
        <w:rPr>
          <w:rFonts w:asciiTheme="majorHAnsi" w:hAnsiTheme="majorHAnsi"/>
        </w:rPr>
        <w:t xml:space="preserve"> Jeigu dokumentų </w:t>
      </w:r>
      <w:r w:rsidR="006E5521" w:rsidRPr="008D1C53">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D1C53" w:rsidRDefault="002A13B2" w:rsidP="002C5A65">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 xml:space="preserve">.8. Pasiūlyme turi būti nurodytas jo galiojimo terminas. Pasiūlymas turi galioti ne trumpiau </w:t>
      </w:r>
      <w:r w:rsidR="00447965" w:rsidRPr="008D1C53">
        <w:rPr>
          <w:rFonts w:asciiTheme="majorHAnsi" w:hAnsiTheme="majorHAnsi" w:cs="Times New Roman"/>
          <w:b/>
          <w:lang w:val="lt-LT"/>
        </w:rPr>
        <w:t xml:space="preserve">kaip </w:t>
      </w:r>
      <w:r w:rsidR="006B57E9" w:rsidRPr="008D1C53">
        <w:rPr>
          <w:rFonts w:asciiTheme="majorHAnsi" w:hAnsiTheme="majorHAnsi" w:cs="Times New Roman"/>
          <w:b/>
          <w:lang w:val="lt-LT"/>
        </w:rPr>
        <w:t>3 mėnesius</w:t>
      </w:r>
      <w:r w:rsidR="006B57E9" w:rsidRPr="008D1C53">
        <w:rPr>
          <w:rFonts w:asciiTheme="majorHAnsi" w:hAnsiTheme="majorHAnsi" w:cs="Times New Roman"/>
          <w:lang w:val="lt-LT"/>
        </w:rPr>
        <w:t xml:space="preserve"> nuo </w:t>
      </w:r>
      <w:r w:rsidR="006B57E9" w:rsidRPr="008D1C53">
        <w:rPr>
          <w:rFonts w:asciiTheme="majorHAnsi" w:hAnsiTheme="majorHAnsi" w:cs="Times New Roman"/>
          <w:color w:val="auto"/>
          <w:lang w:val="lt-LT"/>
        </w:rPr>
        <w:t>susipažinimo su pasiūlymais</w:t>
      </w:r>
      <w:r w:rsidR="00447965" w:rsidRPr="008D1C53">
        <w:rPr>
          <w:rFonts w:asciiTheme="majorHAnsi" w:hAnsiTheme="majorHAnsi" w:cs="Times New Roman"/>
          <w:color w:val="auto"/>
          <w:lang w:val="lt-LT"/>
        </w:rPr>
        <w:t>.</w:t>
      </w:r>
      <w:r w:rsidR="007A47C6" w:rsidRPr="008D1C53">
        <w:rPr>
          <w:rFonts w:asciiTheme="majorHAnsi" w:hAnsiTheme="majorHAnsi" w:cs="Times New Roman"/>
          <w:lang w:val="lt-LT"/>
        </w:rPr>
        <w:t xml:space="preserve"> Jeigu pasiūlyme nenurodytas jo galiojimo laikas, laikoma, kad pasiūlymas galioja tiek, kiek nustatyta pirkimo dokumentuose.</w:t>
      </w:r>
    </w:p>
    <w:p w:rsidR="002C5A65" w:rsidRPr="008D1C53" w:rsidRDefault="002A13B2" w:rsidP="002C5A65">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.9. Pasiūlyme nurodom</w:t>
      </w:r>
      <w:r w:rsidR="00775071" w:rsidRPr="008D1C53">
        <w:rPr>
          <w:rFonts w:asciiTheme="majorHAnsi" w:hAnsiTheme="majorHAnsi" w:cs="Times New Roman"/>
          <w:lang w:val="lt-LT"/>
        </w:rPr>
        <w:t>i</w:t>
      </w:r>
      <w:r w:rsidR="003F38EB" w:rsidRPr="008D1C53">
        <w:rPr>
          <w:rFonts w:asciiTheme="majorHAnsi" w:hAnsiTheme="majorHAnsi" w:cs="Times New Roman"/>
          <w:lang w:val="lt-LT"/>
        </w:rPr>
        <w:t xml:space="preserve"> </w:t>
      </w:r>
      <w:r w:rsidR="007A47C6" w:rsidRPr="008D1C53">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D1C53" w:rsidRDefault="009836A2" w:rsidP="002C5A65">
      <w:pPr>
        <w:pStyle w:val="Body2"/>
        <w:ind w:firstLine="709"/>
        <w:rPr>
          <w:rFonts w:asciiTheme="majorHAnsi" w:hAnsiTheme="majorHAnsi" w:cs="Times New Roman"/>
          <w:lang w:val="lt-LT"/>
        </w:rPr>
      </w:pPr>
      <w:r w:rsidRPr="008D1C53">
        <w:rPr>
          <w:rFonts w:asciiTheme="majorHAnsi" w:hAnsiTheme="majorHAnsi" w:cs="Times New Roman"/>
          <w:lang w:val="lt-LT"/>
        </w:rPr>
        <w:t>Galutinė</w:t>
      </w:r>
      <w:r w:rsidR="00992AB8" w:rsidRPr="008D1C53">
        <w:rPr>
          <w:rFonts w:asciiTheme="majorHAnsi" w:hAnsiTheme="majorHAnsi" w:cs="Times New Roman"/>
          <w:lang w:val="lt-LT"/>
        </w:rPr>
        <w:t xml:space="preserve"> kaina turi būti išreikšta cento tikslumu, po kablelio nurodant ne daugiau kaip 2</w:t>
      </w:r>
      <w:r w:rsidR="00E072B0" w:rsidRPr="008D1C53">
        <w:rPr>
          <w:rFonts w:asciiTheme="majorHAnsi" w:hAnsiTheme="majorHAnsi" w:cs="Times New Roman"/>
          <w:lang w:val="lt-LT"/>
        </w:rPr>
        <w:t> </w:t>
      </w:r>
      <w:r w:rsidR="005B6830" w:rsidRPr="008D1C53">
        <w:rPr>
          <w:rFonts w:asciiTheme="majorHAnsi" w:hAnsiTheme="majorHAnsi" w:cs="Times New Roman"/>
          <w:lang w:val="lt-LT"/>
        </w:rPr>
        <w:t>skaitmenis.</w:t>
      </w:r>
    </w:p>
    <w:p w:rsidR="002C5A65" w:rsidRPr="008D1C53" w:rsidRDefault="002A13B2" w:rsidP="002C5A65">
      <w:pPr>
        <w:pStyle w:val="Body2"/>
        <w:ind w:firstLine="709"/>
        <w:rPr>
          <w:rFonts w:asciiTheme="majorHAnsi" w:hAnsiTheme="majorHAnsi" w:cs="Times New Roman"/>
          <w:lang w:val="lt-LT"/>
        </w:rPr>
      </w:pPr>
      <w:r w:rsidRPr="008D1C53">
        <w:rPr>
          <w:rFonts w:asciiTheme="majorHAnsi" w:hAnsiTheme="majorHAnsi" w:cs="Times New Roman"/>
          <w:lang w:val="lt-LT"/>
        </w:rPr>
        <w:t>5</w:t>
      </w:r>
      <w:r w:rsidR="007A47C6" w:rsidRPr="008D1C53">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8D1C53">
        <w:rPr>
          <w:rFonts w:asciiTheme="majorHAnsi" w:hAnsiTheme="majorHAnsi" w:cs="Times New Roman"/>
          <w:lang w:val="lt-LT"/>
        </w:rPr>
        <w:t>.</w:t>
      </w:r>
    </w:p>
    <w:p w:rsidR="008B7EDA" w:rsidRPr="008D1C53" w:rsidRDefault="002A13B2" w:rsidP="002C5A65">
      <w:pPr>
        <w:pStyle w:val="Body2"/>
        <w:ind w:firstLine="709"/>
        <w:rPr>
          <w:rFonts w:asciiTheme="majorHAnsi" w:hAnsiTheme="majorHAnsi" w:cs="Times New Roman"/>
          <w:lang w:val="lt-LT"/>
        </w:rPr>
      </w:pPr>
      <w:r w:rsidRPr="008D1C53">
        <w:rPr>
          <w:rFonts w:asciiTheme="majorHAnsi" w:hAnsiTheme="majorHAnsi" w:cs="Times New Roman"/>
          <w:color w:val="auto"/>
          <w:lang w:val="lt-LT"/>
        </w:rPr>
        <w:t>5</w:t>
      </w:r>
      <w:r w:rsidR="007A47C6" w:rsidRPr="008D1C53">
        <w:rPr>
          <w:rFonts w:asciiTheme="majorHAnsi" w:hAnsiTheme="majorHAnsi" w:cs="Times New Roman"/>
          <w:color w:val="auto"/>
          <w:lang w:val="lt-LT"/>
        </w:rPr>
        <w:t xml:space="preserve">.11. Pasiūlymas turi būti pateikiamas CVP IS priemonėmis. </w:t>
      </w:r>
      <w:r w:rsidR="007A47C6" w:rsidRPr="008D1C53">
        <w:rPr>
          <w:rFonts w:asciiTheme="majorHAnsi" w:hAnsiTheme="majorHAnsi" w:cs="Times New Roman"/>
          <w:iCs/>
          <w:color w:val="auto"/>
          <w:lang w:val="lt-LT"/>
        </w:rPr>
        <w:t>Pasiūlymą turi sudaryti</w:t>
      </w:r>
      <w:r w:rsidR="008B7EDA" w:rsidRPr="008D1C53">
        <w:rPr>
          <w:rFonts w:asciiTheme="majorHAnsi" w:hAnsiTheme="majorHAnsi" w:cs="Times New Roman"/>
          <w:iCs/>
          <w:color w:val="auto"/>
          <w:lang w:val="lt-LT"/>
        </w:rPr>
        <w:t>:</w:t>
      </w:r>
    </w:p>
    <w:p w:rsidR="00835323" w:rsidRPr="008D1C53" w:rsidRDefault="002A13B2" w:rsidP="00835323">
      <w:pPr>
        <w:pStyle w:val="Body2"/>
        <w:ind w:firstLine="709"/>
        <w:rPr>
          <w:rFonts w:asciiTheme="majorHAnsi" w:hAnsiTheme="majorHAnsi" w:cs="Times New Roman"/>
          <w:bCs/>
          <w:color w:val="auto"/>
          <w:lang w:val="lt-LT"/>
        </w:rPr>
      </w:pPr>
      <w:r w:rsidRPr="008D1C53">
        <w:rPr>
          <w:rFonts w:asciiTheme="majorHAnsi" w:hAnsiTheme="majorHAnsi" w:cs="Times New Roman"/>
          <w:b/>
          <w:iCs/>
          <w:color w:val="auto"/>
          <w:lang w:val="lt-LT"/>
        </w:rPr>
        <w:t>5</w:t>
      </w:r>
      <w:r w:rsidR="008B7EDA" w:rsidRPr="008D1C53">
        <w:rPr>
          <w:rFonts w:asciiTheme="majorHAnsi" w:hAnsiTheme="majorHAnsi" w:cs="Times New Roman"/>
          <w:b/>
          <w:iCs/>
          <w:color w:val="auto"/>
          <w:lang w:val="lt-LT"/>
        </w:rPr>
        <w:t xml:space="preserve">.11.1. </w:t>
      </w:r>
      <w:r w:rsidR="00835323" w:rsidRPr="008D1C53">
        <w:rPr>
          <w:rFonts w:asciiTheme="majorHAnsi" w:hAnsiTheme="majorHAnsi" w:cs="Times New Roman"/>
          <w:b/>
          <w:iCs/>
          <w:color w:val="auto"/>
          <w:lang w:val="lt-LT"/>
        </w:rPr>
        <w:t>Užpildy</w:t>
      </w:r>
      <w:r w:rsidR="001B191C" w:rsidRPr="008D1C53">
        <w:rPr>
          <w:rFonts w:asciiTheme="majorHAnsi" w:hAnsiTheme="majorHAnsi" w:cs="Times New Roman"/>
          <w:b/>
          <w:iCs/>
          <w:color w:val="auto"/>
          <w:lang w:val="lt-LT"/>
        </w:rPr>
        <w:t>ta pasiūlymo forma (1 priedas);</w:t>
      </w:r>
    </w:p>
    <w:p w:rsidR="00835323" w:rsidRPr="008D1C53" w:rsidRDefault="00835323" w:rsidP="00835323">
      <w:pPr>
        <w:pStyle w:val="Body2"/>
        <w:ind w:firstLine="709"/>
        <w:rPr>
          <w:rFonts w:asciiTheme="majorHAnsi" w:hAnsiTheme="majorHAnsi" w:cs="Times New Roman"/>
          <w:lang w:val="lt-LT"/>
        </w:rPr>
      </w:pPr>
      <w:r w:rsidRPr="008D1C53">
        <w:rPr>
          <w:rFonts w:asciiTheme="majorHAnsi" w:hAnsiTheme="majorHAnsi" w:cs="Times New Roman"/>
          <w:lang w:val="lt-LT"/>
        </w:rPr>
        <w:t xml:space="preserve">5.11.2. Europos bendrasis viešųjų pirkimų dokumentas (EBVPD) parengtas pagal pirkimo sąlygų </w:t>
      </w:r>
      <w:r w:rsidR="006E3FB8" w:rsidRPr="008D1C53">
        <w:rPr>
          <w:rFonts w:asciiTheme="majorHAnsi" w:hAnsiTheme="majorHAnsi" w:cs="Times New Roman"/>
          <w:lang w:val="lt-LT"/>
        </w:rPr>
        <w:t>4</w:t>
      </w:r>
      <w:r w:rsidRPr="008D1C53">
        <w:rPr>
          <w:rFonts w:asciiTheme="majorHAnsi" w:hAnsiTheme="majorHAnsi" w:cs="Times New Roman"/>
          <w:lang w:val="lt-LT"/>
        </w:rPr>
        <w:t xml:space="preserve"> priedą</w:t>
      </w:r>
      <w:r w:rsidR="001B191C" w:rsidRPr="008D1C53">
        <w:rPr>
          <w:rFonts w:asciiTheme="majorHAnsi" w:hAnsiTheme="majorHAnsi" w:cs="Times New Roman"/>
          <w:lang w:val="lt-LT"/>
        </w:rPr>
        <w:t>;</w:t>
      </w:r>
    </w:p>
    <w:p w:rsidR="00835323" w:rsidRPr="008D1C53" w:rsidRDefault="00835323" w:rsidP="00835323">
      <w:pPr>
        <w:pStyle w:val="Body2"/>
        <w:ind w:firstLine="709"/>
        <w:rPr>
          <w:rFonts w:asciiTheme="majorHAnsi" w:hAnsiTheme="majorHAnsi" w:cs="Times New Roman"/>
          <w:b/>
          <w:iCs/>
          <w:color w:val="auto"/>
          <w:lang w:val="lt-LT"/>
        </w:rPr>
      </w:pPr>
      <w:r w:rsidRPr="008D1C53">
        <w:rPr>
          <w:rFonts w:asciiTheme="majorHAnsi" w:hAnsiTheme="majorHAnsi" w:cs="Times New Roman"/>
          <w:lang w:val="lt-LT"/>
        </w:rPr>
        <w:t>5.11.3. Jungtinės veiklos sutartis (jei taikoma);</w:t>
      </w:r>
    </w:p>
    <w:p w:rsidR="00835323" w:rsidRPr="008D1C53" w:rsidRDefault="00835323" w:rsidP="00835323">
      <w:pPr>
        <w:pStyle w:val="Body2"/>
        <w:ind w:firstLine="709"/>
        <w:rPr>
          <w:rFonts w:asciiTheme="majorHAnsi" w:hAnsiTheme="majorHAnsi" w:cs="Times New Roman"/>
          <w:b/>
          <w:iCs/>
          <w:color w:val="auto"/>
          <w:lang w:val="lt-LT"/>
        </w:rPr>
      </w:pPr>
      <w:r w:rsidRPr="008D1C53">
        <w:rPr>
          <w:rFonts w:asciiTheme="majorHAnsi" w:hAnsiTheme="majorHAnsi" w:cs="Times New Roman"/>
          <w:color w:val="auto"/>
          <w:lang w:val="lt-LT"/>
        </w:rPr>
        <w:t>5.11.4. Įgaliojimas pasirašyti pasiūlymą (jei taikoma);</w:t>
      </w:r>
      <w:r w:rsidRPr="008D1C53">
        <w:rPr>
          <w:rFonts w:asciiTheme="majorHAnsi" w:hAnsiTheme="majorHAnsi" w:cs="Times New Roman"/>
          <w:color w:val="auto"/>
          <w:lang w:val="lt-LT"/>
        </w:rPr>
        <w:tab/>
      </w:r>
    </w:p>
    <w:p w:rsidR="00835323" w:rsidRPr="008D1C53" w:rsidRDefault="00835323" w:rsidP="00835323">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5.11.5. Galimybę pasinaudoti kitų ūkio subjektų ištekliais patvirtinantys dokumentai (jei taikoma);</w:t>
      </w:r>
    </w:p>
    <w:p w:rsidR="00367CD6" w:rsidRPr="008D1C53" w:rsidRDefault="00367CD6" w:rsidP="00367CD6">
      <w:pPr>
        <w:pStyle w:val="Body2"/>
        <w:ind w:firstLine="709"/>
        <w:rPr>
          <w:rFonts w:asciiTheme="majorHAnsi" w:hAnsiTheme="majorHAnsi" w:cs="Times New Roman"/>
          <w:b/>
          <w:color w:val="auto"/>
          <w:lang w:val="lt-LT"/>
        </w:rPr>
      </w:pPr>
      <w:r w:rsidRPr="008D1C53">
        <w:rPr>
          <w:rFonts w:asciiTheme="majorHAnsi" w:hAnsiTheme="majorHAnsi" w:cs="Times New Roman"/>
          <w:b/>
          <w:color w:val="auto"/>
        </w:rPr>
        <w:t xml:space="preserve">5.11.6. </w:t>
      </w:r>
      <w:r w:rsidRPr="008D1C53">
        <w:rPr>
          <w:rFonts w:asciiTheme="majorHAnsi" w:hAnsiTheme="majorHAnsi" w:cs="Times New Roman"/>
          <w:b/>
          <w:color w:val="auto"/>
          <w:lang w:val="lt-LT"/>
        </w:rPr>
        <w:t>Užpildyta deklaracija dėl tiekėjo atsakingų asmenų (5 priedas);</w:t>
      </w:r>
    </w:p>
    <w:p w:rsidR="003B11E2" w:rsidRPr="008D1C53" w:rsidRDefault="003B11E2" w:rsidP="00367CD6">
      <w:pPr>
        <w:pStyle w:val="Body2"/>
        <w:ind w:firstLine="709"/>
        <w:rPr>
          <w:rFonts w:asciiTheme="majorHAnsi" w:hAnsiTheme="majorHAnsi" w:cs="Times New Roman"/>
          <w:b/>
          <w:color w:val="auto"/>
        </w:rPr>
      </w:pPr>
      <w:r w:rsidRPr="008D1C53">
        <w:rPr>
          <w:rFonts w:asciiTheme="majorHAnsi" w:hAnsiTheme="majorHAnsi" w:cs="Times New Roman"/>
          <w:b/>
          <w:color w:val="auto"/>
        </w:rPr>
        <w:t>5.11.7. Tiekėjo deklaracija dėl Tarybos reglamente (ES) 2022/576 nustatytų sąlygų nebuvimo (6 priedas).</w:t>
      </w:r>
    </w:p>
    <w:p w:rsidR="009836A2" w:rsidRPr="008D1C53" w:rsidRDefault="009836A2" w:rsidP="009836A2">
      <w:pPr>
        <w:pStyle w:val="Body2"/>
        <w:ind w:firstLine="709"/>
        <w:rPr>
          <w:rFonts w:asciiTheme="majorHAnsi" w:hAnsiTheme="majorHAnsi" w:cs="Times New Roman"/>
          <w:b/>
          <w:lang w:val="lt-LT"/>
        </w:rPr>
      </w:pP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( 7 p</w:t>
      </w:r>
      <w:r w:rsidRPr="008D1C53">
        <w:rPr>
          <w:rFonts w:asciiTheme="majorHAnsi" w:hAnsiTheme="majorHAnsi" w:cs="Times New Roman"/>
          <w:b/>
        </w:rPr>
        <w:t xml:space="preserve">riedas). </w:t>
      </w:r>
    </w:p>
    <w:p w:rsidR="00DF22CE" w:rsidRPr="00D62372" w:rsidRDefault="00367CD6" w:rsidP="00835323">
      <w:pPr>
        <w:pStyle w:val="Body2"/>
        <w:ind w:firstLine="709"/>
        <w:rPr>
          <w:rFonts w:asciiTheme="majorHAnsi" w:hAnsiTheme="majorHAnsi" w:cs="Times New Roman"/>
          <w:b/>
          <w:color w:val="auto"/>
          <w:highlight w:val="yellow"/>
          <w:lang w:val="lt-LT"/>
        </w:rPr>
      </w:pPr>
      <w:r w:rsidRPr="00D62372">
        <w:rPr>
          <w:rFonts w:asciiTheme="majorHAnsi" w:hAnsiTheme="majorHAnsi" w:cs="Times New Roman"/>
          <w:b/>
          <w:color w:val="auto"/>
          <w:highlight w:val="yellow"/>
          <w:lang w:val="lt-LT"/>
        </w:rPr>
        <w:t>5.11.</w:t>
      </w:r>
      <w:r w:rsidR="009836A2" w:rsidRPr="00D62372">
        <w:rPr>
          <w:rFonts w:asciiTheme="majorHAnsi" w:hAnsiTheme="majorHAnsi" w:cs="Times New Roman"/>
          <w:b/>
          <w:color w:val="auto"/>
          <w:highlight w:val="yellow"/>
          <w:lang w:val="lt-LT"/>
        </w:rPr>
        <w:t>9</w:t>
      </w:r>
      <w:r w:rsidR="00835323" w:rsidRPr="00D62372">
        <w:rPr>
          <w:rFonts w:asciiTheme="majorHAnsi" w:hAnsiTheme="majorHAnsi" w:cs="Times New Roman"/>
          <w:b/>
          <w:color w:val="auto"/>
          <w:highlight w:val="yellow"/>
          <w:lang w:val="lt-LT"/>
        </w:rPr>
        <w:t xml:space="preserve">. </w:t>
      </w:r>
      <w:r w:rsidR="003B11E2" w:rsidRPr="00D62372">
        <w:rPr>
          <w:rFonts w:asciiTheme="majorHAnsi" w:hAnsiTheme="majorHAnsi" w:cs="Times New Roman"/>
          <w:b/>
          <w:color w:val="auto"/>
          <w:highlight w:val="yellow"/>
          <w:lang w:val="lt-LT"/>
        </w:rPr>
        <w:t xml:space="preserve">Tiekėjas turi pateikti pasiūlyme nurodytų </w:t>
      </w:r>
      <w:r w:rsidR="003107D6" w:rsidRPr="00D62372">
        <w:rPr>
          <w:rFonts w:asciiTheme="majorHAnsi" w:hAnsiTheme="majorHAnsi" w:cs="Times New Roman"/>
          <w:b/>
          <w:color w:val="auto"/>
          <w:highlight w:val="yellow"/>
          <w:lang w:val="lt-LT"/>
        </w:rPr>
        <w:t xml:space="preserve">techninių </w:t>
      </w:r>
      <w:r w:rsidR="003B11E2" w:rsidRPr="00D62372">
        <w:rPr>
          <w:rFonts w:asciiTheme="majorHAnsi" w:hAnsiTheme="majorHAnsi" w:cs="Times New Roman"/>
          <w:b/>
          <w:color w:val="auto"/>
          <w:highlight w:val="yellow"/>
          <w:lang w:val="lt-LT"/>
        </w:rPr>
        <w:t>parametrų teisingumą įrodančius firmos gamintojos dokumentus (bukletus ir pan.) originalo, o reikalaujamų parametrų – ir lietuvių kalb</w:t>
      </w:r>
      <w:r w:rsidR="00243627" w:rsidRPr="00D62372">
        <w:rPr>
          <w:rFonts w:asciiTheme="majorHAnsi" w:hAnsiTheme="majorHAnsi" w:cs="Times New Roman"/>
          <w:b/>
          <w:color w:val="auto"/>
          <w:highlight w:val="yellow"/>
          <w:lang w:val="lt-LT"/>
        </w:rPr>
        <w:t>a</w:t>
      </w:r>
      <w:r w:rsidR="003B11E2" w:rsidRPr="00D62372">
        <w:rPr>
          <w:rFonts w:asciiTheme="majorHAnsi" w:hAnsiTheme="majorHAnsi" w:cs="Times New Roman"/>
          <w:b/>
          <w:color w:val="auto"/>
          <w:highlight w:val="yellow"/>
          <w:lang w:val="lt-LT"/>
        </w:rPr>
        <w:t xml:space="preserve">, pagal pirkimo dokumentuose pateiktus klausimus (techninė </w:t>
      </w:r>
      <w:r w:rsidR="003B11E2" w:rsidRPr="00D62372">
        <w:rPr>
          <w:rFonts w:asciiTheme="majorHAnsi" w:hAnsiTheme="majorHAnsi" w:cs="Times New Roman"/>
          <w:b/>
          <w:color w:val="auto"/>
          <w:highlight w:val="yellow"/>
          <w:lang w:val="lt-LT"/>
        </w:rPr>
        <w:lastRenderedPageBreak/>
        <w:t>specifikacija) jų eilės tvarka</w:t>
      </w:r>
      <w:r w:rsidR="00CB1985" w:rsidRPr="00D62372">
        <w:rPr>
          <w:rFonts w:asciiTheme="majorHAnsi" w:hAnsiTheme="majorHAnsi"/>
          <w:b/>
          <w:color w:val="auto"/>
          <w:highlight w:val="yellow"/>
        </w:rPr>
        <w:t xml:space="preserve"> (</w:t>
      </w:r>
      <w:r w:rsidR="00CB1985" w:rsidRPr="00D62372">
        <w:rPr>
          <w:rFonts w:asciiTheme="majorHAnsi" w:hAnsiTheme="majorHAnsi" w:cs="Times New Roman"/>
          <w:b/>
          <w:color w:val="auto"/>
          <w:highlight w:val="yellow"/>
          <w:lang w:val="lt-LT"/>
        </w:rPr>
        <w:t xml:space="preserve">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3B11E2" w:rsidRPr="00D62372">
        <w:rPr>
          <w:rFonts w:asciiTheme="majorHAnsi" w:hAnsiTheme="majorHAnsi" w:cs="Times New Roman"/>
          <w:b/>
          <w:color w:val="auto"/>
          <w:highlight w:val="yellow"/>
          <w:lang w:val="lt-LT"/>
        </w:rPr>
        <w:t xml:space="preserve"> Turi būti nurodytos konkrečios siūlomų prekių charakteristikos. Originaliame firmos gamintojos dokumente </w:t>
      </w:r>
      <w:r w:rsidR="003107D6" w:rsidRPr="00D62372">
        <w:rPr>
          <w:rFonts w:asciiTheme="majorHAnsi" w:hAnsiTheme="majorHAnsi" w:cs="Times New Roman"/>
          <w:b/>
          <w:color w:val="auto"/>
          <w:highlight w:val="yellow"/>
          <w:lang w:val="lt-LT"/>
        </w:rPr>
        <w:t>turi</w:t>
      </w:r>
      <w:r w:rsidR="003B11E2" w:rsidRPr="00D62372">
        <w:rPr>
          <w:rFonts w:asciiTheme="majorHAnsi" w:hAnsiTheme="majorHAnsi" w:cs="Times New Roman"/>
          <w:b/>
          <w:color w:val="auto"/>
          <w:highlight w:val="yellow"/>
          <w:lang w:val="lt-LT"/>
        </w:rPr>
        <w:t xml:space="preserve"> būti atžyma, kurį techninės specifikacijos parametrą patvirtina nurodytas parametras. Pateikiamos skaitmeninės dokumentų kopijos. Konkurso sąlygų  priedo</w:t>
      </w:r>
      <w:r w:rsidR="002107F5" w:rsidRPr="00D62372">
        <w:rPr>
          <w:rFonts w:asciiTheme="majorHAnsi" w:hAnsiTheme="majorHAnsi" w:cs="Times New Roman"/>
          <w:b/>
          <w:color w:val="auto"/>
          <w:highlight w:val="yellow"/>
          <w:lang w:val="lt-LT"/>
        </w:rPr>
        <w:t xml:space="preserve"> Nr. </w:t>
      </w:r>
      <w:r w:rsidR="006E5521" w:rsidRPr="00D62372">
        <w:rPr>
          <w:rFonts w:asciiTheme="majorHAnsi" w:hAnsiTheme="majorHAnsi" w:cs="Times New Roman"/>
          <w:b/>
          <w:color w:val="auto"/>
          <w:highlight w:val="yellow"/>
          <w:lang w:val="lt-LT"/>
        </w:rPr>
        <w:t>3</w:t>
      </w:r>
      <w:r w:rsidR="003B11E2" w:rsidRPr="00D62372">
        <w:rPr>
          <w:rFonts w:asciiTheme="majorHAnsi" w:hAnsiTheme="majorHAnsi" w:cs="Times New Roman"/>
          <w:b/>
          <w:color w:val="auto"/>
          <w:highlight w:val="yellow"/>
          <w:lang w:val="lt-LT"/>
        </w:rPr>
        <w:t xml:space="preserve"> „</w:t>
      </w:r>
      <w:r w:rsidR="006E5521" w:rsidRPr="00D62372">
        <w:rPr>
          <w:rFonts w:asciiTheme="majorHAnsi" w:hAnsiTheme="majorHAnsi" w:cs="Times New Roman"/>
          <w:b/>
          <w:color w:val="auto"/>
          <w:highlight w:val="yellow"/>
          <w:lang w:val="lt-LT"/>
        </w:rPr>
        <w:t>Techninė specifikacija</w:t>
      </w:r>
      <w:r w:rsidR="003B11E2" w:rsidRPr="00D62372">
        <w:rPr>
          <w:rFonts w:asciiTheme="majorHAnsi" w:hAnsiTheme="majorHAnsi" w:cs="Times New Roman"/>
          <w:b/>
          <w:color w:val="auto"/>
          <w:highlight w:val="yellow"/>
          <w:lang w:val="lt-LT"/>
        </w:rPr>
        <w:t>“,</w:t>
      </w:r>
      <w:r w:rsidR="001B191C" w:rsidRPr="00D62372">
        <w:rPr>
          <w:rFonts w:asciiTheme="majorHAnsi" w:hAnsiTheme="majorHAnsi" w:cs="Times New Roman"/>
          <w:b/>
          <w:color w:val="auto"/>
          <w:highlight w:val="yellow"/>
          <w:lang w:val="lt-LT"/>
        </w:rPr>
        <w:t xml:space="preserve"> </w:t>
      </w:r>
      <w:r w:rsidR="006E5521" w:rsidRPr="00D62372">
        <w:rPr>
          <w:rFonts w:asciiTheme="majorHAnsi" w:hAnsiTheme="majorHAnsi" w:cs="Times New Roman"/>
          <w:b/>
          <w:color w:val="auto"/>
          <w:highlight w:val="yellow"/>
          <w:lang w:val="lt-LT"/>
        </w:rPr>
        <w:t>grafoje</w:t>
      </w:r>
      <w:r w:rsidR="003B11E2" w:rsidRPr="00D62372">
        <w:rPr>
          <w:rFonts w:asciiTheme="majorHAnsi" w:hAnsiTheme="majorHAnsi" w:cs="Times New Roman"/>
          <w:b/>
          <w:color w:val="auto"/>
          <w:highlight w:val="yellow"/>
          <w:lang w:val="lt-LT"/>
        </w:rPr>
        <w:t xml:space="preserve"> „</w:t>
      </w:r>
      <w:r w:rsidR="006E5521" w:rsidRPr="00D62372">
        <w:rPr>
          <w:rFonts w:asciiTheme="majorHAnsi" w:hAnsiTheme="majorHAnsi" w:cs="Times New Roman"/>
          <w:b/>
          <w:color w:val="auto"/>
          <w:highlight w:val="yellow"/>
          <w:lang w:val="lt-LT"/>
        </w:rPr>
        <w:t>Reikalavimų atitikimas</w:t>
      </w:r>
      <w:r w:rsidR="003B11E2" w:rsidRPr="00D62372">
        <w:rPr>
          <w:rFonts w:asciiTheme="majorHAnsi" w:hAnsiTheme="majorHAnsi" w:cs="Times New Roman"/>
          <w:b/>
          <w:color w:val="auto"/>
          <w:highlight w:val="yellow"/>
          <w:lang w:val="lt-LT"/>
        </w:rPr>
        <w:t xml:space="preserve">“ turi būti nurodytas pasiūlymo puslapis, kuriame yra atžyma; </w:t>
      </w:r>
    </w:p>
    <w:p w:rsidR="00CF2794" w:rsidRPr="00D62372" w:rsidRDefault="00CF2794" w:rsidP="00CF2794">
      <w:pPr>
        <w:pStyle w:val="Body2"/>
        <w:ind w:firstLine="720"/>
        <w:rPr>
          <w:rFonts w:asciiTheme="majorHAnsi" w:hAnsiTheme="majorHAnsi"/>
          <w:b/>
          <w:bCs/>
          <w:iCs/>
          <w:color w:val="auto"/>
          <w:highlight w:val="yellow"/>
        </w:rPr>
      </w:pPr>
      <w:r w:rsidRPr="00D62372">
        <w:rPr>
          <w:rFonts w:asciiTheme="majorHAnsi" w:hAnsiTheme="majorHAnsi"/>
          <w:b/>
          <w:bCs/>
          <w:iCs/>
          <w:color w:val="auto"/>
          <w:highlight w:val="yellow"/>
        </w:rPr>
        <w:t>Teikiant pasiūlymą Tiekėjas turi pateikti ir Techninėje specifikacijoje (3 priede) nurodytus dokumentus ir informaciją.</w:t>
      </w:r>
    </w:p>
    <w:p w:rsidR="00F455C7" w:rsidRPr="00D62372" w:rsidRDefault="00F455C7" w:rsidP="00CF2794">
      <w:pPr>
        <w:pStyle w:val="Body2"/>
        <w:ind w:firstLine="720"/>
        <w:rPr>
          <w:rFonts w:asciiTheme="majorHAnsi" w:hAnsiTheme="majorHAnsi"/>
          <w:b/>
          <w:bCs/>
          <w:iCs/>
          <w:color w:val="auto"/>
        </w:rPr>
      </w:pPr>
      <w:r w:rsidRPr="00D62372">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835323" w:rsidRPr="008D1C53" w:rsidRDefault="00835323" w:rsidP="00835323">
      <w:pPr>
        <w:pStyle w:val="Body2"/>
        <w:ind w:firstLine="709"/>
        <w:rPr>
          <w:rFonts w:asciiTheme="majorHAnsi" w:hAnsiTheme="majorHAnsi" w:cs="Times New Roman"/>
          <w:b/>
          <w:iCs/>
          <w:color w:val="auto"/>
          <w:lang w:val="lt-LT"/>
        </w:rPr>
      </w:pPr>
      <w:r w:rsidRPr="008D1C53">
        <w:rPr>
          <w:rFonts w:asciiTheme="majorHAnsi" w:hAnsiTheme="majorHAnsi" w:cs="Times New Roman"/>
          <w:color w:val="auto"/>
          <w:lang w:val="lt-LT"/>
        </w:rPr>
        <w:t xml:space="preserve">5.12. Tiekėjo pasiūlymą sudaro CVP IS priemonėmis pateiktos informacijos ir dokumentų visuma. </w:t>
      </w:r>
    </w:p>
    <w:p w:rsidR="00835323" w:rsidRPr="008D1C53" w:rsidRDefault="00835323" w:rsidP="00835323">
      <w:pPr>
        <w:pStyle w:val="Body2"/>
        <w:ind w:firstLine="709"/>
        <w:rPr>
          <w:rFonts w:asciiTheme="majorHAnsi" w:hAnsiTheme="majorHAnsi" w:cs="Times New Roman"/>
          <w:b/>
          <w:iCs/>
          <w:color w:val="auto"/>
          <w:lang w:val="lt-LT"/>
        </w:rPr>
      </w:pPr>
      <w:r w:rsidRPr="008D1C53">
        <w:rPr>
          <w:rFonts w:asciiTheme="majorHAnsi" w:hAnsiTheme="majorHAnsi" w:cs="Times New Roman"/>
          <w:lang w:val="lt-LT"/>
        </w:rPr>
        <w:t xml:space="preserve">5.13. Pasiūlymas turi </w:t>
      </w:r>
      <w:r w:rsidRPr="008D1C53">
        <w:rPr>
          <w:rFonts w:asciiTheme="majorHAnsi" w:hAnsiTheme="majorHAnsi" w:cs="Times New Roman"/>
          <w:color w:val="auto"/>
          <w:lang w:val="lt-LT"/>
        </w:rPr>
        <w:t>būti</w:t>
      </w:r>
      <w:r w:rsidRPr="008D1C53">
        <w:rPr>
          <w:rFonts w:asciiTheme="majorHAnsi" w:hAnsiTheme="majorHAnsi" w:cs="Times New Roman"/>
          <w:lang w:val="lt-LT"/>
        </w:rPr>
        <w:t xml:space="preserve"> pasirašytas parašu.</w:t>
      </w:r>
    </w:p>
    <w:p w:rsidR="00835323" w:rsidRPr="008D1C53" w:rsidRDefault="00835323" w:rsidP="00835323">
      <w:pPr>
        <w:pStyle w:val="Body2"/>
        <w:ind w:firstLine="709"/>
        <w:rPr>
          <w:rFonts w:asciiTheme="majorHAnsi" w:hAnsiTheme="majorHAnsi" w:cs="Times New Roman"/>
          <w:lang w:val="lt-LT"/>
        </w:rPr>
      </w:pPr>
      <w:r w:rsidRPr="008D1C53">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D1C53" w:rsidRDefault="00835323" w:rsidP="00835323">
      <w:pPr>
        <w:pStyle w:val="Body2"/>
        <w:ind w:firstLine="709"/>
        <w:rPr>
          <w:rFonts w:asciiTheme="majorHAnsi" w:eastAsia="Calibri" w:hAnsiTheme="majorHAnsi" w:cs="Times New Roman"/>
          <w:lang w:val="lt-LT"/>
        </w:rPr>
      </w:pPr>
      <w:r w:rsidRPr="008D1C53">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D1C53" w:rsidRDefault="00835323" w:rsidP="00835323">
      <w:pPr>
        <w:pStyle w:val="Body2"/>
        <w:ind w:firstLine="709"/>
        <w:rPr>
          <w:rFonts w:asciiTheme="majorHAnsi" w:eastAsia="Calibri" w:hAnsiTheme="majorHAnsi" w:cs="Times New Roman"/>
          <w:lang w:val="lt-LT"/>
        </w:rPr>
      </w:pPr>
      <w:r w:rsidRPr="008D1C53">
        <w:rPr>
          <w:rFonts w:asciiTheme="majorHAnsi" w:eastAsia="Calibri" w:hAnsiTheme="majorHAnsi" w:cs="Times New Roman"/>
          <w:lang w:val="lt-LT"/>
        </w:rPr>
        <w:t>2) jeigu tai pažeistų šio įstatymo Viešųju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D1C53" w:rsidRDefault="00835323" w:rsidP="00835323">
      <w:pPr>
        <w:pStyle w:val="Body2"/>
        <w:ind w:firstLine="709"/>
        <w:rPr>
          <w:rFonts w:asciiTheme="majorHAnsi" w:hAnsiTheme="majorHAnsi" w:cs="Times New Roman"/>
          <w:bCs/>
          <w:lang w:val="lt-LT"/>
        </w:rPr>
      </w:pPr>
      <w:r w:rsidRPr="008D1C53">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D1C53">
        <w:rPr>
          <w:rFonts w:asciiTheme="majorHAnsi" w:hAnsiTheme="majorHAnsi" w:cs="Times New Roman"/>
          <w:bCs/>
          <w:lang w:val="lt-LT"/>
        </w:rPr>
        <w:t>ar tiekėjo įsipareigojimai pagal su trečiaisiais asmenimis sudarytas sutartis;</w:t>
      </w:r>
    </w:p>
    <w:p w:rsidR="00835323" w:rsidRPr="008D1C53" w:rsidRDefault="00835323" w:rsidP="00835323">
      <w:pPr>
        <w:pStyle w:val="Body2"/>
        <w:ind w:firstLine="709"/>
        <w:rPr>
          <w:rFonts w:asciiTheme="majorHAnsi" w:hAnsiTheme="majorHAnsi" w:cs="Times New Roman"/>
          <w:lang w:val="lt-LT"/>
        </w:rPr>
      </w:pPr>
      <w:r w:rsidRPr="008D1C53">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D1C53" w:rsidRDefault="00835323" w:rsidP="00835323">
      <w:pPr>
        <w:pStyle w:val="Body2"/>
        <w:ind w:firstLine="709"/>
        <w:rPr>
          <w:rFonts w:asciiTheme="majorHAnsi" w:hAnsiTheme="majorHAnsi" w:cs="Times New Roman"/>
          <w:lang w:val="lt-LT"/>
        </w:rPr>
      </w:pPr>
      <w:r w:rsidRPr="008D1C53">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D1C53">
        <w:rPr>
          <w:rFonts w:asciiTheme="majorHAnsi" w:eastAsia="Calibri" w:hAnsiTheme="majorHAnsi" w:cs="Times New Roman"/>
          <w:lang w:val="lt-LT"/>
        </w:rPr>
        <w:t>3</w:t>
      </w:r>
      <w:r w:rsidRPr="008D1C53">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D1C53" w:rsidRDefault="00835323" w:rsidP="00835323">
      <w:pPr>
        <w:pStyle w:val="Body2"/>
        <w:ind w:firstLine="709"/>
        <w:rPr>
          <w:rFonts w:asciiTheme="majorHAnsi" w:hAnsiTheme="majorHAnsi" w:cs="Times New Roman"/>
          <w:lang w:val="lt-LT"/>
        </w:rPr>
      </w:pPr>
      <w:r w:rsidRPr="008D1C53">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D1C53" w:rsidRDefault="00835323" w:rsidP="00835323">
      <w:pPr>
        <w:pStyle w:val="Body2"/>
        <w:ind w:firstLine="709"/>
        <w:rPr>
          <w:rFonts w:asciiTheme="majorHAnsi" w:hAnsiTheme="majorHAnsi" w:cs="Times New Roman"/>
          <w:lang w:val="lt-LT"/>
        </w:rPr>
      </w:pPr>
      <w:r w:rsidRPr="008D1C53">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D1C53" w:rsidRDefault="00835323" w:rsidP="00034076">
      <w:pPr>
        <w:pStyle w:val="Body2"/>
        <w:ind w:firstLine="709"/>
        <w:rPr>
          <w:rFonts w:asciiTheme="majorHAnsi" w:hAnsiTheme="majorHAnsi" w:cs="Times New Roman"/>
          <w:lang w:val="lt-LT"/>
        </w:rPr>
      </w:pPr>
      <w:r w:rsidRPr="008D1C53">
        <w:rPr>
          <w:rFonts w:asciiTheme="majorHAnsi" w:hAnsiTheme="majorHAnsi" w:cs="Times New Roman"/>
          <w:lang w:val="lt-LT"/>
        </w:rPr>
        <w:lastRenderedPageBreak/>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D1C53"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4"/>
      <w:bookmarkEnd w:id="25"/>
      <w:r w:rsidRPr="008D1C53">
        <w:rPr>
          <w:rFonts w:asciiTheme="majorHAnsi" w:hAnsiTheme="majorHAnsi"/>
          <w:b/>
          <w:sz w:val="22"/>
          <w:szCs w:val="22"/>
        </w:rPr>
        <w:t xml:space="preserve">6. </w:t>
      </w:r>
      <w:r w:rsidR="00984FAD" w:rsidRPr="008D1C53">
        <w:rPr>
          <w:rFonts w:asciiTheme="majorHAnsi" w:hAnsiTheme="majorHAnsi"/>
          <w:b/>
          <w:sz w:val="22"/>
          <w:szCs w:val="22"/>
        </w:rPr>
        <w:t>PASIŪLYMŲ ŠIFRAVIMAS</w:t>
      </w:r>
      <w:bookmarkEnd w:id="27"/>
    </w:p>
    <w:p w:rsidR="004613B4" w:rsidRPr="008D1C53" w:rsidRDefault="003F38EB" w:rsidP="004613B4">
      <w:pPr>
        <w:ind w:firstLine="709"/>
        <w:jc w:val="both"/>
        <w:rPr>
          <w:rFonts w:asciiTheme="majorHAnsi" w:hAnsiTheme="majorHAnsi"/>
          <w:sz w:val="22"/>
          <w:szCs w:val="22"/>
        </w:rPr>
      </w:pPr>
      <w:r w:rsidRPr="008D1C53">
        <w:rPr>
          <w:rFonts w:asciiTheme="majorHAnsi" w:hAnsiTheme="majorHAnsi"/>
          <w:sz w:val="22"/>
          <w:szCs w:val="22"/>
        </w:rPr>
        <w:t>6.1.</w:t>
      </w:r>
      <w:r w:rsidR="00CA17EF" w:rsidRPr="008D1C53">
        <w:rPr>
          <w:rFonts w:asciiTheme="majorHAnsi" w:hAnsiTheme="majorHAnsi"/>
          <w:sz w:val="22"/>
          <w:szCs w:val="22"/>
        </w:rPr>
        <w:t xml:space="preserve"> </w:t>
      </w:r>
      <w:r w:rsidRPr="008D1C53">
        <w:rPr>
          <w:rFonts w:asciiTheme="majorHAnsi" w:hAnsiTheme="majorHAnsi"/>
          <w:sz w:val="22"/>
          <w:szCs w:val="22"/>
        </w:rPr>
        <w:t>Tiekėjo teikiamas pasiūlymas gali būti užšifruojamas. Tiekėjas, nusprendęs pateikti užšifruotą pasiūlymą, turi:</w:t>
      </w:r>
    </w:p>
    <w:p w:rsidR="004613B4" w:rsidRPr="008D1C53" w:rsidRDefault="003F38EB" w:rsidP="004613B4">
      <w:pPr>
        <w:ind w:firstLine="709"/>
        <w:jc w:val="both"/>
        <w:rPr>
          <w:rFonts w:asciiTheme="majorHAnsi" w:hAnsiTheme="majorHAnsi"/>
          <w:sz w:val="22"/>
          <w:szCs w:val="22"/>
        </w:rPr>
      </w:pPr>
      <w:r w:rsidRPr="008D1C53">
        <w:rPr>
          <w:rFonts w:asciiTheme="majorHAnsi" w:hAnsiTheme="majorHAnsi"/>
          <w:sz w:val="22"/>
          <w:szCs w:val="22"/>
        </w:rPr>
        <w:t>6.1.1.</w:t>
      </w:r>
      <w:r w:rsidRPr="008D1C53">
        <w:rPr>
          <w:rFonts w:asciiTheme="majorHAnsi" w:hAnsiTheme="majorHAnsi"/>
          <w:sz w:val="22"/>
          <w:szCs w:val="22"/>
          <w:u w:val="single"/>
        </w:rPr>
        <w:t xml:space="preserve"> iki </w:t>
      </w:r>
      <w:r w:rsidRPr="008D1C53">
        <w:rPr>
          <w:rFonts w:asciiTheme="majorHAnsi" w:hAnsiTheme="majorHAnsi"/>
          <w:b/>
          <w:sz w:val="22"/>
          <w:szCs w:val="22"/>
          <w:u w:val="single"/>
        </w:rPr>
        <w:t>pasiūlymų pateikimo termino pabaigos</w:t>
      </w:r>
      <w:r w:rsidRPr="008D1C53">
        <w:rPr>
          <w:rFonts w:asciiTheme="majorHAnsi" w:hAnsiTheme="majorHAnsi"/>
          <w:b/>
          <w:sz w:val="22"/>
          <w:szCs w:val="22"/>
        </w:rPr>
        <w:t xml:space="preserve"> </w:t>
      </w:r>
      <w:r w:rsidRPr="008D1C53">
        <w:rPr>
          <w:rFonts w:asciiTheme="majorHAnsi" w:hAnsiTheme="majorHAnsi"/>
          <w:sz w:val="22"/>
          <w:szCs w:val="22"/>
        </w:rPr>
        <w:t xml:space="preserve">naudodamasis CVP IS priemonėmis  </w:t>
      </w:r>
      <w:r w:rsidRPr="008D1C53">
        <w:rPr>
          <w:rFonts w:asciiTheme="majorHAnsi" w:hAnsiTheme="majorHAnsi"/>
          <w:iCs/>
          <w:sz w:val="22"/>
          <w:szCs w:val="22"/>
        </w:rPr>
        <w:t xml:space="preserve">pateikti užšifruotą pasiūlymą (užšifruojamas </w:t>
      </w:r>
      <w:r w:rsidRPr="008D1C53">
        <w:rPr>
          <w:rFonts w:asciiTheme="majorHAnsi" w:hAnsiTheme="majorHAnsi"/>
          <w:sz w:val="22"/>
          <w:szCs w:val="22"/>
        </w:rPr>
        <w:t>visas pasiūlymas arba pasiūlymo dokumentas, kuriame nurodyta pasiūlymo kaina)</w:t>
      </w:r>
      <w:r w:rsidRPr="008D1C53">
        <w:rPr>
          <w:rFonts w:asciiTheme="majorHAnsi" w:hAnsiTheme="majorHAnsi"/>
          <w:iCs/>
          <w:sz w:val="22"/>
          <w:szCs w:val="22"/>
        </w:rPr>
        <w:t xml:space="preserve">. </w:t>
      </w:r>
    </w:p>
    <w:p w:rsidR="004613B4" w:rsidRPr="008D1C53" w:rsidRDefault="003F38EB" w:rsidP="004613B4">
      <w:pPr>
        <w:ind w:firstLine="709"/>
        <w:jc w:val="both"/>
        <w:rPr>
          <w:rFonts w:asciiTheme="majorHAnsi" w:hAnsiTheme="majorHAnsi"/>
          <w:sz w:val="22"/>
          <w:szCs w:val="22"/>
        </w:rPr>
      </w:pPr>
      <w:r w:rsidRPr="008D1C53">
        <w:rPr>
          <w:rFonts w:asciiTheme="majorHAnsi" w:hAnsiTheme="majorHAnsi"/>
          <w:sz w:val="22"/>
          <w:szCs w:val="22"/>
        </w:rPr>
        <w:t xml:space="preserve">6.1.2. </w:t>
      </w:r>
      <w:r w:rsidRPr="008D1C53">
        <w:rPr>
          <w:rFonts w:asciiTheme="majorHAnsi" w:hAnsiTheme="majorHAnsi"/>
          <w:b/>
          <w:sz w:val="22"/>
          <w:szCs w:val="22"/>
        </w:rPr>
        <w:t xml:space="preserve">iki pirminio susipažinimo su CVP IS priemonėmis pateiktais pasiūlymais procedūros (posėdžio) pradžios </w:t>
      </w:r>
      <w:r w:rsidRPr="008D1C53">
        <w:rPr>
          <w:rFonts w:asciiTheme="majorHAnsi" w:hAnsiTheme="majorHAnsi"/>
          <w:b/>
          <w:sz w:val="22"/>
          <w:szCs w:val="22"/>
          <w:u w:val="single"/>
        </w:rPr>
        <w:t>CVP IS susirašinėjimo priemonėmis</w:t>
      </w:r>
      <w:r w:rsidRPr="008D1C53">
        <w:rPr>
          <w:rFonts w:asciiTheme="majorHAnsi" w:hAnsiTheme="majorHAnsi"/>
          <w:sz w:val="22"/>
          <w:szCs w:val="22"/>
        </w:rPr>
        <w:t xml:space="preserve"> pateikti slaptažodį,  su kuriuo perkančioji organizacija galės iššifruoti pateiktą pasiūlymą. </w:t>
      </w:r>
      <w:r w:rsidRPr="008D1C53">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r w:rsidR="001F29D0" w:rsidRPr="008D1C53">
        <w:rPr>
          <w:rFonts w:asciiTheme="majorHAnsi" w:hAnsiTheme="majorHAnsi"/>
          <w:sz w:val="22"/>
          <w:szCs w:val="22"/>
          <w:lang w:eastAsia="lt-LT"/>
        </w:rPr>
        <w:t>monika.vaitkeviciute</w:t>
      </w:r>
      <w:r w:rsidRPr="008D1C53">
        <w:rPr>
          <w:rFonts w:asciiTheme="majorHAnsi" w:hAnsiTheme="majorHAnsi"/>
          <w:sz w:val="22"/>
          <w:szCs w:val="22"/>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D1C53" w:rsidRDefault="003F38EB" w:rsidP="004613B4">
      <w:pPr>
        <w:ind w:firstLine="709"/>
        <w:jc w:val="both"/>
        <w:rPr>
          <w:rFonts w:asciiTheme="majorHAnsi" w:hAnsiTheme="majorHAnsi"/>
          <w:sz w:val="22"/>
          <w:szCs w:val="22"/>
        </w:rPr>
      </w:pPr>
      <w:r w:rsidRPr="008D1C53">
        <w:rPr>
          <w:rFonts w:asciiTheme="majorHAnsi" w:hAnsiTheme="majorHAnsi"/>
          <w:sz w:val="22"/>
          <w:szCs w:val="22"/>
          <w:lang w:eastAsia="lt-LT"/>
        </w:rPr>
        <w:t xml:space="preserve">6.2. Tiekėjui užšifravus visą pasiūlymą ir </w:t>
      </w:r>
      <w:r w:rsidRPr="008D1C53">
        <w:rPr>
          <w:rFonts w:asciiTheme="majorHAnsi" w:hAnsiTheme="majorHAnsi"/>
          <w:sz w:val="22"/>
          <w:szCs w:val="22"/>
        </w:rPr>
        <w:t xml:space="preserve">pirminio susipažinimo su CVP IS priemonėmis pateiktais pasiūlymais procedūros (posėdžio) pradžios </w:t>
      </w:r>
      <w:r w:rsidRPr="008D1C53">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D1C53">
        <w:rPr>
          <w:rFonts w:asciiTheme="majorHAnsi" w:hAnsiTheme="majorHAnsi"/>
          <w:sz w:val="22"/>
          <w:szCs w:val="22"/>
        </w:rPr>
        <w:t>neatitinkantį pirkimo dokumentuose nustatytų reikalavimų (tiekėjas nepateikė pasiūlymo kainos)</w:t>
      </w:r>
      <w:r w:rsidRPr="008D1C53">
        <w:rPr>
          <w:rFonts w:asciiTheme="majorHAnsi" w:hAnsiTheme="majorHAnsi"/>
          <w:sz w:val="22"/>
          <w:szCs w:val="22"/>
          <w:lang w:eastAsia="lt-LT"/>
        </w:rPr>
        <w:t>.</w:t>
      </w:r>
    </w:p>
    <w:p w:rsidR="00FA6063" w:rsidRPr="008D1C53" w:rsidRDefault="00FA6063" w:rsidP="00694D87">
      <w:pPr>
        <w:ind w:firstLine="1152"/>
        <w:jc w:val="both"/>
        <w:rPr>
          <w:rFonts w:asciiTheme="majorHAnsi" w:hAnsiTheme="majorHAnsi"/>
          <w:b/>
          <w:sz w:val="22"/>
          <w:szCs w:val="22"/>
          <w:u w:val="single"/>
        </w:rPr>
      </w:pPr>
    </w:p>
    <w:p w:rsidR="001C0ED8" w:rsidRPr="008D1C53"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D1C53">
        <w:rPr>
          <w:rFonts w:asciiTheme="majorHAnsi" w:hAnsiTheme="majorHAnsi"/>
          <w:b/>
          <w:sz w:val="22"/>
          <w:szCs w:val="22"/>
        </w:rPr>
        <w:t xml:space="preserve">7. </w:t>
      </w:r>
      <w:r w:rsidR="001C0ED8" w:rsidRPr="008D1C53">
        <w:rPr>
          <w:rFonts w:asciiTheme="majorHAnsi" w:hAnsiTheme="majorHAnsi"/>
          <w:b/>
          <w:sz w:val="22"/>
          <w:szCs w:val="22"/>
        </w:rPr>
        <w:t>PASIŪLYMŲ GALIOJIMO UŽTIKRINIMAS</w:t>
      </w:r>
      <w:bookmarkEnd w:id="28"/>
    </w:p>
    <w:p w:rsidR="00FD4006" w:rsidRPr="008D1C53" w:rsidRDefault="00FD4006" w:rsidP="00FD4006">
      <w:pPr>
        <w:rPr>
          <w:rFonts w:asciiTheme="majorHAnsi" w:hAnsiTheme="majorHAnsi"/>
          <w:sz w:val="22"/>
          <w:szCs w:val="22"/>
        </w:rPr>
      </w:pPr>
    </w:p>
    <w:p w:rsidR="001C0ED8" w:rsidRPr="008D1C53" w:rsidRDefault="002A13B2" w:rsidP="004613B4">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7</w:t>
      </w:r>
      <w:r w:rsidR="001C0ED8" w:rsidRPr="008D1C53">
        <w:rPr>
          <w:rFonts w:asciiTheme="majorHAnsi" w:hAnsiTheme="majorHAnsi" w:cs="Times New Roman"/>
          <w:color w:val="auto"/>
          <w:lang w:val="lt-LT"/>
        </w:rPr>
        <w:t xml:space="preserve">.1. Pasiūlymo galiojimo užtikrinimas nereikalaujamas. </w:t>
      </w:r>
    </w:p>
    <w:p w:rsidR="00306E3C" w:rsidRPr="008D1C53" w:rsidRDefault="00306E3C" w:rsidP="00306E3C">
      <w:pPr>
        <w:rPr>
          <w:rFonts w:asciiTheme="majorHAnsi" w:hAnsiTheme="majorHAnsi"/>
          <w:sz w:val="22"/>
          <w:szCs w:val="22"/>
        </w:rPr>
      </w:pPr>
    </w:p>
    <w:p w:rsidR="001C0ED8" w:rsidRPr="008D1C53"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D1C53">
        <w:rPr>
          <w:rFonts w:asciiTheme="majorHAnsi" w:hAnsiTheme="majorHAnsi"/>
          <w:b/>
          <w:sz w:val="22"/>
          <w:szCs w:val="22"/>
        </w:rPr>
        <w:t xml:space="preserve">8. </w:t>
      </w:r>
      <w:r w:rsidR="001C0ED8" w:rsidRPr="008D1C53">
        <w:rPr>
          <w:rFonts w:asciiTheme="majorHAnsi" w:hAnsiTheme="majorHAnsi"/>
          <w:b/>
          <w:sz w:val="22"/>
          <w:szCs w:val="22"/>
        </w:rPr>
        <w:t>PAVYZDŽIŲ PATEIKIMAS</w:t>
      </w:r>
      <w:bookmarkEnd w:id="29"/>
    </w:p>
    <w:p w:rsidR="004613B4" w:rsidRPr="008D1C53" w:rsidRDefault="004613B4" w:rsidP="006D2684">
      <w:pPr>
        <w:pStyle w:val="Body2"/>
        <w:ind w:firstLine="720"/>
        <w:rPr>
          <w:rFonts w:asciiTheme="majorHAnsi" w:hAnsiTheme="majorHAnsi" w:cs="Times New Roman"/>
          <w:color w:val="auto"/>
          <w:lang w:val="lt-LT"/>
        </w:rPr>
      </w:pPr>
      <w:r w:rsidRPr="008D1C53">
        <w:rPr>
          <w:rFonts w:asciiTheme="majorHAnsi" w:hAnsiTheme="majorHAnsi" w:cs="Times New Roman"/>
          <w:color w:val="auto"/>
          <w:lang w:val="lt-LT"/>
        </w:rPr>
        <w:t xml:space="preserve">8.1. </w:t>
      </w:r>
      <w:r w:rsidR="001879E1" w:rsidRPr="008D1C53">
        <w:rPr>
          <w:rFonts w:asciiTheme="majorHAnsi" w:hAnsiTheme="majorHAnsi" w:cs="Times New Roman"/>
          <w:color w:val="auto"/>
          <w:lang w:val="lt-LT"/>
        </w:rPr>
        <w:t>Netaikoma.</w:t>
      </w:r>
      <w:r w:rsidR="006D2684" w:rsidRPr="008D1C53">
        <w:rPr>
          <w:rFonts w:asciiTheme="majorHAnsi" w:hAnsiTheme="majorHAnsi" w:cs="Times New Roman"/>
          <w:color w:val="auto"/>
          <w:lang w:val="lt-LT"/>
        </w:rPr>
        <w:t xml:space="preserve"> </w:t>
      </w:r>
    </w:p>
    <w:p w:rsidR="00ED1B57" w:rsidRPr="008D1C53" w:rsidRDefault="00ED1B57" w:rsidP="004613B4">
      <w:pPr>
        <w:pStyle w:val="Body2"/>
        <w:rPr>
          <w:rFonts w:asciiTheme="majorHAnsi" w:hAnsiTheme="majorHAnsi" w:cs="Times New Roman"/>
          <w:color w:val="auto"/>
          <w:lang w:val="lt-LT"/>
        </w:rPr>
      </w:pPr>
    </w:p>
    <w:p w:rsidR="00984FAD" w:rsidRPr="008D1C53"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D1C53">
        <w:rPr>
          <w:rFonts w:asciiTheme="majorHAnsi" w:hAnsiTheme="majorHAnsi"/>
          <w:b/>
          <w:sz w:val="22"/>
          <w:szCs w:val="22"/>
        </w:rPr>
        <w:t xml:space="preserve">9. </w:t>
      </w:r>
      <w:r w:rsidR="00E154EF" w:rsidRPr="008D1C53">
        <w:rPr>
          <w:rFonts w:asciiTheme="majorHAnsi" w:hAnsiTheme="majorHAnsi"/>
          <w:b/>
          <w:sz w:val="22"/>
          <w:szCs w:val="22"/>
        </w:rPr>
        <w:t xml:space="preserve">PIRKIMO </w:t>
      </w:r>
      <w:r w:rsidR="00B55BE6" w:rsidRPr="008D1C53">
        <w:rPr>
          <w:rFonts w:asciiTheme="majorHAnsi" w:hAnsiTheme="majorHAnsi"/>
          <w:b/>
          <w:sz w:val="22"/>
          <w:szCs w:val="22"/>
        </w:rPr>
        <w:t>SĄLYGŲ</w:t>
      </w:r>
      <w:r w:rsidR="00B90A76" w:rsidRPr="008D1C53">
        <w:rPr>
          <w:rFonts w:asciiTheme="majorHAnsi" w:hAnsiTheme="majorHAnsi"/>
          <w:b/>
          <w:sz w:val="22"/>
          <w:szCs w:val="22"/>
        </w:rPr>
        <w:t xml:space="preserve"> PAAIŠKINIMAS IR PATIKSLINIMAS</w:t>
      </w:r>
      <w:bookmarkEnd w:id="30"/>
    </w:p>
    <w:p w:rsidR="00BA783E"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color w:val="auto"/>
          <w:lang w:val="lt-LT"/>
        </w:rPr>
        <w:t>9</w:t>
      </w:r>
      <w:r w:rsidR="00984FAD" w:rsidRPr="008D1C53">
        <w:rPr>
          <w:rFonts w:asciiTheme="majorHAnsi" w:hAnsiTheme="majorHAnsi" w:cs="Times New Roman"/>
          <w:color w:val="auto"/>
          <w:lang w:val="lt-LT"/>
        </w:rPr>
        <w:t>.2.</w:t>
      </w:r>
      <w:r w:rsidR="00735F0A" w:rsidRPr="008D1C53">
        <w:rPr>
          <w:rFonts w:asciiTheme="majorHAnsi" w:hAnsiTheme="majorHAnsi" w:cs="Times New Roman"/>
          <w:color w:val="auto"/>
          <w:lang w:val="lt-LT"/>
        </w:rPr>
        <w:t xml:space="preserve"> </w:t>
      </w:r>
      <w:r w:rsidR="00984FAD" w:rsidRPr="008D1C53">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D1C53">
        <w:rPr>
          <w:rFonts w:asciiTheme="majorHAnsi" w:hAnsiTheme="majorHAnsi" w:cs="Times New Roman"/>
          <w:color w:val="auto"/>
          <w:lang w:val="lt-LT"/>
        </w:rPr>
        <w:t xml:space="preserve"> </w:t>
      </w:r>
      <w:r w:rsidR="00423241" w:rsidRPr="008D1C53">
        <w:rPr>
          <w:rFonts w:asciiTheme="majorHAnsi" w:hAnsiTheme="majorHAnsi" w:cs="Times New Roman"/>
          <w:color w:val="auto"/>
          <w:lang w:val="lt-LT"/>
        </w:rPr>
        <w:t>9</w:t>
      </w:r>
      <w:r w:rsidR="00984FAD" w:rsidRPr="008D1C53">
        <w:rPr>
          <w:rFonts w:asciiTheme="majorHAnsi" w:hAnsiTheme="majorHAnsi" w:cs="Times New Roman"/>
          <w:color w:val="auto"/>
          <w:lang w:val="lt-LT"/>
        </w:rPr>
        <w:t xml:space="preserve"> dienoms iki pasiūlymų pateikimo termino pabaigos.</w:t>
      </w:r>
    </w:p>
    <w:p w:rsidR="00BA783E"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D1C53">
        <w:rPr>
          <w:rFonts w:asciiTheme="majorHAnsi" w:hAnsiTheme="majorHAnsi" w:cs="Times New Roman"/>
          <w:lang w:val="lt-LT"/>
        </w:rPr>
        <w:t xml:space="preserve">ėliau kaip likus </w:t>
      </w:r>
      <w:r w:rsidR="00423241" w:rsidRPr="008D1C53">
        <w:rPr>
          <w:rFonts w:asciiTheme="majorHAnsi" w:hAnsiTheme="majorHAnsi" w:cs="Times New Roman"/>
          <w:lang w:val="lt-LT"/>
        </w:rPr>
        <w:t>6</w:t>
      </w:r>
      <w:r w:rsidR="00984FAD" w:rsidRPr="008D1C53">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BA783E"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.5. Nesibaigus pirkimo pasiūlymų pateikimo terminui, perkančioji organizacija savo iniciatyva gali paaiškinti (pataisyti) pirkimo dokumentus CVP IS priemonėmis.</w:t>
      </w:r>
    </w:p>
    <w:p w:rsidR="00BA783E"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 xml:space="preserve">.6. Tuo atveju, kai pataisoma skelbime apie pirkimą paskelbta informacija (jei taikomas), perkančioji organizacija privalo paskelbti skelbimo apie pirkimą pataisą ir prireikus pratęsti pasiūlymų </w:t>
      </w:r>
      <w:r w:rsidR="00984FAD" w:rsidRPr="008D1C53">
        <w:rPr>
          <w:rFonts w:asciiTheme="majorHAnsi" w:hAnsiTheme="majorHAnsi" w:cs="Times New Roman"/>
          <w:lang w:val="lt-LT"/>
        </w:rPr>
        <w:lastRenderedPageBreak/>
        <w:t>pateikimo terminą protingumo kriterijų atitinkančiam terminui, per kurį tiekėjai, rengdami pasiūlymus, galėtų atsižvelgti į patikslinimus.</w:t>
      </w:r>
    </w:p>
    <w:p w:rsidR="00984FAD" w:rsidRPr="008D1C53" w:rsidRDefault="002A13B2" w:rsidP="00BA783E">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.7. Bet kokia informacija, konkurso sąlygų paaiškinimai, pranešimai ar kitas perkančiosios organizacijos ir tiekėjo susirašinėjimas yra vykdomas tik CVP IS susirašinėjimo priemonėmis.</w:t>
      </w:r>
    </w:p>
    <w:p w:rsidR="00034076" w:rsidRPr="008D1C53" w:rsidRDefault="002A13B2" w:rsidP="00034076">
      <w:pPr>
        <w:pStyle w:val="Body2"/>
        <w:ind w:firstLine="709"/>
        <w:rPr>
          <w:rFonts w:asciiTheme="majorHAnsi" w:hAnsiTheme="majorHAnsi" w:cs="Times New Roman"/>
          <w:lang w:val="lt-LT"/>
        </w:rPr>
      </w:pPr>
      <w:r w:rsidRPr="008D1C53">
        <w:rPr>
          <w:rFonts w:asciiTheme="majorHAnsi" w:hAnsiTheme="majorHAnsi" w:cs="Times New Roman"/>
          <w:lang w:val="lt-LT"/>
        </w:rPr>
        <w:t>9</w:t>
      </w:r>
      <w:r w:rsidR="00984FAD" w:rsidRPr="008D1C53">
        <w:rPr>
          <w:rFonts w:asciiTheme="majorHAnsi" w:hAnsiTheme="majorHAnsi" w:cs="Times New Roman"/>
          <w:lang w:val="lt-LT"/>
        </w:rPr>
        <w:t xml:space="preserve">.8. Perkančioji organizacija </w:t>
      </w:r>
      <w:r w:rsidR="00141203" w:rsidRPr="008D1C53">
        <w:rPr>
          <w:rFonts w:asciiTheme="majorHAnsi" w:hAnsiTheme="majorHAnsi" w:cs="Times New Roman"/>
          <w:lang w:val="lt-LT"/>
        </w:rPr>
        <w:t>nenumato, tačiau pasilieka teisę savo sprendimu</w:t>
      </w:r>
      <w:r w:rsidR="00984FAD" w:rsidRPr="008D1C53">
        <w:rPr>
          <w:rFonts w:asciiTheme="majorHAnsi" w:hAnsiTheme="majorHAnsi" w:cs="Times New Roman"/>
          <w:lang w:val="lt-LT"/>
        </w:rPr>
        <w:t xml:space="preserve"> rengti susitikimų su tiekėjais dėl pirkimo dokumentų paaiškinimų.</w:t>
      </w:r>
    </w:p>
    <w:p w:rsidR="00B90A76" w:rsidRPr="008D1C53"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6"/>
      <w:bookmarkEnd w:id="31"/>
      <w:bookmarkEnd w:id="32"/>
      <w:bookmarkEnd w:id="33"/>
      <w:r w:rsidRPr="008D1C53">
        <w:rPr>
          <w:rFonts w:asciiTheme="majorHAnsi" w:hAnsiTheme="majorHAnsi"/>
          <w:b/>
          <w:sz w:val="22"/>
          <w:szCs w:val="22"/>
          <w:lang w:eastAsia="lt-LT"/>
        </w:rPr>
        <w:t xml:space="preserve">10. </w:t>
      </w:r>
      <w:r w:rsidR="00B90A76" w:rsidRPr="008D1C53">
        <w:rPr>
          <w:rFonts w:asciiTheme="majorHAnsi" w:hAnsiTheme="majorHAnsi"/>
          <w:b/>
          <w:sz w:val="22"/>
          <w:szCs w:val="22"/>
          <w:lang w:eastAsia="lt-LT"/>
        </w:rPr>
        <w:t>SUSIPAŽINIMO SU DALYVIŲ PASIŪLYMAIS PROCEDŪROS</w:t>
      </w:r>
      <w:bookmarkEnd w:id="34"/>
      <w:bookmarkEnd w:id="35"/>
    </w:p>
    <w:p w:rsidR="00C268CE" w:rsidRPr="008D1C53" w:rsidRDefault="002A13B2" w:rsidP="007E76A9">
      <w:pPr>
        <w:ind w:firstLine="709"/>
        <w:jc w:val="both"/>
        <w:rPr>
          <w:rFonts w:asciiTheme="majorHAnsi" w:hAnsiTheme="majorHAnsi"/>
          <w:i/>
          <w:sz w:val="22"/>
          <w:szCs w:val="22"/>
        </w:rPr>
      </w:pPr>
      <w:r w:rsidRPr="008D1C53">
        <w:rPr>
          <w:rFonts w:asciiTheme="majorHAnsi" w:hAnsiTheme="majorHAnsi"/>
          <w:sz w:val="22"/>
          <w:szCs w:val="22"/>
        </w:rPr>
        <w:t>10</w:t>
      </w:r>
      <w:r w:rsidR="00C268CE" w:rsidRPr="008D1C53">
        <w:rPr>
          <w:rFonts w:asciiTheme="majorHAnsi" w:hAnsiTheme="majorHAnsi"/>
          <w:sz w:val="22"/>
          <w:szCs w:val="22"/>
        </w:rPr>
        <w:t xml:space="preserve">.1. </w:t>
      </w:r>
      <w:r w:rsidR="00C268CE" w:rsidRPr="008D1C53">
        <w:rPr>
          <w:rFonts w:asciiTheme="majorHAnsi" w:hAnsiTheme="majorHAnsi"/>
          <w:iCs/>
          <w:sz w:val="22"/>
          <w:szCs w:val="22"/>
        </w:rPr>
        <w:t>Susipažinim</w:t>
      </w:r>
      <w:r w:rsidR="006E5521" w:rsidRPr="008D1C53">
        <w:rPr>
          <w:rFonts w:asciiTheme="majorHAnsi" w:hAnsiTheme="majorHAnsi"/>
          <w:iCs/>
          <w:sz w:val="22"/>
          <w:szCs w:val="22"/>
        </w:rPr>
        <w:t>as</w:t>
      </w:r>
      <w:r w:rsidR="00C268CE" w:rsidRPr="008D1C53">
        <w:rPr>
          <w:rFonts w:asciiTheme="majorHAnsi" w:hAnsiTheme="majorHAnsi"/>
          <w:iCs/>
          <w:sz w:val="22"/>
          <w:szCs w:val="22"/>
        </w:rPr>
        <w:t xml:space="preserve"> su pasiūlymais įvyks</w:t>
      </w:r>
      <w:r w:rsidR="00015CD8" w:rsidRPr="008D1C53">
        <w:rPr>
          <w:rFonts w:asciiTheme="majorHAnsi" w:hAnsiTheme="majorHAnsi"/>
          <w:iCs/>
          <w:sz w:val="22"/>
          <w:szCs w:val="22"/>
        </w:rPr>
        <w:t xml:space="preserve"> </w:t>
      </w:r>
      <w:r w:rsidR="00C268CE" w:rsidRPr="008D1C53">
        <w:rPr>
          <w:rFonts w:asciiTheme="majorHAnsi" w:hAnsiTheme="majorHAnsi"/>
          <w:sz w:val="22"/>
          <w:szCs w:val="22"/>
        </w:rPr>
        <w:t>Lietuvos sveikatos mokslų universiteto ligoninėje Kauno klinikos, Eivenių g. 2, LT-50161 Kaunas, Paslaugų centras, III aukštas, „Viešų</w:t>
      </w:r>
      <w:r w:rsidR="003744E6" w:rsidRPr="008D1C53">
        <w:rPr>
          <w:rFonts w:asciiTheme="majorHAnsi" w:hAnsiTheme="majorHAnsi"/>
          <w:sz w:val="22"/>
          <w:szCs w:val="22"/>
        </w:rPr>
        <w:t>jų pirkimų tarnyba“</w:t>
      </w:r>
      <w:r w:rsidR="00C268CE" w:rsidRPr="008D1C53">
        <w:rPr>
          <w:rFonts w:asciiTheme="majorHAnsi" w:hAnsiTheme="majorHAnsi"/>
          <w:sz w:val="22"/>
          <w:szCs w:val="22"/>
        </w:rPr>
        <w:t xml:space="preserve">, </w:t>
      </w:r>
      <w:r w:rsidR="001132A8" w:rsidRPr="008D1C53">
        <w:rPr>
          <w:rFonts w:asciiTheme="majorHAnsi" w:hAnsiTheme="majorHAnsi"/>
          <w:b/>
          <w:iCs/>
          <w:sz w:val="22"/>
          <w:szCs w:val="22"/>
        </w:rPr>
        <w:t>20</w:t>
      </w:r>
      <w:r w:rsidR="007378CA" w:rsidRPr="008D1C53">
        <w:rPr>
          <w:rFonts w:asciiTheme="majorHAnsi" w:hAnsiTheme="majorHAnsi"/>
          <w:b/>
          <w:iCs/>
          <w:sz w:val="22"/>
          <w:szCs w:val="22"/>
        </w:rPr>
        <w:t>2</w:t>
      </w:r>
      <w:r w:rsidR="0096326E">
        <w:rPr>
          <w:rFonts w:asciiTheme="majorHAnsi" w:hAnsiTheme="majorHAnsi"/>
          <w:b/>
          <w:iCs/>
          <w:sz w:val="22"/>
          <w:szCs w:val="22"/>
        </w:rPr>
        <w:t>5</w:t>
      </w:r>
      <w:r w:rsidR="001132A8" w:rsidRPr="008D1C53">
        <w:rPr>
          <w:rFonts w:asciiTheme="majorHAnsi" w:hAnsiTheme="majorHAnsi"/>
          <w:b/>
          <w:iCs/>
          <w:sz w:val="22"/>
          <w:szCs w:val="22"/>
        </w:rPr>
        <w:t xml:space="preserve"> m. </w:t>
      </w:r>
      <w:r w:rsidR="0096326E">
        <w:rPr>
          <w:rFonts w:asciiTheme="majorHAnsi" w:hAnsiTheme="majorHAnsi"/>
          <w:b/>
          <w:iCs/>
          <w:sz w:val="22"/>
          <w:szCs w:val="22"/>
        </w:rPr>
        <w:t>sausio</w:t>
      </w:r>
      <w:r w:rsidR="007378CA" w:rsidRPr="008D1C53">
        <w:rPr>
          <w:rFonts w:asciiTheme="majorHAnsi" w:hAnsiTheme="majorHAnsi"/>
          <w:b/>
          <w:iCs/>
          <w:sz w:val="22"/>
          <w:szCs w:val="22"/>
        </w:rPr>
        <w:t xml:space="preserve"> </w:t>
      </w:r>
      <w:r w:rsidR="00D62372">
        <w:rPr>
          <w:rFonts w:asciiTheme="majorHAnsi" w:hAnsiTheme="majorHAnsi"/>
          <w:b/>
          <w:iCs/>
          <w:sz w:val="22"/>
          <w:szCs w:val="22"/>
        </w:rPr>
        <w:t>21</w:t>
      </w:r>
      <w:r w:rsidR="00887D9A" w:rsidRPr="008D1C53">
        <w:rPr>
          <w:rFonts w:asciiTheme="majorHAnsi" w:hAnsiTheme="majorHAnsi"/>
          <w:b/>
          <w:iCs/>
          <w:sz w:val="22"/>
          <w:szCs w:val="22"/>
        </w:rPr>
        <w:t xml:space="preserve"> </w:t>
      </w:r>
      <w:r w:rsidR="00E257E7" w:rsidRPr="008D1C53">
        <w:rPr>
          <w:rFonts w:asciiTheme="majorHAnsi" w:hAnsiTheme="majorHAnsi"/>
          <w:b/>
          <w:iCs/>
          <w:sz w:val="22"/>
          <w:szCs w:val="22"/>
        </w:rPr>
        <w:t xml:space="preserve">d. </w:t>
      </w:r>
      <w:r w:rsidR="00604E72" w:rsidRPr="008D1C53">
        <w:rPr>
          <w:rFonts w:asciiTheme="majorHAnsi" w:hAnsiTheme="majorHAnsi"/>
          <w:b/>
          <w:iCs/>
          <w:sz w:val="22"/>
          <w:szCs w:val="22"/>
        </w:rPr>
        <w:t>11</w:t>
      </w:r>
      <w:r w:rsidR="009F602E" w:rsidRPr="008D1C53">
        <w:rPr>
          <w:rFonts w:asciiTheme="majorHAnsi" w:hAnsiTheme="majorHAnsi"/>
          <w:b/>
          <w:iCs/>
          <w:sz w:val="22"/>
          <w:szCs w:val="22"/>
        </w:rPr>
        <w:t xml:space="preserve"> </w:t>
      </w:r>
      <w:r w:rsidR="00C268CE" w:rsidRPr="008D1C53">
        <w:rPr>
          <w:rFonts w:asciiTheme="majorHAnsi" w:hAnsiTheme="majorHAnsi"/>
          <w:b/>
          <w:iCs/>
          <w:sz w:val="22"/>
          <w:szCs w:val="22"/>
        </w:rPr>
        <w:t xml:space="preserve">val. </w:t>
      </w:r>
      <w:r w:rsidR="0096326E">
        <w:rPr>
          <w:rFonts w:asciiTheme="majorHAnsi" w:hAnsiTheme="majorHAnsi"/>
          <w:b/>
          <w:iCs/>
          <w:sz w:val="22"/>
          <w:szCs w:val="22"/>
        </w:rPr>
        <w:t>30</w:t>
      </w:r>
      <w:r w:rsidR="00C268CE" w:rsidRPr="008D1C53">
        <w:rPr>
          <w:rFonts w:asciiTheme="majorHAnsi" w:hAnsiTheme="majorHAnsi"/>
          <w:b/>
          <w:iCs/>
          <w:sz w:val="22"/>
          <w:szCs w:val="22"/>
        </w:rPr>
        <w:t xml:space="preserve"> min.</w:t>
      </w:r>
      <w:r w:rsidR="000F2263" w:rsidRPr="008D1C53">
        <w:rPr>
          <w:rFonts w:asciiTheme="majorHAnsi" w:hAnsiTheme="majorHAnsi"/>
          <w:b/>
          <w:iCs/>
          <w:sz w:val="22"/>
          <w:szCs w:val="22"/>
        </w:rPr>
        <w:t xml:space="preserve"> </w:t>
      </w:r>
      <w:r w:rsidR="00C268CE" w:rsidRPr="008D1C53">
        <w:rPr>
          <w:rFonts w:asciiTheme="majorHAnsi" w:hAnsiTheme="majorHAnsi"/>
          <w:iCs/>
          <w:sz w:val="22"/>
          <w:szCs w:val="22"/>
          <w:u w:val="single"/>
        </w:rPr>
        <w:t xml:space="preserve">Jei pasiūlymas teikiamas šifruotas, slaptažodis turi būti pateiktas </w:t>
      </w:r>
      <w:r w:rsidR="00C268CE" w:rsidRPr="008D1C53">
        <w:rPr>
          <w:rFonts w:asciiTheme="majorHAnsi" w:hAnsiTheme="majorHAnsi"/>
          <w:b/>
          <w:iCs/>
          <w:sz w:val="22"/>
          <w:szCs w:val="22"/>
          <w:u w:val="single"/>
        </w:rPr>
        <w:t>20</w:t>
      </w:r>
      <w:r w:rsidR="00366980" w:rsidRPr="008D1C53">
        <w:rPr>
          <w:rFonts w:asciiTheme="majorHAnsi" w:hAnsiTheme="majorHAnsi"/>
          <w:b/>
          <w:iCs/>
          <w:sz w:val="22"/>
          <w:szCs w:val="22"/>
          <w:u w:val="single"/>
        </w:rPr>
        <w:t>2</w:t>
      </w:r>
      <w:r w:rsidR="0096326E">
        <w:rPr>
          <w:rFonts w:asciiTheme="majorHAnsi" w:hAnsiTheme="majorHAnsi"/>
          <w:b/>
          <w:iCs/>
          <w:sz w:val="22"/>
          <w:szCs w:val="22"/>
          <w:u w:val="single"/>
        </w:rPr>
        <w:t>5</w:t>
      </w:r>
      <w:r w:rsidR="00C268CE" w:rsidRPr="008D1C53">
        <w:rPr>
          <w:rFonts w:asciiTheme="majorHAnsi" w:hAnsiTheme="majorHAnsi"/>
          <w:b/>
          <w:iCs/>
          <w:sz w:val="22"/>
          <w:szCs w:val="22"/>
          <w:u w:val="single"/>
        </w:rPr>
        <w:t xml:space="preserve"> m. </w:t>
      </w:r>
      <w:r w:rsidR="0096326E">
        <w:rPr>
          <w:rFonts w:asciiTheme="majorHAnsi" w:hAnsiTheme="majorHAnsi"/>
          <w:b/>
          <w:iCs/>
          <w:sz w:val="22"/>
          <w:szCs w:val="22"/>
          <w:u w:val="single"/>
        </w:rPr>
        <w:t>sausio</w:t>
      </w:r>
      <w:r w:rsidR="00000944" w:rsidRPr="008D1C53">
        <w:rPr>
          <w:rFonts w:asciiTheme="majorHAnsi" w:hAnsiTheme="majorHAnsi"/>
          <w:b/>
          <w:iCs/>
          <w:sz w:val="22"/>
          <w:szCs w:val="22"/>
          <w:u w:val="single"/>
        </w:rPr>
        <w:t xml:space="preserve"> </w:t>
      </w:r>
      <w:r w:rsidR="00D62372">
        <w:rPr>
          <w:rFonts w:asciiTheme="majorHAnsi" w:hAnsiTheme="majorHAnsi"/>
          <w:b/>
          <w:iCs/>
          <w:sz w:val="22"/>
          <w:szCs w:val="22"/>
          <w:u w:val="single"/>
        </w:rPr>
        <w:t>21</w:t>
      </w:r>
      <w:r w:rsidR="007378CA" w:rsidRPr="008D1C53">
        <w:rPr>
          <w:rFonts w:asciiTheme="majorHAnsi" w:hAnsiTheme="majorHAnsi"/>
          <w:b/>
          <w:iCs/>
          <w:sz w:val="22"/>
          <w:szCs w:val="22"/>
          <w:u w:val="single"/>
        </w:rPr>
        <w:t xml:space="preserve"> </w:t>
      </w:r>
      <w:r w:rsidR="00C268CE" w:rsidRPr="008D1C53">
        <w:rPr>
          <w:rFonts w:asciiTheme="majorHAnsi" w:hAnsiTheme="majorHAnsi"/>
          <w:b/>
          <w:iCs/>
          <w:sz w:val="22"/>
          <w:szCs w:val="22"/>
          <w:u w:val="single"/>
        </w:rPr>
        <w:t>d.</w:t>
      </w:r>
      <w:r w:rsidR="00C268CE" w:rsidRPr="008D1C53">
        <w:rPr>
          <w:rFonts w:asciiTheme="majorHAnsi" w:hAnsiTheme="majorHAnsi"/>
          <w:iCs/>
          <w:sz w:val="22"/>
          <w:szCs w:val="22"/>
          <w:u w:val="single"/>
        </w:rPr>
        <w:t xml:space="preserve"> intervale </w:t>
      </w:r>
      <w:r w:rsidR="00604E72" w:rsidRPr="008D1C53">
        <w:rPr>
          <w:rFonts w:asciiTheme="majorHAnsi" w:hAnsiTheme="majorHAnsi"/>
          <w:b/>
          <w:iCs/>
          <w:sz w:val="22"/>
          <w:szCs w:val="22"/>
          <w:u w:val="single"/>
        </w:rPr>
        <w:t>11</w:t>
      </w:r>
      <w:r w:rsidR="00814DCD" w:rsidRPr="008D1C53">
        <w:rPr>
          <w:rFonts w:asciiTheme="majorHAnsi" w:hAnsiTheme="majorHAnsi"/>
          <w:b/>
          <w:iCs/>
          <w:sz w:val="22"/>
          <w:szCs w:val="22"/>
          <w:u w:val="single"/>
        </w:rPr>
        <w:t xml:space="preserve">.00 – </w:t>
      </w:r>
      <w:r w:rsidR="00604E72" w:rsidRPr="008D1C53">
        <w:rPr>
          <w:rFonts w:asciiTheme="majorHAnsi" w:hAnsiTheme="majorHAnsi"/>
          <w:b/>
          <w:iCs/>
          <w:sz w:val="22"/>
          <w:szCs w:val="22"/>
          <w:u w:val="single"/>
        </w:rPr>
        <w:t>11</w:t>
      </w:r>
      <w:r w:rsidR="00C268CE" w:rsidRPr="008D1C53">
        <w:rPr>
          <w:rFonts w:asciiTheme="majorHAnsi" w:hAnsiTheme="majorHAnsi"/>
          <w:b/>
          <w:iCs/>
          <w:sz w:val="22"/>
          <w:szCs w:val="22"/>
          <w:u w:val="single"/>
        </w:rPr>
        <w:t>.</w:t>
      </w:r>
      <w:r w:rsidR="0096326E">
        <w:rPr>
          <w:rFonts w:asciiTheme="majorHAnsi" w:hAnsiTheme="majorHAnsi"/>
          <w:b/>
          <w:iCs/>
          <w:sz w:val="22"/>
          <w:szCs w:val="22"/>
          <w:u w:val="single"/>
        </w:rPr>
        <w:t>30</w:t>
      </w:r>
      <w:r w:rsidR="00C268CE" w:rsidRPr="008D1C53">
        <w:rPr>
          <w:rFonts w:asciiTheme="majorHAnsi" w:hAnsiTheme="majorHAnsi"/>
          <w:b/>
          <w:iCs/>
          <w:sz w:val="22"/>
          <w:szCs w:val="22"/>
          <w:u w:val="single"/>
        </w:rPr>
        <w:t xml:space="preserve"> val.</w:t>
      </w:r>
      <w:r w:rsidR="003744E6" w:rsidRPr="008D1C53">
        <w:rPr>
          <w:rFonts w:asciiTheme="majorHAnsi" w:hAnsiTheme="majorHAnsi"/>
          <w:iCs/>
          <w:sz w:val="22"/>
          <w:szCs w:val="22"/>
          <w:u w:val="single"/>
        </w:rPr>
        <w:t xml:space="preserve"> (žr. </w:t>
      </w:r>
      <w:r w:rsidR="00847EAF" w:rsidRPr="008D1C53">
        <w:rPr>
          <w:rFonts w:asciiTheme="majorHAnsi" w:hAnsiTheme="majorHAnsi"/>
          <w:iCs/>
          <w:sz w:val="22"/>
          <w:szCs w:val="22"/>
          <w:u w:val="single"/>
        </w:rPr>
        <w:t>6</w:t>
      </w:r>
      <w:r w:rsidR="00C268CE" w:rsidRPr="008D1C53">
        <w:rPr>
          <w:rFonts w:asciiTheme="majorHAnsi" w:hAnsiTheme="majorHAnsi"/>
          <w:iCs/>
          <w:sz w:val="22"/>
          <w:szCs w:val="22"/>
          <w:u w:val="single"/>
        </w:rPr>
        <w:t xml:space="preserve"> skyrių „Pasiūlymų šifravimas“).</w:t>
      </w:r>
    </w:p>
    <w:p w:rsidR="00C268CE" w:rsidRPr="008D1C53" w:rsidRDefault="002A13B2" w:rsidP="007E76A9">
      <w:pPr>
        <w:pStyle w:val="Body2"/>
        <w:ind w:firstLine="709"/>
        <w:rPr>
          <w:rFonts w:asciiTheme="majorHAnsi" w:hAnsiTheme="majorHAnsi" w:cs="Times New Roman"/>
          <w:lang w:val="lt-LT"/>
        </w:rPr>
      </w:pPr>
      <w:r w:rsidRPr="008D1C53">
        <w:rPr>
          <w:rFonts w:asciiTheme="majorHAnsi" w:hAnsiTheme="majorHAnsi" w:cs="Times New Roman"/>
          <w:lang w:val="lt-LT"/>
        </w:rPr>
        <w:t>10</w:t>
      </w:r>
      <w:r w:rsidR="00C268CE" w:rsidRPr="008D1C53">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D1C53" w:rsidRDefault="00837AE4" w:rsidP="00C268CE">
      <w:pPr>
        <w:pStyle w:val="Body2"/>
        <w:rPr>
          <w:rFonts w:asciiTheme="majorHAnsi" w:hAnsiTheme="majorHAnsi" w:cs="Times New Roman"/>
          <w:lang w:val="lt-LT"/>
        </w:rPr>
      </w:pPr>
    </w:p>
    <w:p w:rsidR="00B90A76" w:rsidRPr="008D1C53" w:rsidRDefault="005B4586" w:rsidP="005661B0">
      <w:pPr>
        <w:pStyle w:val="Heading1"/>
        <w:numPr>
          <w:ilvl w:val="0"/>
          <w:numId w:val="0"/>
        </w:numPr>
        <w:spacing w:before="120" w:after="240"/>
        <w:rPr>
          <w:rFonts w:asciiTheme="majorHAnsi" w:hAnsiTheme="majorHAnsi"/>
          <w:b/>
          <w:sz w:val="22"/>
          <w:szCs w:val="22"/>
          <w:lang w:eastAsia="lt-LT"/>
        </w:rPr>
      </w:pPr>
      <w:bookmarkStart w:id="36" w:name="_Toc487805681"/>
      <w:bookmarkStart w:id="37" w:name="_Toc488054841"/>
      <w:bookmarkStart w:id="38" w:name="_Toc227136946"/>
      <w:r w:rsidRPr="008D1C53">
        <w:rPr>
          <w:rFonts w:asciiTheme="majorHAnsi" w:hAnsiTheme="majorHAnsi"/>
          <w:b/>
          <w:spacing w:val="-8"/>
          <w:sz w:val="22"/>
          <w:szCs w:val="22"/>
          <w:lang w:eastAsia="lt-LT"/>
        </w:rPr>
        <w:t xml:space="preserve">11. </w:t>
      </w:r>
      <w:r w:rsidR="00B90A76" w:rsidRPr="008D1C53">
        <w:rPr>
          <w:rFonts w:asciiTheme="majorHAnsi" w:hAnsiTheme="majorHAnsi"/>
          <w:b/>
          <w:spacing w:val="-8"/>
          <w:sz w:val="22"/>
          <w:szCs w:val="22"/>
          <w:lang w:eastAsia="lt-LT"/>
        </w:rPr>
        <w:t xml:space="preserve">PASIŪLYMŲ </w:t>
      </w:r>
      <w:r w:rsidR="00B90A76" w:rsidRPr="008D1C53">
        <w:rPr>
          <w:rFonts w:asciiTheme="majorHAnsi" w:hAnsiTheme="majorHAnsi"/>
          <w:b/>
          <w:sz w:val="22"/>
          <w:szCs w:val="22"/>
          <w:lang w:eastAsia="lt-LT"/>
        </w:rPr>
        <w:t>NAGRINĖJIMAS</w:t>
      </w:r>
      <w:bookmarkEnd w:id="36"/>
      <w:bookmarkEnd w:id="37"/>
      <w:bookmarkEnd w:id="38"/>
    </w:p>
    <w:p w:rsidR="007E76A9" w:rsidRPr="008D1C53"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D1C53">
        <w:rPr>
          <w:rFonts w:asciiTheme="majorHAnsi" w:hAnsiTheme="majorHAnsi" w:cs="Times New Roman"/>
          <w:lang w:val="lt-LT"/>
        </w:rPr>
        <w:t>11.1. Pateiktus pasiūlymus nagrinėja, vertina ir palygina Komisija šia tvarka:</w:t>
      </w:r>
    </w:p>
    <w:p w:rsidR="007E76A9" w:rsidRPr="008D1C53" w:rsidRDefault="009E513F" w:rsidP="007E76A9">
      <w:pPr>
        <w:pStyle w:val="Body2"/>
        <w:ind w:firstLine="709"/>
        <w:rPr>
          <w:rFonts w:asciiTheme="majorHAnsi" w:hAnsiTheme="majorHAnsi" w:cs="Times New Roman"/>
          <w:lang w:val="lt-LT"/>
        </w:rPr>
      </w:pPr>
      <w:r w:rsidRPr="008D1C53">
        <w:rPr>
          <w:rFonts w:asciiTheme="majorHAnsi" w:hAnsiTheme="majorHAnsi" w:cs="Times New Roman"/>
          <w:lang w:val="lt-LT"/>
        </w:rPr>
        <w:t>11.1.1. nagrinėja</w:t>
      </w:r>
      <w:r w:rsidR="00B622FD" w:rsidRPr="008D1C53">
        <w:rPr>
          <w:rFonts w:asciiTheme="majorHAnsi" w:hAnsiTheme="majorHAnsi" w:cs="Times New Roman"/>
          <w:lang w:val="lt-LT"/>
        </w:rPr>
        <w:t xml:space="preserve"> </w:t>
      </w:r>
      <w:r w:rsidRPr="008D1C53">
        <w:rPr>
          <w:rFonts w:asciiTheme="majorHAnsi" w:hAnsiTheme="majorHAnsi" w:cs="Times New Roman"/>
          <w:lang w:val="lt-LT"/>
        </w:rPr>
        <w:t>ar pasiūlymas atitinka pirkimo dokumentuose nustatytus reikalavimus, nesusijusius su pirkimo objektu;</w:t>
      </w:r>
    </w:p>
    <w:p w:rsidR="007E76A9" w:rsidRPr="008D1C53" w:rsidRDefault="009E513F" w:rsidP="007E76A9">
      <w:pPr>
        <w:pStyle w:val="Body2"/>
        <w:ind w:firstLine="709"/>
        <w:rPr>
          <w:rFonts w:asciiTheme="majorHAnsi" w:hAnsiTheme="majorHAnsi" w:cs="Times New Roman"/>
          <w:lang w:val="lt-LT"/>
        </w:rPr>
      </w:pPr>
      <w:r w:rsidRPr="008D1C53">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D1C53" w:rsidRDefault="009E513F" w:rsidP="00490F37">
      <w:pPr>
        <w:pStyle w:val="Body2"/>
        <w:ind w:firstLine="709"/>
        <w:rPr>
          <w:rFonts w:asciiTheme="majorHAnsi" w:hAnsiTheme="majorHAnsi" w:cs="Times New Roman"/>
          <w:lang w:val="lt-LT"/>
        </w:rPr>
      </w:pPr>
      <w:r w:rsidRPr="008D1C53">
        <w:rPr>
          <w:rFonts w:asciiTheme="majorHAnsi" w:hAnsiTheme="majorHAnsi" w:cs="Times New Roman"/>
          <w:lang w:val="lt-LT"/>
        </w:rPr>
        <w:t>11.1.3.</w:t>
      </w:r>
      <w:r w:rsidR="004D0987" w:rsidRPr="008D1C53">
        <w:rPr>
          <w:rFonts w:asciiTheme="majorHAnsi" w:hAnsiTheme="majorHAnsi" w:cs="Times New Roman"/>
          <w:lang w:val="lt-LT"/>
        </w:rPr>
        <w:t xml:space="preserve"> </w:t>
      </w:r>
      <w:r w:rsidR="00490F37" w:rsidRPr="008D1C53">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D1C53" w:rsidRDefault="009E513F" w:rsidP="007E76A9">
      <w:pPr>
        <w:pStyle w:val="Body2"/>
        <w:ind w:firstLine="709"/>
        <w:rPr>
          <w:rFonts w:asciiTheme="majorHAnsi" w:hAnsiTheme="majorHAnsi" w:cs="Times New Roman"/>
          <w:lang w:val="lt-LT"/>
        </w:rPr>
      </w:pPr>
      <w:r w:rsidRPr="008D1C53">
        <w:rPr>
          <w:rFonts w:asciiTheme="majorHAnsi" w:hAnsiTheme="majorHAnsi" w:cs="Times New Roman"/>
          <w:lang w:val="lt-LT"/>
        </w:rPr>
        <w:t>11.1.4.</w:t>
      </w:r>
      <w:r w:rsidR="004D0987" w:rsidRPr="008D1C53">
        <w:rPr>
          <w:rFonts w:asciiTheme="majorHAnsi" w:hAnsiTheme="majorHAnsi" w:cs="Times New Roman"/>
          <w:lang w:val="lt-LT"/>
        </w:rPr>
        <w:t xml:space="preserve"> tikrina ar tiekėjo pasiūlymas atitinka pirkimo sąlygų techninės specifikacijos </w:t>
      </w:r>
      <w:r w:rsidR="004D0987" w:rsidRPr="008D1C53">
        <w:rPr>
          <w:rFonts w:asciiTheme="majorHAnsi" w:hAnsiTheme="majorHAnsi" w:cs="Times New Roman"/>
          <w:color w:val="auto"/>
          <w:lang w:val="lt-LT"/>
        </w:rPr>
        <w:t>reikalavimus (įskaitant prekių pavyzdžius, jei taikoma);</w:t>
      </w:r>
    </w:p>
    <w:p w:rsidR="0087485D" w:rsidRPr="008D1C53" w:rsidRDefault="009E513F" w:rsidP="0087485D">
      <w:pPr>
        <w:pStyle w:val="Body2"/>
        <w:ind w:firstLine="709"/>
        <w:rPr>
          <w:rFonts w:asciiTheme="majorHAnsi" w:hAnsiTheme="majorHAnsi" w:cs="Times New Roman"/>
          <w:lang w:val="lt-LT"/>
        </w:rPr>
      </w:pPr>
      <w:r w:rsidRPr="008D1C53">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D1C53" w:rsidRDefault="009E513F" w:rsidP="007E76A9">
      <w:pPr>
        <w:pStyle w:val="Body2"/>
        <w:ind w:firstLine="709"/>
        <w:rPr>
          <w:rFonts w:asciiTheme="majorHAnsi" w:hAnsiTheme="majorHAnsi" w:cs="Times New Roman"/>
          <w:lang w:val="lt-LT"/>
        </w:rPr>
      </w:pPr>
      <w:r w:rsidRPr="008D1C53">
        <w:rPr>
          <w:rFonts w:asciiTheme="majorHAnsi" w:hAnsiTheme="majorHAnsi" w:cs="Times New Roman"/>
          <w:color w:val="auto"/>
          <w:lang w:val="lt-LT"/>
        </w:rPr>
        <w:t xml:space="preserve">11.1.6. </w:t>
      </w:r>
      <w:bookmarkStart w:id="42" w:name="_Hlk65680260"/>
      <w:r w:rsidR="00372F6F" w:rsidRPr="008D1C53">
        <w:rPr>
          <w:rFonts w:asciiTheme="majorHAnsi" w:hAnsiTheme="majorHAnsi" w:cs="Times New Roman"/>
          <w:color w:val="auto"/>
          <w:lang w:val="it-IT"/>
        </w:rPr>
        <w:t>galimo laim</w:t>
      </w:r>
      <w:r w:rsidR="00372F6F" w:rsidRPr="008D1C53">
        <w:rPr>
          <w:rFonts w:asciiTheme="majorHAnsi" w:hAnsiTheme="majorHAnsi" w:cs="Times New Roman"/>
          <w:color w:val="auto"/>
        </w:rPr>
        <w:t>ė</w:t>
      </w:r>
      <w:r w:rsidR="00372F6F" w:rsidRPr="008D1C53">
        <w:rPr>
          <w:rFonts w:asciiTheme="majorHAnsi" w:hAnsiTheme="majorHAnsi" w:cs="Times New Roman"/>
          <w:color w:val="auto"/>
          <w:lang w:val="es-ES_tradnl"/>
        </w:rPr>
        <w:t xml:space="preserve">tojo </w:t>
      </w:r>
      <w:r w:rsidR="00372F6F" w:rsidRPr="008D1C53">
        <w:rPr>
          <w:rFonts w:asciiTheme="majorHAnsi" w:hAnsiTheme="majorHAnsi" w:cs="Times New Roman"/>
          <w:color w:val="auto"/>
        </w:rPr>
        <w:t>p</w:t>
      </w:r>
      <w:r w:rsidR="00F377E8" w:rsidRPr="008D1C53">
        <w:rPr>
          <w:rFonts w:asciiTheme="majorHAnsi" w:hAnsiTheme="majorHAnsi" w:cs="Times New Roman"/>
          <w:color w:val="auto"/>
        </w:rPr>
        <w:t>rašo pateikti pirkimo sąlygų 3.8</w:t>
      </w:r>
      <w:r w:rsidR="00372F6F" w:rsidRPr="008D1C53">
        <w:rPr>
          <w:rFonts w:asciiTheme="majorHAnsi" w:hAnsiTheme="majorHAnsi" w:cs="Times New Roman"/>
          <w:color w:val="auto"/>
        </w:rPr>
        <w:t xml:space="preserve"> punkte  nurodytus dokumentus ir patikrina, ar nėra pirkimo sąlygų 3.</w:t>
      </w:r>
      <w:r w:rsidR="00F377E8" w:rsidRPr="008D1C53">
        <w:rPr>
          <w:rFonts w:asciiTheme="majorHAnsi" w:hAnsiTheme="majorHAnsi" w:cs="Times New Roman"/>
          <w:color w:val="auto"/>
        </w:rPr>
        <w:t>9.</w:t>
      </w:r>
      <w:r w:rsidR="00372F6F" w:rsidRPr="008D1C53">
        <w:rPr>
          <w:rFonts w:asciiTheme="majorHAnsi" w:hAnsiTheme="majorHAnsi" w:cs="Times New Roman"/>
          <w:color w:val="auto"/>
        </w:rPr>
        <w:t xml:space="preserve"> punkte nustatytų paš</w:t>
      </w:r>
      <w:r w:rsidR="00372F6F" w:rsidRPr="008D1C53">
        <w:rPr>
          <w:rFonts w:asciiTheme="majorHAnsi" w:hAnsiTheme="majorHAnsi" w:cs="Times New Roman"/>
          <w:color w:val="auto"/>
          <w:lang w:val="pt-PT"/>
        </w:rPr>
        <w:t>alinimo pagrind</w:t>
      </w:r>
      <w:r w:rsidR="00372F6F" w:rsidRPr="008D1C53">
        <w:rPr>
          <w:rFonts w:asciiTheme="majorHAnsi" w:hAnsiTheme="majorHAnsi" w:cs="Times New Roman"/>
          <w:color w:val="auto"/>
        </w:rPr>
        <w:t xml:space="preserve">ų, ar galimas laimėtojas </w:t>
      </w:r>
      <w:r w:rsidR="00372F6F" w:rsidRPr="008D1C53">
        <w:rPr>
          <w:rFonts w:asciiTheme="majorHAnsi" w:hAnsiTheme="majorHAnsi" w:cs="Times New Roman"/>
          <w:color w:val="auto"/>
          <w:lang w:val="it-IT"/>
        </w:rPr>
        <w:t>atitinka skelbim</w:t>
      </w:r>
      <w:r w:rsidR="006E5521" w:rsidRPr="008D1C53">
        <w:rPr>
          <w:rFonts w:asciiTheme="majorHAnsi" w:hAnsiTheme="majorHAnsi" w:cs="Times New Roman"/>
          <w:color w:val="auto"/>
          <w:lang w:val="it-IT"/>
        </w:rPr>
        <w:t>e</w:t>
      </w:r>
      <w:r w:rsidR="00372F6F" w:rsidRPr="008D1C53">
        <w:rPr>
          <w:rFonts w:asciiTheme="majorHAnsi" w:hAnsiTheme="majorHAnsi" w:cs="Times New Roman"/>
          <w:color w:val="auto"/>
          <w:lang w:val="it-IT"/>
        </w:rPr>
        <w:t xml:space="preserve"> apie pirkim</w:t>
      </w:r>
      <w:r w:rsidR="00372F6F" w:rsidRPr="008D1C53">
        <w:rPr>
          <w:rFonts w:asciiTheme="majorHAnsi" w:hAnsiTheme="majorHAnsi" w:cs="Times New Roman"/>
          <w:color w:val="auto"/>
        </w:rPr>
        <w:t>ą nurodytus kvalifikacijos reikalavimus ir reikalaujamus kokybė</w:t>
      </w:r>
      <w:r w:rsidR="00372F6F" w:rsidRPr="008D1C53">
        <w:rPr>
          <w:rFonts w:asciiTheme="majorHAnsi" w:hAnsiTheme="majorHAnsi" w:cs="Times New Roman"/>
          <w:color w:val="auto"/>
          <w:lang w:val="es-ES_tradnl"/>
        </w:rPr>
        <w:t>s vadybos sistemos ir (arba) aplinkos apsaugos vadybos sistemos standartus (</w:t>
      </w:r>
      <w:r w:rsidR="00372F6F" w:rsidRPr="008D1C53">
        <w:rPr>
          <w:rFonts w:asciiTheme="majorHAnsi" w:hAnsiTheme="majorHAnsi" w:cs="Times New Roman"/>
          <w:color w:val="auto"/>
        </w:rPr>
        <w:t>jeigu taikytina)</w:t>
      </w:r>
      <w:r w:rsidR="0053428E" w:rsidRPr="008D1C53">
        <w:rPr>
          <w:rFonts w:asciiTheme="majorHAnsi" w:hAnsiTheme="majorHAnsi" w:cs="Times New Roman"/>
          <w:color w:val="auto"/>
          <w:lang w:val="es-ES_tradnl"/>
        </w:rPr>
        <w:t>;</w:t>
      </w:r>
      <w:r w:rsidR="00372F6F" w:rsidRPr="008D1C53">
        <w:rPr>
          <w:rFonts w:asciiTheme="majorHAnsi" w:hAnsiTheme="majorHAnsi" w:cs="Times New Roman"/>
          <w:lang w:val="lt-LT"/>
        </w:rPr>
        <w:tab/>
      </w:r>
    </w:p>
    <w:p w:rsidR="0053428E" w:rsidRPr="008D1C53" w:rsidRDefault="0053428E" w:rsidP="007E76A9">
      <w:pPr>
        <w:pStyle w:val="Body2"/>
        <w:ind w:firstLine="709"/>
        <w:rPr>
          <w:rFonts w:asciiTheme="majorHAnsi" w:hAnsiTheme="majorHAnsi" w:cs="Times New Roman"/>
          <w:lang w:val="lt-LT"/>
        </w:rPr>
      </w:pPr>
      <w:r w:rsidRPr="008D1C53">
        <w:rPr>
          <w:rFonts w:asciiTheme="majorHAnsi" w:hAnsiTheme="majorHAnsi"/>
        </w:rPr>
        <w:t>11.1.7. galimo laimėtojo prašo pateikti</w:t>
      </w:r>
      <w:r w:rsidRPr="008D1C53">
        <w:rPr>
          <w:rFonts w:asciiTheme="majorHAnsi" w:hAnsiTheme="majorHAnsi"/>
          <w:color w:val="auto"/>
        </w:rPr>
        <w:t xml:space="preserve"> </w:t>
      </w:r>
      <w:r w:rsidR="00865012" w:rsidRPr="008D1C53">
        <w:rPr>
          <w:rFonts w:asciiTheme="majorHAnsi" w:hAnsiTheme="majorHAnsi"/>
          <w:color w:val="auto"/>
        </w:rPr>
        <w:t xml:space="preserve">vieną (esant poreikiui – kelis) VPĮ 39 straipsnio 3 dalyje numatytą dokumentą. </w:t>
      </w:r>
    </w:p>
    <w:bookmarkEnd w:id="42"/>
    <w:p w:rsidR="007E76A9" w:rsidRPr="008D1C53" w:rsidRDefault="00197D08" w:rsidP="007E76A9">
      <w:pPr>
        <w:pStyle w:val="Body2"/>
        <w:ind w:firstLine="709"/>
        <w:rPr>
          <w:rFonts w:asciiTheme="majorHAnsi" w:hAnsiTheme="majorHAnsi" w:cs="Times New Roman"/>
          <w:lang w:val="lt-LT"/>
        </w:rPr>
      </w:pPr>
      <w:r w:rsidRPr="008D1C53">
        <w:rPr>
          <w:rFonts w:asciiTheme="majorHAnsi" w:hAnsiTheme="majorHAnsi" w:cs="Times New Roman"/>
          <w:lang w:val="lt-LT"/>
        </w:rPr>
        <w:t>11</w:t>
      </w:r>
      <w:r w:rsidR="009E513F" w:rsidRPr="008D1C53">
        <w:rPr>
          <w:rFonts w:asciiTheme="majorHAnsi" w:hAnsiTheme="majorHAnsi" w:cs="Times New Roman"/>
          <w:lang w:val="lt-LT"/>
        </w:rPr>
        <w:t>.2</w:t>
      </w:r>
      <w:r w:rsidR="00B55BE6" w:rsidRPr="008D1C53">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8D1C53">
        <w:rPr>
          <w:rFonts w:asciiTheme="majorHAnsi" w:hAnsiTheme="majorHAnsi"/>
        </w:rPr>
        <w:t xml:space="preserve"> Pasiūlymai tikslinami, papildomi arba paaiškinami vadovaujantis Viešųjų pirkimų tarnybos nustatytomis taisyklėmis.</w:t>
      </w:r>
    </w:p>
    <w:p w:rsidR="007E76A9" w:rsidRPr="008D1C53" w:rsidRDefault="00197D08" w:rsidP="007E76A9">
      <w:pPr>
        <w:pStyle w:val="Body2"/>
        <w:ind w:firstLine="709"/>
        <w:rPr>
          <w:rFonts w:asciiTheme="majorHAnsi" w:hAnsiTheme="majorHAnsi" w:cs="Times New Roman"/>
          <w:lang w:val="lt-LT"/>
        </w:rPr>
      </w:pPr>
      <w:r w:rsidRPr="008D1C53">
        <w:rPr>
          <w:rFonts w:asciiTheme="majorHAnsi" w:hAnsiTheme="majorHAnsi" w:cs="Times New Roman"/>
          <w:lang w:val="lt-LT"/>
        </w:rPr>
        <w:t>11</w:t>
      </w:r>
      <w:r w:rsidR="009E513F" w:rsidRPr="008D1C53">
        <w:rPr>
          <w:rFonts w:asciiTheme="majorHAnsi" w:hAnsiTheme="majorHAnsi" w:cs="Times New Roman"/>
          <w:lang w:val="lt-LT"/>
        </w:rPr>
        <w:t>.3</w:t>
      </w:r>
      <w:r w:rsidR="00B55BE6" w:rsidRPr="008D1C53">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7E76A9" w:rsidRPr="008D1C53" w:rsidRDefault="00197D08" w:rsidP="007E76A9">
      <w:pPr>
        <w:pStyle w:val="Body2"/>
        <w:ind w:firstLine="709"/>
        <w:rPr>
          <w:rFonts w:asciiTheme="majorHAnsi" w:hAnsiTheme="majorHAnsi" w:cs="Times New Roman"/>
          <w:lang w:val="lt-LT"/>
        </w:rPr>
      </w:pPr>
      <w:r w:rsidRPr="008D1C53">
        <w:rPr>
          <w:rFonts w:asciiTheme="majorHAnsi" w:hAnsiTheme="majorHAnsi" w:cs="Times New Roman"/>
          <w:lang w:val="lt-LT"/>
        </w:rPr>
        <w:lastRenderedPageBreak/>
        <w:t>11</w:t>
      </w:r>
      <w:r w:rsidR="009E513F" w:rsidRPr="008D1C53">
        <w:rPr>
          <w:rFonts w:asciiTheme="majorHAnsi" w:hAnsiTheme="majorHAnsi" w:cs="Times New Roman"/>
          <w:lang w:val="lt-LT"/>
        </w:rPr>
        <w:t>.4</w:t>
      </w:r>
      <w:r w:rsidR="00B55BE6" w:rsidRPr="008D1C53">
        <w:rPr>
          <w:rFonts w:asciiTheme="majorHAnsi" w:hAnsiTheme="majorHAnsi" w:cs="Times New Roman"/>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B55BE6" w:rsidRPr="008D1C53" w:rsidRDefault="00197D08" w:rsidP="007E76A9">
      <w:pPr>
        <w:pStyle w:val="Body2"/>
        <w:ind w:firstLine="709"/>
        <w:rPr>
          <w:rFonts w:asciiTheme="majorHAnsi" w:hAnsiTheme="majorHAnsi" w:cs="Times New Roman"/>
          <w:lang w:val="lt-LT"/>
        </w:rPr>
      </w:pPr>
      <w:r w:rsidRPr="008D1C53">
        <w:rPr>
          <w:rFonts w:asciiTheme="majorHAnsi" w:hAnsiTheme="majorHAnsi" w:cs="Times New Roman"/>
          <w:lang w:val="lt-LT"/>
        </w:rPr>
        <w:t>11</w:t>
      </w:r>
      <w:r w:rsidR="009E513F" w:rsidRPr="008D1C53">
        <w:rPr>
          <w:rFonts w:asciiTheme="majorHAnsi" w:hAnsiTheme="majorHAnsi" w:cs="Times New Roman"/>
          <w:lang w:val="lt-LT"/>
        </w:rPr>
        <w:t>.5</w:t>
      </w:r>
      <w:r w:rsidR="00B55BE6" w:rsidRPr="008D1C53">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D1C53" w:rsidRDefault="00197D08" w:rsidP="007E76A9">
      <w:pPr>
        <w:pStyle w:val="Body2"/>
        <w:ind w:firstLine="709"/>
        <w:rPr>
          <w:rFonts w:asciiTheme="majorHAnsi" w:hAnsiTheme="majorHAnsi" w:cs="Times New Roman"/>
          <w:lang w:val="lt-LT"/>
        </w:rPr>
      </w:pPr>
      <w:r w:rsidRPr="008D1C53">
        <w:rPr>
          <w:rFonts w:asciiTheme="majorHAnsi" w:hAnsiTheme="majorHAnsi" w:cs="Times New Roman"/>
          <w:lang w:val="lt-LT"/>
        </w:rPr>
        <w:t>11</w:t>
      </w:r>
      <w:r w:rsidR="009E513F" w:rsidRPr="008D1C53">
        <w:rPr>
          <w:rFonts w:asciiTheme="majorHAnsi" w:hAnsiTheme="majorHAnsi" w:cs="Times New Roman"/>
          <w:lang w:val="lt-LT"/>
        </w:rPr>
        <w:t>.6</w:t>
      </w:r>
      <w:r w:rsidR="00B55BE6" w:rsidRPr="008D1C53">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D1C53" w:rsidRDefault="00197D08" w:rsidP="007E76A9">
      <w:pPr>
        <w:pStyle w:val="Body2"/>
        <w:ind w:firstLine="709"/>
        <w:rPr>
          <w:rFonts w:asciiTheme="majorHAnsi" w:hAnsiTheme="majorHAnsi" w:cs="Times New Roman"/>
          <w:lang w:val="lt-LT"/>
        </w:rPr>
      </w:pPr>
      <w:r w:rsidRPr="008D1C53">
        <w:rPr>
          <w:rFonts w:asciiTheme="majorHAnsi" w:hAnsiTheme="majorHAnsi" w:cs="Times New Roman"/>
          <w:lang w:val="lt-LT"/>
        </w:rPr>
        <w:t>11</w:t>
      </w:r>
      <w:r w:rsidR="009E513F" w:rsidRPr="008D1C53">
        <w:rPr>
          <w:rFonts w:asciiTheme="majorHAnsi" w:hAnsiTheme="majorHAnsi" w:cs="Times New Roman"/>
          <w:lang w:val="lt-LT"/>
        </w:rPr>
        <w:t>.7</w:t>
      </w:r>
      <w:r w:rsidR="00B55BE6" w:rsidRPr="008D1C53">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D1C53" w:rsidRDefault="00A51F4C" w:rsidP="00B55BE6">
      <w:pPr>
        <w:pStyle w:val="Body2"/>
        <w:rPr>
          <w:rFonts w:asciiTheme="majorHAnsi" w:hAnsiTheme="majorHAnsi" w:cs="Times New Roman"/>
          <w:lang w:val="lt-LT"/>
        </w:rPr>
      </w:pPr>
    </w:p>
    <w:p w:rsidR="0088019D" w:rsidRPr="008D1C53"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D1C53">
        <w:rPr>
          <w:rFonts w:asciiTheme="majorHAnsi" w:hAnsiTheme="majorHAnsi"/>
          <w:b/>
          <w:sz w:val="22"/>
          <w:szCs w:val="22"/>
        </w:rPr>
        <w:t xml:space="preserve">12. </w:t>
      </w:r>
      <w:r w:rsidR="0088019D" w:rsidRPr="008D1C53">
        <w:rPr>
          <w:rFonts w:asciiTheme="majorHAnsi" w:hAnsiTheme="majorHAnsi"/>
          <w:b/>
          <w:sz w:val="22"/>
          <w:szCs w:val="22"/>
        </w:rPr>
        <w:t>ELEKTRONINIS AUKCIONAS</w:t>
      </w:r>
      <w:bookmarkEnd w:id="43"/>
    </w:p>
    <w:p w:rsidR="0088019D" w:rsidRPr="008D1C53" w:rsidRDefault="00197D08" w:rsidP="007E76A9">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12</w:t>
      </w:r>
      <w:r w:rsidR="0088019D" w:rsidRPr="008D1C53">
        <w:rPr>
          <w:rFonts w:asciiTheme="majorHAnsi" w:hAnsiTheme="majorHAnsi" w:cs="Times New Roman"/>
          <w:color w:val="auto"/>
          <w:lang w:val="lt-LT"/>
        </w:rPr>
        <w:t>.1. Elektroninis aukcionas nerengiamas.</w:t>
      </w:r>
    </w:p>
    <w:p w:rsidR="0088019D" w:rsidRPr="008D1C53"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D1C53">
        <w:rPr>
          <w:rFonts w:asciiTheme="majorHAnsi" w:hAnsiTheme="majorHAnsi"/>
          <w:b/>
          <w:sz w:val="22"/>
          <w:szCs w:val="22"/>
        </w:rPr>
        <w:t xml:space="preserve">13. </w:t>
      </w:r>
      <w:r w:rsidR="0088019D" w:rsidRPr="008D1C53">
        <w:rPr>
          <w:rFonts w:asciiTheme="majorHAnsi" w:hAnsiTheme="majorHAnsi"/>
          <w:b/>
          <w:sz w:val="22"/>
          <w:szCs w:val="22"/>
        </w:rPr>
        <w:t>PASIŪLYMŲ ATMETIMO PRIEŽASTYS</w:t>
      </w:r>
      <w:bookmarkEnd w:id="44"/>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 Pirkimo komisija atmeta pasiūlymą, jeigu:</w:t>
      </w:r>
    </w:p>
    <w:p w:rsidR="00D153A7"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13.1.1. tiekėjas pasiūlymą ar jo dalį pateikė ne CVP IS priemonėmis;</w:t>
      </w:r>
    </w:p>
    <w:p w:rsidR="00096ADA" w:rsidRPr="008D1C53" w:rsidRDefault="00D153A7" w:rsidP="00096ADA">
      <w:pPr>
        <w:pStyle w:val="Body2"/>
        <w:ind w:firstLine="709"/>
        <w:rPr>
          <w:rFonts w:asciiTheme="majorHAnsi" w:hAnsiTheme="majorHAnsi" w:cs="Times New Roman"/>
          <w:lang w:val="lt-LT"/>
        </w:rPr>
      </w:pPr>
      <w:r w:rsidRPr="008D1C53">
        <w:rPr>
          <w:rFonts w:asciiTheme="majorHAnsi" w:hAnsiTheme="majorHAnsi" w:cs="Times New Roman"/>
          <w:lang w:val="lt-LT"/>
        </w:rPr>
        <w:t>13.1.2. pasiūlymą pateikęs tiekėjas turi būti pašalinamas iš pirkimo procedūros pagal pirkimo sąlygų 3.</w:t>
      </w:r>
      <w:r w:rsidR="006E5521" w:rsidRPr="008D1C53">
        <w:rPr>
          <w:rFonts w:asciiTheme="majorHAnsi" w:hAnsiTheme="majorHAnsi" w:cs="Times New Roman"/>
          <w:lang w:val="lt-LT"/>
        </w:rPr>
        <w:t>8</w:t>
      </w:r>
      <w:r w:rsidRPr="008D1C53">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D1C53" w:rsidRDefault="00D153A7" w:rsidP="00096ADA">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B043EA" w:rsidRPr="008D1C53">
        <w:rPr>
          <w:rFonts w:asciiTheme="majorHAnsi" w:hAnsiTheme="majorHAnsi" w:cs="Times New Roman"/>
          <w:lang w:val="lt-LT"/>
        </w:rPr>
        <w:t>3</w:t>
      </w:r>
      <w:r w:rsidRPr="008D1C53">
        <w:rPr>
          <w:rFonts w:asciiTheme="majorHAnsi" w:hAnsiTheme="majorHAnsi" w:cs="Times New Roman"/>
          <w:lang w:val="lt-LT"/>
        </w:rPr>
        <w:t xml:space="preserve">. </w:t>
      </w:r>
      <w:bookmarkStart w:id="45" w:name="_Hlk65680294"/>
      <w:r w:rsidR="00372F6F" w:rsidRPr="008D1C53">
        <w:rPr>
          <w:rFonts w:asciiTheme="majorHAnsi" w:hAnsiTheme="majorHAnsi" w:cs="Times New Roman"/>
          <w:lang w:val="lt-LT"/>
        </w:rPr>
        <w:t>pasiūlymą pateikęs tiekėjas neatitinka pirkimo sąlygų 3.</w:t>
      </w:r>
      <w:r w:rsidR="00AB4D9A" w:rsidRPr="008D1C53">
        <w:rPr>
          <w:rFonts w:asciiTheme="majorHAnsi" w:hAnsiTheme="majorHAnsi" w:cs="Times New Roman"/>
          <w:lang w:val="lt-LT"/>
        </w:rPr>
        <w:t>9.</w:t>
      </w:r>
      <w:r w:rsidR="00372F6F" w:rsidRPr="008D1C53">
        <w:rPr>
          <w:rFonts w:asciiTheme="majorHAnsi" w:hAnsiTheme="majorHAnsi" w:cs="Times New Roman"/>
          <w:lang w:val="lt-LT"/>
        </w:rPr>
        <w:t xml:space="preserve"> punkto ir skelbim</w:t>
      </w:r>
      <w:r w:rsidR="006E5521" w:rsidRPr="008D1C53">
        <w:rPr>
          <w:rFonts w:asciiTheme="majorHAnsi" w:hAnsiTheme="majorHAnsi" w:cs="Times New Roman"/>
          <w:lang w:val="lt-LT"/>
        </w:rPr>
        <w:t>e</w:t>
      </w:r>
      <w:r w:rsidR="00372F6F" w:rsidRPr="008D1C53">
        <w:rPr>
          <w:rFonts w:asciiTheme="majorHAnsi" w:hAnsiTheme="majorHAnsi"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8D1C53">
        <w:rPr>
          <w:rFonts w:asciiTheme="majorHAnsi" w:hAnsiTheme="majorHAnsi" w:cs="Times New Roman"/>
          <w:lang w:val="lt-LT"/>
        </w:rPr>
        <w:t>;</w:t>
      </w:r>
    </w:p>
    <w:p w:rsidR="001F29D0" w:rsidRPr="008D1C53" w:rsidRDefault="001F29D0" w:rsidP="001F29D0">
      <w:pPr>
        <w:pStyle w:val="Body2"/>
        <w:ind w:firstLine="709"/>
        <w:rPr>
          <w:rFonts w:asciiTheme="majorHAnsi" w:hAnsiTheme="majorHAnsi"/>
          <w:lang w:val="lt-LT"/>
        </w:rPr>
      </w:pPr>
      <w:r w:rsidRPr="008D1C53">
        <w:rPr>
          <w:rFonts w:asciiTheme="majorHAnsi" w:hAnsiTheme="majorHAnsi"/>
          <w:lang w:val="lt-LT"/>
        </w:rPr>
        <w:t xml:space="preserve">13.1.4. </w:t>
      </w:r>
      <w:r w:rsidRPr="008D1C53">
        <w:rPr>
          <w:rFonts w:asciiTheme="majorHAnsi" w:hAnsiTheme="majorHAnsi"/>
          <w:lang w:val="nl-NL"/>
        </w:rPr>
        <w:t>tiek</w:t>
      </w:r>
      <w:r w:rsidRPr="008D1C53">
        <w:rPr>
          <w:rFonts w:asciiTheme="majorHAnsi" w:hAnsiTheme="majorHAnsi"/>
        </w:rPr>
        <w:t>ė</w:t>
      </w:r>
      <w:r w:rsidRPr="008D1C53">
        <w:rPr>
          <w:rFonts w:asciiTheme="majorHAnsi" w:hAnsiTheme="majorHAnsi"/>
          <w:lang w:val="es-ES_tradnl"/>
        </w:rPr>
        <w:t xml:space="preserve">jas </w:t>
      </w:r>
      <w:r w:rsidRPr="008D1C53">
        <w:rPr>
          <w:rFonts w:asciiTheme="majorHAnsi" w:hAnsiTheme="majorHAnsi"/>
        </w:rPr>
        <w:t>turi būti pašalinamas iš pirkimo procedūros pagal pirkimo sąlygų</w:t>
      </w:r>
      <w:r w:rsidRPr="008D1C53">
        <w:rPr>
          <w:rFonts w:asciiTheme="majorHAnsi" w:hAnsiTheme="majorHAnsi"/>
          <w:lang w:val="lt-LT"/>
        </w:rPr>
        <w:t xml:space="preserve"> 3.14 punktą arba perkančiosios organizacijos prašymu nepateikė ar nepatikslino pateiktos netikslios ar neišsamios informacijos dėl Tarybos reglamente </w:t>
      </w:r>
      <w:r w:rsidRPr="008D1C53">
        <w:rPr>
          <w:rFonts w:asciiTheme="majorHAnsi" w:hAnsiTheme="majorHAnsi"/>
          <w:bCs/>
          <w:lang w:val="lt-LT"/>
        </w:rPr>
        <w:t>2022/576/ES</w:t>
      </w:r>
      <w:r w:rsidRPr="008D1C53">
        <w:rPr>
          <w:rFonts w:asciiTheme="majorHAnsi" w:hAnsiTheme="majorHAnsi"/>
          <w:lang w:val="lt-LT"/>
        </w:rPr>
        <w:t xml:space="preserve"> nustatytų sąlygų nebuvimo;</w:t>
      </w:r>
    </w:p>
    <w:p w:rsidR="0053428E" w:rsidRPr="008D1C53" w:rsidRDefault="0053428E" w:rsidP="001F29D0">
      <w:pPr>
        <w:pStyle w:val="Body2"/>
        <w:ind w:firstLine="709"/>
        <w:rPr>
          <w:rFonts w:asciiTheme="majorHAnsi" w:hAnsiTheme="majorHAnsi"/>
        </w:rPr>
      </w:pPr>
      <w:r w:rsidRPr="008D1C53">
        <w:rPr>
          <w:rFonts w:asciiTheme="majorHAnsi" w:hAnsiTheme="majorHAnsi"/>
        </w:rPr>
        <w:t>13.1.5.</w:t>
      </w:r>
      <w:r w:rsidR="00CB296A" w:rsidRPr="008D1C53">
        <w:rPr>
          <w:rFonts w:asciiTheme="majorHAnsi" w:hAnsiTheme="majorHAnsi"/>
        </w:rPr>
        <w:t xml:space="preserve"> </w:t>
      </w:r>
      <w:r w:rsidRPr="008D1C53">
        <w:rPr>
          <w:rFonts w:asciiTheme="majorHAnsi" w:hAnsiTheme="majorHAnsi"/>
        </w:rPr>
        <w:t>tiekėjas turi būti pašalintas iš pirkimo procedūros</w:t>
      </w:r>
      <w:r w:rsidR="00CB296A" w:rsidRPr="008D1C53">
        <w:rPr>
          <w:rFonts w:asciiTheme="majorHAnsi" w:hAnsiTheme="majorHAnsi"/>
        </w:rPr>
        <w:t xml:space="preserve"> pagal pirkimo sąlygų 3.15.3 punktą arba perkančiosios organizacijos prašymu nepateikė ar nepatikslino pateiktos netikslios ar neišsamios informacijos dėl Nacionalinio saugumo reikalavimų atitikties nustatytų sąlygų nebuvimo</w:t>
      </w:r>
      <w:r w:rsidRPr="008D1C53">
        <w:rPr>
          <w:rFonts w:asciiTheme="majorHAnsi" w:hAnsiTheme="majorHAnsi"/>
        </w:rPr>
        <w:t>;</w:t>
      </w:r>
    </w:p>
    <w:bookmarkEnd w:id="45"/>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53428E" w:rsidRPr="008D1C53">
        <w:rPr>
          <w:rFonts w:asciiTheme="majorHAnsi" w:hAnsiTheme="majorHAnsi" w:cs="Times New Roman"/>
          <w:lang w:val="lt-LT"/>
        </w:rPr>
        <w:t>6</w:t>
      </w:r>
      <w:r w:rsidRPr="008D1C53">
        <w:rPr>
          <w:rFonts w:asciiTheme="majorHAnsi" w:hAnsiTheme="majorHAnsi" w:cs="Times New Roman"/>
          <w:lang w:val="lt-LT"/>
        </w:rPr>
        <w:t>. pasiūlymas neatitinka pirkimo dokumentuose nustatytų reikalavimų;</w:t>
      </w:r>
    </w:p>
    <w:p w:rsidR="005A345B" w:rsidRPr="008D1C53" w:rsidRDefault="005A345B" w:rsidP="005A345B">
      <w:pPr>
        <w:pStyle w:val="Body2"/>
        <w:ind w:firstLine="709"/>
        <w:rPr>
          <w:rFonts w:asciiTheme="majorHAnsi" w:hAnsiTheme="majorHAnsi" w:cs="Times New Roman"/>
        </w:rPr>
      </w:pPr>
      <w:r w:rsidRPr="008D1C53">
        <w:rPr>
          <w:rFonts w:asciiTheme="majorHAnsi" w:hAnsiTheme="majorHAnsi" w:cs="Times New Roman"/>
        </w:rPr>
        <w:t>13.1.</w:t>
      </w:r>
      <w:r w:rsidR="0053428E" w:rsidRPr="008D1C53">
        <w:rPr>
          <w:rFonts w:asciiTheme="majorHAnsi" w:hAnsiTheme="majorHAnsi" w:cs="Times New Roman"/>
        </w:rPr>
        <w:t>7</w:t>
      </w:r>
      <w:r w:rsidRPr="008D1C53">
        <w:rPr>
          <w:rFonts w:asciiTheme="majorHAnsi" w:hAnsiTheme="majorHAnsi" w:cs="Times New Roman"/>
        </w:rPr>
        <w:t>. tiekėjas nepateikė prekės atitiktį techninės specifikacijos reikalavimams įrodančių dokumentų;</w:t>
      </w:r>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53428E" w:rsidRPr="008D1C53">
        <w:rPr>
          <w:rFonts w:asciiTheme="majorHAnsi" w:hAnsiTheme="majorHAnsi" w:cs="Times New Roman"/>
          <w:lang w:val="lt-LT"/>
        </w:rPr>
        <w:t>8</w:t>
      </w:r>
      <w:r w:rsidRPr="008D1C53">
        <w:rPr>
          <w:rFonts w:asciiTheme="majorHAnsi" w:hAnsiTheme="majorHAnsi" w:cs="Times New Roman"/>
          <w:lang w:val="lt-LT"/>
        </w:rPr>
        <w:t xml:space="preserve">. </w:t>
      </w:r>
      <w:r w:rsidR="00B6250F" w:rsidRPr="008D1C53">
        <w:rPr>
          <w:rFonts w:asciiTheme="majorHAnsi" w:hAnsiTheme="majorHAnsi" w:cs="Times New Roman"/>
          <w:lang w:val="lt-LT"/>
        </w:rPr>
        <w:t>pasiūlyta per didelė, perkančiajai  organizacijai nepriimtina kaina</w:t>
      </w:r>
      <w:r w:rsidRPr="008D1C53">
        <w:rPr>
          <w:rFonts w:asciiTheme="majorHAnsi" w:hAnsiTheme="majorHAnsi" w:cs="Times New Roman"/>
          <w:lang w:val="lt-LT"/>
        </w:rPr>
        <w:t>;</w:t>
      </w:r>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53428E" w:rsidRPr="008D1C53">
        <w:rPr>
          <w:rFonts w:asciiTheme="majorHAnsi" w:hAnsiTheme="majorHAnsi" w:cs="Times New Roman"/>
          <w:lang w:val="lt-LT"/>
        </w:rPr>
        <w:t>9</w:t>
      </w:r>
      <w:r w:rsidRPr="008D1C53">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53428E" w:rsidRPr="008D1C53">
        <w:rPr>
          <w:rFonts w:asciiTheme="majorHAnsi" w:hAnsiTheme="majorHAnsi" w:cs="Times New Roman"/>
          <w:lang w:val="lt-LT"/>
        </w:rPr>
        <w:t>10</w:t>
      </w:r>
      <w:r w:rsidRPr="008D1C53">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D1C53" w:rsidRDefault="006D73AC"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5A345B" w:rsidRPr="008D1C53">
        <w:rPr>
          <w:rFonts w:asciiTheme="majorHAnsi" w:hAnsiTheme="majorHAnsi" w:cs="Times New Roman"/>
          <w:lang w:val="lt-LT"/>
        </w:rPr>
        <w:t>1</w:t>
      </w:r>
      <w:r w:rsidR="0053428E" w:rsidRPr="008D1C53">
        <w:rPr>
          <w:rFonts w:asciiTheme="majorHAnsi" w:hAnsiTheme="majorHAnsi" w:cs="Times New Roman"/>
          <w:lang w:val="lt-LT"/>
        </w:rPr>
        <w:t>1</w:t>
      </w:r>
      <w:r w:rsidRPr="008D1C53">
        <w:rPr>
          <w:rFonts w:asciiTheme="majorHAnsi" w:hAnsiTheme="majorHAnsi" w:cs="Times New Roman"/>
          <w:lang w:val="lt-LT"/>
        </w:rPr>
        <w:t>. per Komisijos nustatytą terminą, tiekėjas nepateikė prašomų prekių pavyzdžių (jei taikoma);</w:t>
      </w:r>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lastRenderedPageBreak/>
        <w:t>13.1.</w:t>
      </w:r>
      <w:r w:rsidR="005A345B" w:rsidRPr="008D1C53">
        <w:rPr>
          <w:rFonts w:asciiTheme="majorHAnsi" w:hAnsiTheme="majorHAnsi" w:cs="Times New Roman"/>
          <w:lang w:val="lt-LT"/>
        </w:rPr>
        <w:t>1</w:t>
      </w:r>
      <w:r w:rsidR="0053428E" w:rsidRPr="008D1C53">
        <w:rPr>
          <w:rFonts w:asciiTheme="majorHAnsi" w:hAnsiTheme="majorHAnsi" w:cs="Times New Roman"/>
          <w:lang w:val="lt-LT"/>
        </w:rPr>
        <w:t>2</w:t>
      </w:r>
      <w:r w:rsidRPr="008D1C53">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13.1.</w:t>
      </w:r>
      <w:r w:rsidR="005A345B" w:rsidRPr="008D1C53">
        <w:rPr>
          <w:rFonts w:asciiTheme="majorHAnsi" w:hAnsiTheme="majorHAnsi" w:cs="Times New Roman"/>
          <w:lang w:val="lt-LT"/>
        </w:rPr>
        <w:t>1</w:t>
      </w:r>
      <w:r w:rsidR="0053428E" w:rsidRPr="008D1C53">
        <w:rPr>
          <w:rFonts w:asciiTheme="majorHAnsi" w:hAnsiTheme="majorHAnsi" w:cs="Times New Roman"/>
          <w:lang w:val="lt-LT"/>
        </w:rPr>
        <w:t>3</w:t>
      </w:r>
      <w:r w:rsidRPr="008D1C53">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D1C53" w:rsidRDefault="00D153A7" w:rsidP="000C4685">
      <w:pPr>
        <w:pStyle w:val="Body2"/>
        <w:tabs>
          <w:tab w:val="left" w:pos="6237"/>
        </w:tabs>
        <w:ind w:firstLine="709"/>
        <w:rPr>
          <w:rFonts w:asciiTheme="majorHAnsi" w:hAnsiTheme="majorHAnsi" w:cs="Times New Roman"/>
          <w:lang w:val="lt-LT"/>
        </w:rPr>
      </w:pPr>
      <w:r w:rsidRPr="008D1C53">
        <w:rPr>
          <w:rFonts w:asciiTheme="majorHAnsi" w:hAnsiTheme="majorHAnsi" w:cs="Times New Roman"/>
          <w:lang w:val="lt-LT"/>
        </w:rPr>
        <w:t>13.1.</w:t>
      </w:r>
      <w:r w:rsidR="005A345B" w:rsidRPr="008D1C53">
        <w:rPr>
          <w:rFonts w:asciiTheme="majorHAnsi" w:hAnsiTheme="majorHAnsi" w:cs="Times New Roman"/>
          <w:lang w:val="lt-LT"/>
        </w:rPr>
        <w:t>1</w:t>
      </w:r>
      <w:r w:rsidR="0053428E" w:rsidRPr="008D1C53">
        <w:rPr>
          <w:rFonts w:asciiTheme="majorHAnsi" w:hAnsiTheme="majorHAnsi" w:cs="Times New Roman"/>
          <w:lang w:val="lt-LT"/>
        </w:rPr>
        <w:t>4</w:t>
      </w:r>
      <w:r w:rsidRPr="008D1C53">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13.2. Apie pasiūlymo atmetimą ir tokio atmetimo priežastis tiekėjas informuojamas raštu CVP IS priemonėmis.</w:t>
      </w:r>
    </w:p>
    <w:p w:rsidR="00D153A7" w:rsidRPr="008D1C53" w:rsidRDefault="00D153A7" w:rsidP="00D50808">
      <w:pPr>
        <w:pStyle w:val="Body2"/>
        <w:ind w:firstLine="709"/>
        <w:rPr>
          <w:rFonts w:asciiTheme="majorHAnsi" w:hAnsiTheme="majorHAnsi" w:cs="Times New Roman"/>
          <w:lang w:val="lt-LT"/>
        </w:rPr>
      </w:pPr>
      <w:r w:rsidRPr="008D1C53">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D1C53" w:rsidRDefault="00732EAD" w:rsidP="00FE5CB0">
      <w:pPr>
        <w:keepNext/>
        <w:outlineLvl w:val="0"/>
        <w:rPr>
          <w:rFonts w:asciiTheme="majorHAnsi" w:hAnsiTheme="majorHAnsi"/>
          <w:b/>
          <w:color w:val="000000"/>
          <w:sz w:val="22"/>
          <w:szCs w:val="22"/>
          <w:lang w:eastAsia="lt-LT"/>
        </w:rPr>
      </w:pPr>
    </w:p>
    <w:p w:rsidR="00732EAD" w:rsidRPr="008D1C53"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8D1C53">
        <w:rPr>
          <w:rFonts w:asciiTheme="majorHAnsi" w:hAnsiTheme="majorHAnsi"/>
          <w:b/>
          <w:sz w:val="22"/>
          <w:szCs w:val="22"/>
        </w:rPr>
        <w:t xml:space="preserve">14. </w:t>
      </w:r>
      <w:r w:rsidR="00732EAD" w:rsidRPr="008D1C53">
        <w:rPr>
          <w:rFonts w:asciiTheme="majorHAnsi" w:hAnsiTheme="majorHAnsi"/>
          <w:b/>
          <w:sz w:val="22"/>
          <w:szCs w:val="22"/>
        </w:rPr>
        <w:t>PASIŪLYMŲ VERTINIMAS IR PALYGINIMAS</w:t>
      </w:r>
      <w:bookmarkEnd w:id="46"/>
    </w:p>
    <w:p w:rsidR="00B83B66" w:rsidRPr="008D1C53" w:rsidRDefault="00B83B66" w:rsidP="00B83B66">
      <w:pPr>
        <w:pStyle w:val="Body2"/>
        <w:ind w:firstLine="709"/>
        <w:rPr>
          <w:rFonts w:asciiTheme="majorHAnsi" w:hAnsiTheme="majorHAnsi" w:cs="Times New Roman"/>
          <w:lang w:val="lt-LT"/>
        </w:rPr>
      </w:pPr>
      <w:r w:rsidRPr="008D1C53">
        <w:rPr>
          <w:rFonts w:asciiTheme="majorHAnsi" w:hAnsiTheme="majorHAnsi" w:cs="Times New Roman"/>
          <w:lang w:val="lt-LT"/>
        </w:rPr>
        <w:t>14.1. Perkančioji organizacija ekonomiškai naudingiausią pasiūlymą išrenka pagal kainos ir kokybės santykį. Ekonomiškai naudingiausiu pasiūlymu laikomas pasiūlymas, kurio ekonominis naudingumas didžiausias.</w:t>
      </w:r>
    </w:p>
    <w:p w:rsidR="00B83B66" w:rsidRPr="008D1C53" w:rsidRDefault="00B83B66" w:rsidP="00B83B66">
      <w:pPr>
        <w:pStyle w:val="Body2"/>
        <w:ind w:firstLine="709"/>
        <w:rPr>
          <w:rFonts w:asciiTheme="majorHAnsi" w:hAnsiTheme="majorHAnsi" w:cs="Times New Roman"/>
          <w:lang w:val="lt-LT"/>
        </w:rPr>
      </w:pPr>
      <w:r w:rsidRPr="008D1C53">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B83B66" w:rsidRPr="008D1C53" w:rsidRDefault="00B83B66" w:rsidP="00B83B66">
      <w:pPr>
        <w:pStyle w:val="Body2"/>
        <w:ind w:firstLine="709"/>
        <w:rPr>
          <w:rFonts w:asciiTheme="majorHAnsi" w:hAnsiTheme="majorHAnsi" w:cs="Times New Roman"/>
          <w:lang w:val="lt-LT"/>
        </w:rPr>
      </w:pPr>
      <w:r w:rsidRPr="008D1C53">
        <w:rPr>
          <w:rFonts w:asciiTheme="majorHAnsi" w:hAnsiTheme="majorHAnsi" w:cs="Times New Roman"/>
          <w:lang w:val="lt-LT"/>
        </w:rPr>
        <w:t>Numatytų vertinimo kriterijų lyginamieji svoriai:</w:t>
      </w:r>
    </w:p>
    <w:p w:rsidR="00B83B66" w:rsidRPr="008D1C53" w:rsidRDefault="00B83B66" w:rsidP="00B83B66">
      <w:pPr>
        <w:shd w:val="clear" w:color="auto" w:fill="FFFFFF"/>
        <w:spacing w:line="256" w:lineRule="auto"/>
        <w:ind w:firstLine="709"/>
        <w:jc w:val="both"/>
        <w:rPr>
          <w:rFonts w:asciiTheme="majorHAnsi" w:hAnsiTheme="majorHAnsi"/>
          <w:color w:val="000000" w:themeColor="text1"/>
          <w:sz w:val="22"/>
          <w:szCs w:val="22"/>
          <w:lang w:val="en-US"/>
        </w:rPr>
      </w:pPr>
      <w:r w:rsidRPr="008D1C53">
        <w:rPr>
          <w:rFonts w:asciiTheme="majorHAnsi" w:hAnsiTheme="majorHAnsi"/>
          <w:color w:val="000000"/>
          <w:sz w:val="22"/>
          <w:szCs w:val="22"/>
          <w:lang w:val="en-US"/>
        </w:rPr>
        <w:t xml:space="preserve">1) kaina (K) – </w:t>
      </w:r>
      <w:r w:rsidR="00EB0FA3">
        <w:rPr>
          <w:rFonts w:asciiTheme="majorHAnsi" w:hAnsiTheme="majorHAnsi"/>
          <w:color w:val="000000" w:themeColor="text1"/>
          <w:sz w:val="22"/>
          <w:szCs w:val="22"/>
          <w:lang w:val="en-US"/>
        </w:rPr>
        <w:t>4</w:t>
      </w:r>
      <w:r w:rsidR="00251492" w:rsidRPr="008D1C53">
        <w:rPr>
          <w:rFonts w:asciiTheme="majorHAnsi" w:hAnsiTheme="majorHAnsi"/>
          <w:color w:val="000000" w:themeColor="text1"/>
          <w:sz w:val="22"/>
          <w:szCs w:val="22"/>
          <w:lang w:val="en-US"/>
        </w:rPr>
        <w:t>0</w:t>
      </w:r>
      <w:r w:rsidRPr="008D1C53">
        <w:rPr>
          <w:rFonts w:asciiTheme="majorHAnsi" w:hAnsiTheme="majorHAnsi"/>
          <w:color w:val="000000" w:themeColor="text1"/>
          <w:sz w:val="22"/>
          <w:szCs w:val="22"/>
          <w:lang w:val="en-US"/>
        </w:rPr>
        <w:t>;</w:t>
      </w:r>
    </w:p>
    <w:p w:rsidR="00B83B66" w:rsidRPr="008D1C53" w:rsidRDefault="00B83B66" w:rsidP="00B83B66">
      <w:pPr>
        <w:shd w:val="clear" w:color="auto" w:fill="FFFFFF"/>
        <w:spacing w:line="256" w:lineRule="auto"/>
        <w:ind w:firstLine="709"/>
        <w:jc w:val="both"/>
        <w:rPr>
          <w:rFonts w:asciiTheme="majorHAnsi" w:hAnsiTheme="majorHAnsi"/>
          <w:color w:val="000000" w:themeColor="text1"/>
          <w:sz w:val="22"/>
          <w:szCs w:val="22"/>
          <w:lang w:val="en-US"/>
        </w:rPr>
      </w:pPr>
      <w:r w:rsidRPr="008D1C53">
        <w:rPr>
          <w:rFonts w:asciiTheme="majorHAnsi" w:hAnsiTheme="majorHAnsi"/>
          <w:color w:val="000000" w:themeColor="text1"/>
          <w:sz w:val="22"/>
          <w:szCs w:val="22"/>
          <w:lang w:val="en-US"/>
        </w:rPr>
        <w:t>2) techniniai pranašumai (T) –</w:t>
      </w:r>
      <w:r w:rsidR="00EB0FA3">
        <w:rPr>
          <w:rFonts w:asciiTheme="majorHAnsi" w:hAnsiTheme="majorHAnsi"/>
          <w:color w:val="000000" w:themeColor="text1"/>
          <w:sz w:val="22"/>
          <w:szCs w:val="22"/>
          <w:lang w:val="en-US"/>
        </w:rPr>
        <w:t>6</w:t>
      </w:r>
      <w:r w:rsidR="00251492" w:rsidRPr="008D1C53">
        <w:rPr>
          <w:rFonts w:asciiTheme="majorHAnsi" w:hAnsiTheme="majorHAnsi"/>
          <w:color w:val="000000" w:themeColor="text1"/>
          <w:sz w:val="22"/>
          <w:szCs w:val="22"/>
          <w:lang w:val="en-US"/>
        </w:rPr>
        <w:t>0</w:t>
      </w:r>
      <w:r w:rsidRPr="008D1C53">
        <w:rPr>
          <w:rFonts w:asciiTheme="majorHAnsi" w:hAnsiTheme="majorHAnsi"/>
          <w:color w:val="000000" w:themeColor="text1"/>
          <w:sz w:val="22"/>
          <w:szCs w:val="22"/>
          <w:lang w:val="en-US"/>
        </w:rPr>
        <w:t>.</w:t>
      </w:r>
    </w:p>
    <w:p w:rsidR="00B83B66" w:rsidRPr="008D1C53" w:rsidRDefault="00B83B66" w:rsidP="00B83B66">
      <w:pPr>
        <w:shd w:val="clear" w:color="auto" w:fill="FFFFFF"/>
        <w:spacing w:line="256" w:lineRule="auto"/>
        <w:ind w:left="-142" w:firstLine="709"/>
        <w:jc w:val="both"/>
        <w:rPr>
          <w:rFonts w:asciiTheme="majorHAnsi" w:hAnsiTheme="majorHAnsi"/>
          <w:color w:val="000000"/>
          <w:sz w:val="22"/>
          <w:szCs w:val="22"/>
          <w:lang w:val="en-US"/>
        </w:rPr>
      </w:pPr>
    </w:p>
    <w:p w:rsidR="00B83B66" w:rsidRPr="008D1C53" w:rsidRDefault="00B83B66" w:rsidP="00B83B66">
      <w:pPr>
        <w:shd w:val="clear" w:color="auto" w:fill="FFFFFF"/>
        <w:spacing w:line="256" w:lineRule="auto"/>
        <w:ind w:left="-142" w:firstLine="709"/>
        <w:jc w:val="both"/>
        <w:rPr>
          <w:rFonts w:asciiTheme="majorHAnsi" w:hAnsiTheme="majorHAnsi"/>
          <w:color w:val="000000"/>
          <w:sz w:val="22"/>
          <w:szCs w:val="22"/>
          <w:lang w:val="en-US"/>
        </w:rPr>
      </w:pPr>
      <w:r w:rsidRPr="008D1C53">
        <w:rPr>
          <w:rFonts w:asciiTheme="majorHAnsi" w:hAnsiTheme="majorHAnsi"/>
          <w:color w:val="000000"/>
          <w:sz w:val="22"/>
          <w:szCs w:val="22"/>
          <w:lang w:val="en-US"/>
        </w:rPr>
        <w:t>Vertinimo kriterijai ir jų parametrų lyginamieji svoriai:</w:t>
      </w: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4357"/>
        <w:gridCol w:w="1532"/>
        <w:gridCol w:w="1574"/>
        <w:gridCol w:w="1500"/>
      </w:tblGrid>
      <w:tr w:rsidR="00B83B66" w:rsidRPr="008D1C53" w:rsidTr="00EB0FA3">
        <w:trPr>
          <w:trHeight w:val="846"/>
        </w:trPr>
        <w:tc>
          <w:tcPr>
            <w:tcW w:w="3379" w:type="pct"/>
            <w:gridSpan w:val="3"/>
            <w:shd w:val="clear" w:color="auto" w:fill="D9D9D9"/>
            <w:vAlign w:val="center"/>
          </w:tcPr>
          <w:p w:rsidR="00B83B66" w:rsidRPr="008D1C53" w:rsidRDefault="00B83B66" w:rsidP="00B83B66">
            <w:pPr>
              <w:jc w:val="center"/>
              <w:rPr>
                <w:rFonts w:asciiTheme="majorHAnsi" w:eastAsia="Calibri" w:hAnsiTheme="majorHAnsi"/>
                <w:b/>
                <w:bCs/>
                <w:sz w:val="22"/>
                <w:szCs w:val="22"/>
                <w:lang w:val="en-US"/>
              </w:rPr>
            </w:pPr>
            <w:r w:rsidRPr="008D1C53">
              <w:rPr>
                <w:rFonts w:asciiTheme="majorHAnsi" w:hAnsiTheme="majorHAnsi"/>
                <w:b/>
                <w:sz w:val="22"/>
                <w:szCs w:val="22"/>
                <w:lang w:val="en-US"/>
              </w:rPr>
              <w:t>Vertinimo kriterijai</w:t>
            </w:r>
          </w:p>
        </w:tc>
        <w:tc>
          <w:tcPr>
            <w:tcW w:w="830" w:type="pct"/>
            <w:shd w:val="clear" w:color="auto" w:fill="D9D9D9"/>
            <w:vAlign w:val="center"/>
          </w:tcPr>
          <w:p w:rsidR="00B83B66" w:rsidRPr="008D1C53" w:rsidRDefault="00B83B66" w:rsidP="00B83B66">
            <w:pPr>
              <w:ind w:left="-14" w:right="-90"/>
              <w:jc w:val="center"/>
              <w:rPr>
                <w:rFonts w:asciiTheme="majorHAnsi" w:hAnsiTheme="majorHAnsi"/>
                <w:b/>
                <w:sz w:val="22"/>
                <w:szCs w:val="22"/>
                <w:lang w:val="en-US"/>
              </w:rPr>
            </w:pPr>
            <w:r w:rsidRPr="008D1C53">
              <w:rPr>
                <w:rFonts w:asciiTheme="majorHAnsi" w:hAnsiTheme="majorHAnsi"/>
                <w:b/>
                <w:sz w:val="22"/>
                <w:szCs w:val="22"/>
                <w:lang w:val="en-US"/>
              </w:rPr>
              <w:t>Parametro lyginamasis svoris</w:t>
            </w:r>
          </w:p>
        </w:tc>
        <w:tc>
          <w:tcPr>
            <w:tcW w:w="791" w:type="pct"/>
            <w:shd w:val="clear" w:color="auto" w:fill="D9D9D9"/>
            <w:vAlign w:val="center"/>
          </w:tcPr>
          <w:p w:rsidR="00B83B66" w:rsidRPr="008D1C53" w:rsidRDefault="00B83B66" w:rsidP="00B83B66">
            <w:pPr>
              <w:jc w:val="center"/>
              <w:rPr>
                <w:rFonts w:asciiTheme="majorHAnsi" w:hAnsiTheme="majorHAnsi"/>
                <w:b/>
                <w:sz w:val="22"/>
                <w:szCs w:val="22"/>
                <w:lang w:val="en-US"/>
              </w:rPr>
            </w:pPr>
            <w:r w:rsidRPr="008D1C53">
              <w:rPr>
                <w:rFonts w:asciiTheme="majorHAnsi" w:hAnsiTheme="majorHAnsi"/>
                <w:b/>
                <w:sz w:val="22"/>
                <w:szCs w:val="22"/>
                <w:lang w:val="en-US"/>
              </w:rPr>
              <w:t>Lyginamasis svoris ekonominio naudingumo įvertinime</w:t>
            </w:r>
          </w:p>
        </w:tc>
      </w:tr>
      <w:tr w:rsidR="00B83B66" w:rsidRPr="008D1C53" w:rsidTr="00EB0FA3">
        <w:tc>
          <w:tcPr>
            <w:tcW w:w="4209" w:type="pct"/>
            <w:gridSpan w:val="4"/>
            <w:shd w:val="clear" w:color="auto" w:fill="D9D9D9"/>
            <w:vAlign w:val="center"/>
          </w:tcPr>
          <w:p w:rsidR="00B83B66" w:rsidRPr="008D1C53" w:rsidRDefault="00B83B66" w:rsidP="00B83B66">
            <w:pPr>
              <w:rPr>
                <w:rFonts w:asciiTheme="majorHAnsi" w:eastAsia="Calibri" w:hAnsiTheme="majorHAnsi"/>
                <w:b/>
                <w:bCs/>
                <w:sz w:val="22"/>
                <w:szCs w:val="22"/>
                <w:lang w:val="en-US"/>
              </w:rPr>
            </w:pPr>
            <w:r w:rsidRPr="008D1C53">
              <w:rPr>
                <w:rFonts w:asciiTheme="majorHAnsi" w:hAnsiTheme="majorHAnsi"/>
                <w:b/>
                <w:sz w:val="22"/>
                <w:szCs w:val="22"/>
                <w:lang w:val="en-US"/>
              </w:rPr>
              <w:t>Kaina (K)</w:t>
            </w:r>
          </w:p>
        </w:tc>
        <w:tc>
          <w:tcPr>
            <w:tcW w:w="791" w:type="pct"/>
            <w:shd w:val="clear" w:color="auto" w:fill="D9D9D9"/>
          </w:tcPr>
          <w:p w:rsidR="00B83B66" w:rsidRPr="008D1C53" w:rsidRDefault="00B83B66" w:rsidP="00B83B66">
            <w:pPr>
              <w:jc w:val="center"/>
              <w:rPr>
                <w:rFonts w:asciiTheme="majorHAnsi" w:eastAsia="Calibri" w:hAnsiTheme="majorHAnsi"/>
                <w:b/>
                <w:bCs/>
                <w:color w:val="000000" w:themeColor="text1"/>
                <w:sz w:val="22"/>
                <w:szCs w:val="22"/>
                <w:lang w:val="en-US"/>
              </w:rPr>
            </w:pPr>
            <w:r w:rsidRPr="008D1C53">
              <w:rPr>
                <w:rFonts w:asciiTheme="majorHAnsi" w:hAnsiTheme="majorHAnsi"/>
                <w:b/>
                <w:color w:val="000000" w:themeColor="text1"/>
                <w:sz w:val="22"/>
                <w:szCs w:val="22"/>
                <w:lang w:val="en-US"/>
              </w:rPr>
              <w:t>X=</w:t>
            </w:r>
            <w:r w:rsidR="00251492" w:rsidRPr="008D1C53">
              <w:rPr>
                <w:rFonts w:asciiTheme="majorHAnsi" w:hAnsiTheme="majorHAnsi"/>
                <w:b/>
                <w:color w:val="000000" w:themeColor="text1"/>
                <w:sz w:val="22"/>
                <w:szCs w:val="22"/>
                <w:lang w:val="en-US"/>
              </w:rPr>
              <w:t>60</w:t>
            </w:r>
          </w:p>
        </w:tc>
      </w:tr>
      <w:tr w:rsidR="00B83B66" w:rsidRPr="008D1C53" w:rsidTr="00EB0FA3">
        <w:tc>
          <w:tcPr>
            <w:tcW w:w="4209" w:type="pct"/>
            <w:gridSpan w:val="4"/>
            <w:tcBorders>
              <w:bottom w:val="single" w:sz="4" w:space="0" w:color="auto"/>
            </w:tcBorders>
            <w:shd w:val="clear" w:color="auto" w:fill="D9D9D9"/>
            <w:vAlign w:val="center"/>
          </w:tcPr>
          <w:p w:rsidR="00B83B66" w:rsidRPr="008D1C53" w:rsidRDefault="00B83B66" w:rsidP="00B83B66">
            <w:pPr>
              <w:rPr>
                <w:rFonts w:asciiTheme="majorHAnsi" w:eastAsia="Calibri" w:hAnsiTheme="majorHAnsi"/>
                <w:b/>
                <w:bCs/>
                <w:sz w:val="22"/>
                <w:szCs w:val="22"/>
                <w:lang w:val="en-US"/>
              </w:rPr>
            </w:pPr>
            <w:r w:rsidRPr="008D1C53">
              <w:rPr>
                <w:rFonts w:asciiTheme="majorHAnsi" w:hAnsiTheme="majorHAnsi"/>
                <w:b/>
                <w:color w:val="000000"/>
                <w:sz w:val="22"/>
                <w:szCs w:val="22"/>
                <w:lang w:val="en-US"/>
              </w:rPr>
              <w:t>Techniniai pranašumai (T)</w:t>
            </w:r>
          </w:p>
        </w:tc>
        <w:tc>
          <w:tcPr>
            <w:tcW w:w="791" w:type="pct"/>
            <w:tcBorders>
              <w:bottom w:val="single" w:sz="4" w:space="0" w:color="auto"/>
            </w:tcBorders>
            <w:shd w:val="clear" w:color="auto" w:fill="D9D9D9"/>
          </w:tcPr>
          <w:p w:rsidR="00B83B66" w:rsidRPr="008D1C53" w:rsidRDefault="00B83B66" w:rsidP="00B83B66">
            <w:pPr>
              <w:jc w:val="center"/>
              <w:rPr>
                <w:rFonts w:asciiTheme="majorHAnsi" w:eastAsia="Calibri" w:hAnsiTheme="majorHAnsi"/>
                <w:b/>
                <w:bCs/>
                <w:color w:val="000000" w:themeColor="text1"/>
                <w:sz w:val="22"/>
                <w:szCs w:val="22"/>
                <w:lang w:val="en-US"/>
              </w:rPr>
            </w:pPr>
            <w:r w:rsidRPr="008D1C53">
              <w:rPr>
                <w:rFonts w:asciiTheme="majorHAnsi" w:hAnsiTheme="majorHAnsi"/>
                <w:b/>
                <w:color w:val="000000" w:themeColor="text1"/>
                <w:sz w:val="22"/>
                <w:szCs w:val="22"/>
                <w:lang w:val="en-US"/>
              </w:rPr>
              <w:t>Y=</w:t>
            </w:r>
            <w:r w:rsidR="00251492" w:rsidRPr="008D1C53">
              <w:rPr>
                <w:rFonts w:asciiTheme="majorHAnsi" w:hAnsiTheme="majorHAnsi"/>
                <w:b/>
                <w:color w:val="000000" w:themeColor="text1"/>
                <w:sz w:val="22"/>
                <w:szCs w:val="22"/>
                <w:lang w:val="en-US"/>
              </w:rPr>
              <w:t>40</w:t>
            </w:r>
          </w:p>
        </w:tc>
      </w:tr>
      <w:tr w:rsidR="00B83B66" w:rsidRPr="008D1C53" w:rsidTr="00EB0FA3">
        <w:tc>
          <w:tcPr>
            <w:tcW w:w="273" w:type="pct"/>
            <w:shd w:val="clear" w:color="auto" w:fill="auto"/>
          </w:tcPr>
          <w:p w:rsidR="00B83B66" w:rsidRPr="008D1C53" w:rsidRDefault="00B83B66" w:rsidP="00B83B66">
            <w:pPr>
              <w:ind w:right="-81"/>
              <w:jc w:val="center"/>
              <w:rPr>
                <w:rFonts w:asciiTheme="majorHAnsi" w:hAnsiTheme="majorHAnsi"/>
                <w:b/>
                <w:sz w:val="22"/>
                <w:szCs w:val="22"/>
                <w:lang w:val="en-US"/>
              </w:rPr>
            </w:pPr>
            <w:r w:rsidRPr="008D1C53">
              <w:rPr>
                <w:rFonts w:asciiTheme="majorHAnsi" w:hAnsiTheme="majorHAnsi"/>
                <w:b/>
                <w:sz w:val="22"/>
                <w:szCs w:val="22"/>
                <w:lang w:val="en-US"/>
              </w:rPr>
              <w:t>Nr.</w:t>
            </w:r>
          </w:p>
        </w:tc>
        <w:tc>
          <w:tcPr>
            <w:tcW w:w="2298" w:type="pct"/>
            <w:shd w:val="clear" w:color="auto" w:fill="auto"/>
          </w:tcPr>
          <w:p w:rsidR="00B83B66" w:rsidRPr="008D1C53" w:rsidRDefault="00B83B66" w:rsidP="00B83B66">
            <w:pPr>
              <w:jc w:val="center"/>
              <w:rPr>
                <w:rFonts w:asciiTheme="majorHAnsi" w:hAnsiTheme="majorHAnsi"/>
                <w:b/>
                <w:sz w:val="22"/>
                <w:szCs w:val="22"/>
                <w:lang w:val="en-US"/>
              </w:rPr>
            </w:pPr>
            <w:r w:rsidRPr="008D1C53">
              <w:rPr>
                <w:rFonts w:asciiTheme="majorHAnsi" w:hAnsiTheme="majorHAnsi"/>
                <w:b/>
                <w:sz w:val="22"/>
                <w:szCs w:val="22"/>
                <w:lang w:val="en-US"/>
              </w:rPr>
              <w:t>Parametrai</w:t>
            </w:r>
          </w:p>
        </w:tc>
        <w:tc>
          <w:tcPr>
            <w:tcW w:w="808" w:type="pct"/>
            <w:shd w:val="clear" w:color="auto" w:fill="auto"/>
            <w:vAlign w:val="center"/>
          </w:tcPr>
          <w:p w:rsidR="00B83B66" w:rsidRPr="008D1C53" w:rsidRDefault="00B83B66" w:rsidP="00B83B66">
            <w:pPr>
              <w:ind w:right="-250" w:hanging="108"/>
              <w:jc w:val="center"/>
              <w:rPr>
                <w:rFonts w:asciiTheme="majorHAnsi" w:hAnsiTheme="majorHAnsi"/>
                <w:b/>
                <w:sz w:val="22"/>
                <w:szCs w:val="22"/>
                <w:lang w:val="en-US"/>
              </w:rPr>
            </w:pPr>
            <w:r w:rsidRPr="008D1C53">
              <w:rPr>
                <w:rFonts w:asciiTheme="majorHAnsi" w:hAnsiTheme="majorHAnsi"/>
                <w:b/>
                <w:sz w:val="22"/>
                <w:szCs w:val="22"/>
                <w:lang w:val="en-US"/>
              </w:rPr>
              <w:t>Vertinimo būdas</w:t>
            </w:r>
          </w:p>
        </w:tc>
        <w:tc>
          <w:tcPr>
            <w:tcW w:w="830" w:type="pct"/>
            <w:shd w:val="clear" w:color="auto" w:fill="auto"/>
            <w:vAlign w:val="center"/>
          </w:tcPr>
          <w:p w:rsidR="00B83B66" w:rsidRPr="008D1C53" w:rsidRDefault="00B83B66" w:rsidP="00B83B66">
            <w:pPr>
              <w:ind w:right="-250" w:hanging="108"/>
              <w:jc w:val="center"/>
              <w:rPr>
                <w:rFonts w:asciiTheme="majorHAnsi" w:hAnsiTheme="majorHAnsi"/>
                <w:b/>
                <w:sz w:val="22"/>
                <w:szCs w:val="22"/>
                <w:lang w:val="en-US"/>
              </w:rPr>
            </w:pPr>
            <w:r w:rsidRPr="008D1C53">
              <w:rPr>
                <w:rFonts w:asciiTheme="majorHAnsi" w:hAnsiTheme="majorHAnsi"/>
                <w:b/>
                <w:sz w:val="22"/>
                <w:szCs w:val="22"/>
                <w:lang w:val="en-US"/>
              </w:rPr>
              <w:t>Lyginamasis svoris</w:t>
            </w:r>
          </w:p>
        </w:tc>
        <w:tc>
          <w:tcPr>
            <w:tcW w:w="791" w:type="pct"/>
            <w:shd w:val="clear" w:color="auto" w:fill="auto"/>
          </w:tcPr>
          <w:p w:rsidR="00B83B66" w:rsidRPr="008D1C53" w:rsidRDefault="00B83B66" w:rsidP="00B83B66">
            <w:pPr>
              <w:jc w:val="center"/>
              <w:rPr>
                <w:rFonts w:asciiTheme="majorHAnsi" w:hAnsiTheme="majorHAnsi"/>
                <w:b/>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Kapiliarinio kraujo ir audinių skysčio automatizuotam tyrimui atlikti reikalingas (įsiurbiamas) ėminio kiekis mažesnis nei 90 µl.</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2</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Hematologiniai analizatoriai hemoglobiną nustato becianidiniu metodu.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2</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0,01</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3</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Hematologiniai analizatoriai nustato diagnostinį parametrą - kraujo kamieninių ląstelių absoliutų ir santykinį kiekį (#,%) veniniame kraujyje.</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3</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0,16</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4</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Bent vienas iš hematologinių analizatorių turi galimybę nustatyti diagnostinius išplėstinius uždegiminius parametrus: antikūnus sintezuojančius limfocitus (%, #), reakcinius limfocitus (%, #), neutrofilų </w:t>
            </w:r>
            <w:r w:rsidRPr="00EB0FA3">
              <w:rPr>
                <w:rFonts w:asciiTheme="majorHAnsi" w:hAnsiTheme="majorHAnsi"/>
                <w:sz w:val="22"/>
                <w:szCs w:val="22"/>
              </w:rPr>
              <w:lastRenderedPageBreak/>
              <w:t xml:space="preserve">granuliuotumo intensyvumą, neutrofilų reaktyvumo intensyvumą.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lastRenderedPageBreak/>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4</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0,05</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5</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Bent vienas iš hematologinių analizatorių turi galimybę stebėti pacientų, kuriems taikoma chimerinių antigenų receptorių (CAR) T-ląstelių terapija, hematologinių rodiklių pokyčius t.y. limfocitų populiacijos pasiskirstymo plotį pagal šoninės šviesos sklaidą - LY-WX (angl. </w:t>
            </w:r>
            <w:r w:rsidRPr="00EB0FA3">
              <w:rPr>
                <w:rFonts w:asciiTheme="majorHAnsi" w:hAnsiTheme="majorHAnsi"/>
                <w:i/>
                <w:iCs/>
                <w:sz w:val="22"/>
                <w:szCs w:val="22"/>
              </w:rPr>
              <w:t>Side scattered light distribution width of the lymphocyte population</w:t>
            </w:r>
            <w:r w:rsidRPr="00EB0FA3">
              <w:rPr>
                <w:rFonts w:asciiTheme="majorHAnsi" w:hAnsiTheme="majorHAnsi"/>
                <w:sz w:val="22"/>
                <w:szCs w:val="22"/>
              </w:rPr>
              <w:t xml:space="preserve">), limfocitų populiacijos pasiskirstymo plotį pagal fluorescencinės šviesos sklaidą - LY-WY (angl. </w:t>
            </w:r>
            <w:r w:rsidRPr="00EB0FA3">
              <w:rPr>
                <w:rFonts w:asciiTheme="majorHAnsi" w:hAnsiTheme="majorHAnsi"/>
                <w:i/>
                <w:iCs/>
                <w:sz w:val="22"/>
                <w:szCs w:val="22"/>
              </w:rPr>
              <w:t>Fluorescent light distribution width of the lymphocyte population</w:t>
            </w:r>
            <w:r w:rsidRPr="00EB0FA3">
              <w:rPr>
                <w:rFonts w:asciiTheme="majorHAnsi" w:hAnsiTheme="majorHAnsi"/>
                <w:sz w:val="22"/>
                <w:szCs w:val="22"/>
              </w:rPr>
              <w:t xml:space="preserve">).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themeColor="text1"/>
                <w:sz w:val="22"/>
                <w:szCs w:val="22"/>
                <w:lang w:val="en-US"/>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5</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0,06</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6</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Bent vienas iš hematologinių analizatorių turi galimybę atlikti tikslesnę trombocitų kiekio analizę, atliekant matavimą papildomame kanale, naudojant papildomą fluorescentinį žymenį (matuojami diagnostiniai parametrai: PLT-F – trombocitų kiekis išmatuotas PLT-F kanale, IPF (%,#)).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themeColor="text1"/>
                <w:sz w:val="22"/>
                <w:szCs w:val="22"/>
                <w:lang w:val="en-US"/>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6</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0,07</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7</w:t>
            </w:r>
          </w:p>
        </w:tc>
        <w:tc>
          <w:tcPr>
            <w:tcW w:w="2298" w:type="pct"/>
            <w:shd w:val="clear" w:color="auto" w:fill="auto"/>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Visi bendro hematologinio tyrimo ir retikulocitų analičių kontroliuojami parametrai yra tose pačiose kontrolinėse medžiagose.</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themeColor="text1"/>
                <w:sz w:val="22"/>
                <w:szCs w:val="22"/>
                <w:lang w:val="en-US"/>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7</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8</w:t>
            </w:r>
          </w:p>
        </w:tc>
        <w:tc>
          <w:tcPr>
            <w:tcW w:w="2298" w:type="pct"/>
            <w:shd w:val="clear" w:color="auto" w:fill="auto"/>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Automatinių hematologinių analizatorių matuojamų analičių netikslumas (angl. inaccuracy): </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a) eritrocitai (RBC) – ≤ ± 0,03 x 10^12/ L;</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b) trombocitai (PLT) – ≤ ± 10 x 10^9/ L.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8</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0,06</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9</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Automatizuotų kūno ir smegenų skysčio analičių matavimo ribos ne siauresnės kaip:</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a) bendras branduolėtų ląstelių skaičius 0,003–10,0 x 10^9/L;</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b) monoklearinės ląstelės (MN) 0,003–10,0 x 10^9/L;</w:t>
            </w:r>
            <w:r w:rsidRPr="00EB0FA3">
              <w:rPr>
                <w:rFonts w:asciiTheme="majorHAnsi" w:hAnsiTheme="majorHAnsi"/>
                <w:sz w:val="22"/>
                <w:szCs w:val="22"/>
              </w:rPr>
              <w:br/>
              <w:t>c) polimorfonuklearinės ląstelės (PMN) 0,003–10,0 x 10^9/L.</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9</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10</w:t>
            </w:r>
          </w:p>
        </w:tc>
        <w:tc>
          <w:tcPr>
            <w:tcW w:w="2298" w:type="pct"/>
            <w:shd w:val="clear" w:color="auto" w:fill="auto"/>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Galimybė išmatuoti analites, leidžiančias diferencijuoti ląsteles kūno skysčių ėminiuose: </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a) ryškios fluorescencijos ląstelės (#, %); </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b) limfocitai (#, %); </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c) monocitai (#, %); </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d) neutrofilai (#, %); </w:t>
            </w:r>
          </w:p>
          <w:p w:rsidR="00EB0FA3" w:rsidRPr="00EB0FA3" w:rsidRDefault="00EB0FA3" w:rsidP="00EB0FA3">
            <w:pPr>
              <w:rPr>
                <w:rFonts w:asciiTheme="majorHAnsi" w:hAnsiTheme="majorHAnsi"/>
                <w:sz w:val="22"/>
                <w:szCs w:val="22"/>
              </w:rPr>
            </w:pPr>
            <w:r w:rsidRPr="00EB0FA3">
              <w:rPr>
                <w:rFonts w:asciiTheme="majorHAnsi" w:hAnsiTheme="majorHAnsi"/>
                <w:sz w:val="22"/>
                <w:szCs w:val="22"/>
              </w:rPr>
              <w:t>e) eozinofilai (#,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10</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0,06</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11</w:t>
            </w:r>
          </w:p>
        </w:tc>
        <w:tc>
          <w:tcPr>
            <w:tcW w:w="2298" w:type="pct"/>
            <w:shd w:val="clear" w:color="auto" w:fill="auto"/>
          </w:tcPr>
          <w:p w:rsidR="00EB0FA3" w:rsidRPr="00EB0FA3" w:rsidRDefault="00EB0FA3" w:rsidP="00EB0FA3">
            <w:pPr>
              <w:rPr>
                <w:rFonts w:asciiTheme="majorHAnsi" w:hAnsiTheme="majorHAnsi"/>
                <w:color w:val="000000"/>
                <w:sz w:val="22"/>
                <w:szCs w:val="22"/>
              </w:rPr>
            </w:pPr>
            <w:r w:rsidRPr="00EB0FA3">
              <w:rPr>
                <w:rFonts w:asciiTheme="majorHAnsi" w:hAnsiTheme="majorHAnsi"/>
                <w:color w:val="000000"/>
                <w:sz w:val="22"/>
                <w:szCs w:val="22"/>
              </w:rPr>
              <w:t>Tarpinė programinė įranga turi funkcionalumą, leidžiantį įvertinti ir nustatyti galimas mėginių klaidas preanaliziniame etape (pvz.</w:t>
            </w:r>
            <w:r w:rsidRPr="00EB0FA3">
              <w:rPr>
                <w:rFonts w:asciiTheme="majorHAnsi" w:hAnsiTheme="majorHAnsi"/>
                <w:color w:val="FF0000"/>
                <w:sz w:val="22"/>
                <w:szCs w:val="22"/>
              </w:rPr>
              <w:t>,</w:t>
            </w:r>
            <w:r w:rsidRPr="00EB0FA3">
              <w:rPr>
                <w:rFonts w:asciiTheme="majorHAnsi" w:hAnsiTheme="majorHAnsi"/>
                <w:color w:val="000000"/>
                <w:sz w:val="22"/>
                <w:szCs w:val="22"/>
              </w:rPr>
              <w:t xml:space="preserve"> įtariamas kraujo krešulys mėginyje, įtariami šalčio agliutininai).</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11</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12</w:t>
            </w:r>
          </w:p>
        </w:tc>
        <w:tc>
          <w:tcPr>
            <w:tcW w:w="2298" w:type="pct"/>
            <w:shd w:val="clear" w:color="auto" w:fill="auto"/>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Esant šalčio agliutininų mėginyje įtarimui, eritrocitų matavimas vyksta automatiškai, </w:t>
            </w:r>
            <w:r w:rsidRPr="00EB0FA3">
              <w:rPr>
                <w:rFonts w:asciiTheme="majorHAnsi" w:hAnsiTheme="majorHAnsi"/>
                <w:sz w:val="22"/>
                <w:szCs w:val="22"/>
              </w:rPr>
              <w:lastRenderedPageBreak/>
              <w:t>tiesiogiai automatinio hematologinio analizatoriaus reguliuojamoje matavimo kameroje, +41ºC temperatūroje.</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lastRenderedPageBreak/>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12</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0,08</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13</w:t>
            </w:r>
          </w:p>
        </w:tc>
        <w:tc>
          <w:tcPr>
            <w:tcW w:w="2298" w:type="pct"/>
            <w:shd w:val="clear" w:color="auto" w:fill="auto"/>
          </w:tcPr>
          <w:p w:rsidR="00EB0FA3" w:rsidRPr="00EB0FA3" w:rsidRDefault="00EB0FA3" w:rsidP="00EB0FA3">
            <w:pPr>
              <w:rPr>
                <w:rFonts w:asciiTheme="majorHAnsi" w:hAnsiTheme="majorHAnsi"/>
                <w:color w:val="000000"/>
                <w:sz w:val="22"/>
                <w:szCs w:val="22"/>
              </w:rPr>
            </w:pPr>
            <w:r w:rsidRPr="00EB0FA3">
              <w:rPr>
                <w:rFonts w:asciiTheme="majorHAnsi" w:hAnsiTheme="majorHAnsi"/>
                <w:color w:val="000000"/>
                <w:sz w:val="22"/>
                <w:szCs w:val="22"/>
              </w:rPr>
              <w:t>Tarpinė programinė įranga turi funkcionalumą, leidžiantį optimizuoti tepinėlių atlikimo valdymą (sumažinti nereikalingų tepinėlių atlikimo skaičių) esant monocitozei.</w:t>
            </w:r>
          </w:p>
        </w:tc>
        <w:tc>
          <w:tcPr>
            <w:tcW w:w="808" w:type="pct"/>
            <w:shd w:val="clear" w:color="auto" w:fill="auto"/>
          </w:tcPr>
          <w:p w:rsidR="00EB0FA3" w:rsidRPr="00EB0FA3" w:rsidRDefault="00EB0FA3" w:rsidP="00EB0FA3">
            <w:pPr>
              <w:jc w:val="center"/>
              <w:rPr>
                <w:rFonts w:asciiTheme="majorHAnsi" w:hAnsiTheme="majorHAnsi"/>
                <w:sz w:val="22"/>
                <w:szCs w:val="22"/>
                <w:lang w:val="en-US"/>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themeColor="text1"/>
                <w:sz w:val="22"/>
                <w:szCs w:val="22"/>
                <w:lang w:val="en-US"/>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13</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0,06</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14</w:t>
            </w:r>
          </w:p>
        </w:tc>
        <w:tc>
          <w:tcPr>
            <w:tcW w:w="2298" w:type="pct"/>
            <w:shd w:val="clear" w:color="auto" w:fill="auto"/>
          </w:tcPr>
          <w:p w:rsidR="00EB0FA3" w:rsidRPr="00EB0FA3" w:rsidRDefault="00EB0FA3" w:rsidP="00EB0FA3">
            <w:pPr>
              <w:rPr>
                <w:rFonts w:asciiTheme="majorHAnsi" w:hAnsiTheme="majorHAnsi"/>
                <w:color w:val="000000"/>
                <w:sz w:val="22"/>
                <w:szCs w:val="22"/>
              </w:rPr>
            </w:pPr>
            <w:r w:rsidRPr="00EB0FA3">
              <w:rPr>
                <w:rFonts w:asciiTheme="majorHAnsi" w:hAnsiTheme="majorHAnsi"/>
                <w:color w:val="000000"/>
                <w:sz w:val="22"/>
                <w:szCs w:val="22"/>
              </w:rPr>
              <w:t>Visos hematologiniams tyrimams naudojamos kasdienės įrangos priežiūros/valymo priemonės paruoštos naudoti, tai yra jų nereikia perpilti ar skiesti rankiniu būdu, galima talpinti tiesiai į analizatorių ir atlikti reikalingas procedūras.</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14</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15</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Biomedicininė validacija - kai dėl matuojamų analičių pokyčių bendrajame hematologiniame tyrime su ≥ 5-ių dalių leukograma būtina atlikti kraujo tepinėlio skaitmeninį citomorfologinį tyrimą, tyrimas atliekamas automatiškai, pagal oficialias, gamintojo rekomenduojamas (tokias kaip GFHC (angl. </w:t>
            </w:r>
            <w:r w:rsidRPr="00EB0FA3">
              <w:rPr>
                <w:rFonts w:asciiTheme="majorHAnsi" w:hAnsiTheme="majorHAnsi"/>
                <w:i/>
                <w:iCs/>
                <w:sz w:val="22"/>
                <w:szCs w:val="22"/>
              </w:rPr>
              <w:t>Francophone Group of Cellular Haematology</w:t>
            </w:r>
            <w:r w:rsidRPr="00EB0FA3">
              <w:rPr>
                <w:rFonts w:asciiTheme="majorHAnsi" w:hAnsiTheme="majorHAnsi"/>
                <w:sz w:val="22"/>
                <w:szCs w:val="22"/>
              </w:rPr>
              <w:t>) arba lygiavertes), adaptuotas siūlomiems hematologiniams analizatoriams, lengvai koreguojamas pagal perkančiosios organizacijos poreikį taisykles.</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15</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0,05</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16</w:t>
            </w:r>
          </w:p>
        </w:tc>
        <w:tc>
          <w:tcPr>
            <w:tcW w:w="2298" w:type="pct"/>
            <w:shd w:val="clear" w:color="auto" w:fill="auto"/>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Įsiurbiamas ėminio kiekis, reikalingas tepinėliui atlikti iš standartinio mėgintuvėlio ne didesnis kaip 70 μl, o tepinėlio atlikimui iš mikromėgintuvėlio ne didesnis kaip 38 μl (vieno objektinio stiklelio paruošimas).</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16</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0,1</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17</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Tepinėlių ruošimo ir dažymo našumas – ne mažiau kaip 75 tepinėliai per valandą.</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17</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0,01</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18</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Skaitmeninė kraujo morfologijos vertinimo sistema turi galeriją/biblioteką su etaloninių ląstelių pasirinkimu ir galimybę įtraukti etalonines ląsteles į galeriją/biblioteką.</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18</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0,01</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19</w:t>
            </w:r>
          </w:p>
        </w:tc>
        <w:tc>
          <w:tcPr>
            <w:tcW w:w="2298" w:type="pct"/>
          </w:tcPr>
          <w:p w:rsidR="00EB0FA3" w:rsidRPr="00EB0FA3" w:rsidRDefault="00EB0FA3" w:rsidP="00EB0FA3">
            <w:pPr>
              <w:rPr>
                <w:rFonts w:asciiTheme="majorHAnsi" w:hAnsiTheme="majorHAnsi"/>
                <w:color w:val="000000"/>
                <w:sz w:val="22"/>
                <w:szCs w:val="22"/>
              </w:rPr>
            </w:pPr>
            <w:r w:rsidRPr="00EB0FA3">
              <w:rPr>
                <w:rFonts w:asciiTheme="majorHAnsi" w:hAnsiTheme="majorHAnsi"/>
                <w:color w:val="000000"/>
                <w:sz w:val="22"/>
                <w:szCs w:val="22"/>
              </w:rPr>
              <w:t>Galimybė skaitmeninėje kraujo morfologijos vertinimo sistemoje įvesti ne mažiau kaip 25 papildomas kraujo ir audinių skysčių ląstelių klasifikavimo kategorijas.</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19</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20</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Automatinis eritrocitų nusėdimo greičio (ENG) matavimas atliekamas </w:t>
            </w:r>
            <w:r w:rsidRPr="00EB0FA3">
              <w:rPr>
                <w:rFonts w:asciiTheme="majorHAnsi" w:hAnsiTheme="majorHAnsi"/>
                <w:i/>
                <w:iCs/>
                <w:sz w:val="22"/>
                <w:szCs w:val="22"/>
              </w:rPr>
              <w:t>Westergren</w:t>
            </w:r>
            <w:r w:rsidRPr="00EB0FA3">
              <w:rPr>
                <w:rFonts w:asciiTheme="majorHAnsi" w:hAnsiTheme="majorHAnsi"/>
                <w:iCs/>
                <w:sz w:val="22"/>
                <w:szCs w:val="22"/>
              </w:rPr>
              <w:t xml:space="preserve"> </w:t>
            </w:r>
            <w:r w:rsidRPr="00EB0FA3">
              <w:rPr>
                <w:rFonts w:asciiTheme="majorHAnsi" w:hAnsiTheme="majorHAnsi"/>
                <w:sz w:val="22"/>
                <w:szCs w:val="22"/>
              </w:rPr>
              <w:t>metodu</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20</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0,06</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21</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Galimybė atlikti ENG tyrimą iš mikromėgintuvėlio rankiniu būdu. </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t>Statinis: (yra/nėra)</w:t>
            </w:r>
          </w:p>
        </w:tc>
        <w:tc>
          <w:tcPr>
            <w:tcW w:w="830" w:type="pct"/>
            <w:shd w:val="clear" w:color="auto" w:fill="auto"/>
          </w:tcPr>
          <w:p w:rsidR="00EB0FA3" w:rsidRPr="00EB0FA3" w:rsidRDefault="00EB0FA3" w:rsidP="00EB0FA3">
            <w:pPr>
              <w:jc w:val="center"/>
              <w:rPr>
                <w:rFonts w:asciiTheme="majorHAnsi" w:hAnsiTheme="majorHAnsi"/>
                <w:color w:val="000000" w:themeColor="text1"/>
                <w:sz w:val="22"/>
                <w:szCs w:val="22"/>
                <w:lang w:val="en-US"/>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21</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r w:rsidR="00EB0FA3" w:rsidRPr="008D1C53" w:rsidTr="00EB0FA3">
        <w:tc>
          <w:tcPr>
            <w:tcW w:w="273" w:type="pct"/>
            <w:shd w:val="clear" w:color="auto" w:fill="auto"/>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T</w:t>
            </w:r>
            <w:r w:rsidRPr="008D1C53">
              <w:rPr>
                <w:rFonts w:asciiTheme="majorHAnsi" w:hAnsiTheme="majorHAnsi"/>
                <w:sz w:val="22"/>
                <w:szCs w:val="22"/>
                <w:vertAlign w:val="subscript"/>
                <w:lang w:val="en-US"/>
              </w:rPr>
              <w:t>22</w:t>
            </w:r>
          </w:p>
        </w:tc>
        <w:tc>
          <w:tcPr>
            <w:tcW w:w="2298" w:type="pct"/>
          </w:tcPr>
          <w:p w:rsidR="00EB0FA3" w:rsidRPr="00EB0FA3" w:rsidRDefault="00EB0FA3" w:rsidP="00EB0FA3">
            <w:pPr>
              <w:rPr>
                <w:rFonts w:asciiTheme="majorHAnsi" w:hAnsiTheme="majorHAnsi"/>
                <w:sz w:val="22"/>
                <w:szCs w:val="22"/>
              </w:rPr>
            </w:pPr>
            <w:r w:rsidRPr="00EB0FA3">
              <w:rPr>
                <w:rFonts w:asciiTheme="majorHAnsi" w:hAnsiTheme="majorHAnsi"/>
                <w:sz w:val="22"/>
                <w:szCs w:val="22"/>
              </w:rPr>
              <w:t xml:space="preserve">Sistemos programa suteikia galimybę kiekvienoje nuotolinėje tepinėlių mikroskopavimo ir vertinimo vietoje monitoriaus ekrane tuo pačiu metu matyti </w:t>
            </w:r>
            <w:r w:rsidRPr="00EB0FA3">
              <w:rPr>
                <w:rFonts w:asciiTheme="majorHAnsi" w:hAnsiTheme="majorHAnsi"/>
                <w:sz w:val="22"/>
                <w:szCs w:val="22"/>
              </w:rPr>
              <w:lastRenderedPageBreak/>
              <w:t>bendrojo hematologinio tyrimo ir tuo metu vertinamo skaitmeninio citomorfologinio kraujo tepinėlio vaizdus.</w:t>
            </w:r>
          </w:p>
        </w:tc>
        <w:tc>
          <w:tcPr>
            <w:tcW w:w="808"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sz w:val="22"/>
                <w:szCs w:val="22"/>
                <w:lang w:val="en-US"/>
              </w:rPr>
              <w:lastRenderedPageBreak/>
              <w:t>Statinis: (yra/nėra)</w:t>
            </w:r>
          </w:p>
        </w:tc>
        <w:tc>
          <w:tcPr>
            <w:tcW w:w="830" w:type="pct"/>
            <w:shd w:val="clear" w:color="auto" w:fill="auto"/>
          </w:tcPr>
          <w:p w:rsidR="00EB0FA3" w:rsidRPr="00EB0FA3" w:rsidRDefault="00EB0FA3" w:rsidP="00EB0FA3">
            <w:pPr>
              <w:jc w:val="center"/>
              <w:rPr>
                <w:rFonts w:asciiTheme="majorHAnsi" w:hAnsiTheme="majorHAnsi"/>
                <w:sz w:val="22"/>
                <w:szCs w:val="22"/>
              </w:rPr>
            </w:pPr>
            <w:r w:rsidRPr="00EB0FA3">
              <w:rPr>
                <w:rFonts w:asciiTheme="majorHAnsi" w:hAnsiTheme="majorHAnsi"/>
                <w:color w:val="000000" w:themeColor="text1"/>
                <w:sz w:val="22"/>
                <w:szCs w:val="22"/>
                <w:lang w:val="en-US"/>
              </w:rPr>
              <w:t>L</w:t>
            </w:r>
            <w:r w:rsidRPr="00EB0FA3">
              <w:rPr>
                <w:rFonts w:asciiTheme="majorHAnsi" w:hAnsiTheme="majorHAnsi"/>
                <w:color w:val="000000" w:themeColor="text1"/>
                <w:sz w:val="22"/>
                <w:szCs w:val="22"/>
                <w:vertAlign w:val="subscript"/>
                <w:lang w:val="en-US"/>
              </w:rPr>
              <w:t>23</w:t>
            </w:r>
            <w:r w:rsidRPr="00EB0FA3">
              <w:rPr>
                <w:rFonts w:asciiTheme="majorHAnsi" w:hAnsiTheme="majorHAnsi"/>
                <w:color w:val="000000" w:themeColor="text1"/>
                <w:sz w:val="22"/>
                <w:szCs w:val="22"/>
                <w:lang w:val="en-US"/>
              </w:rPr>
              <w:t xml:space="preserve"> = </w:t>
            </w:r>
            <w:r w:rsidRPr="00EB0FA3">
              <w:rPr>
                <w:rFonts w:asciiTheme="majorHAnsi" w:hAnsiTheme="majorHAnsi"/>
                <w:color w:val="000000"/>
                <w:sz w:val="22"/>
                <w:szCs w:val="22"/>
              </w:rPr>
              <w:t>0,02</w:t>
            </w:r>
          </w:p>
        </w:tc>
        <w:tc>
          <w:tcPr>
            <w:tcW w:w="791" w:type="pct"/>
            <w:shd w:val="clear" w:color="auto" w:fill="auto"/>
          </w:tcPr>
          <w:p w:rsidR="00EB0FA3" w:rsidRPr="008D1C53" w:rsidRDefault="00EB0FA3" w:rsidP="00EB0FA3">
            <w:pPr>
              <w:jc w:val="center"/>
              <w:rPr>
                <w:rFonts w:asciiTheme="majorHAnsi" w:hAnsiTheme="majorHAnsi"/>
                <w:sz w:val="22"/>
                <w:szCs w:val="22"/>
                <w:lang w:val="en-US"/>
              </w:rPr>
            </w:pPr>
          </w:p>
        </w:tc>
      </w:tr>
    </w:tbl>
    <w:p w:rsidR="00B83B66" w:rsidRPr="008D1C53" w:rsidRDefault="00B83B66" w:rsidP="00B83B66">
      <w:pPr>
        <w:shd w:val="clear" w:color="auto" w:fill="FFFFFF"/>
        <w:spacing w:after="160" w:line="256" w:lineRule="auto"/>
        <w:ind w:firstLine="284"/>
        <w:jc w:val="both"/>
        <w:rPr>
          <w:rFonts w:asciiTheme="majorHAnsi" w:hAnsiTheme="majorHAnsi"/>
          <w:color w:val="000000"/>
          <w:sz w:val="22"/>
          <w:szCs w:val="22"/>
          <w:lang w:val="en-US"/>
        </w:rPr>
      </w:pPr>
    </w:p>
    <w:p w:rsidR="00EB0FA3" w:rsidRPr="00F52756" w:rsidRDefault="00EB0FA3" w:rsidP="00EB0FA3">
      <w:pPr>
        <w:shd w:val="clear" w:color="auto" w:fill="FFFFFF"/>
        <w:spacing w:after="160" w:line="256" w:lineRule="auto"/>
        <w:ind w:firstLine="284"/>
        <w:jc w:val="both"/>
        <w:rPr>
          <w:color w:val="000000"/>
          <w:sz w:val="22"/>
          <w:szCs w:val="22"/>
          <w:lang w:val="en-US"/>
        </w:rPr>
      </w:pPr>
      <w:r w:rsidRPr="00F52756">
        <w:rPr>
          <w:color w:val="000000"/>
          <w:sz w:val="22"/>
          <w:szCs w:val="22"/>
          <w:lang w:val="en-US"/>
        </w:rPr>
        <w:t>Pasiūlymo ekonominio naudingumo (kainos ir kokybės santykio) apskaičiavimo tvarka (formulė) yra pateikiama žemiau:</w:t>
      </w:r>
    </w:p>
    <w:p w:rsidR="00EB0FA3" w:rsidRPr="00F52756" w:rsidRDefault="00EB0FA3" w:rsidP="00EB0FA3">
      <w:pPr>
        <w:shd w:val="clear" w:color="auto" w:fill="FFFFFF"/>
        <w:spacing w:after="160" w:line="256" w:lineRule="auto"/>
        <w:ind w:firstLine="284"/>
        <w:jc w:val="both"/>
        <w:rPr>
          <w:color w:val="000000"/>
          <w:sz w:val="22"/>
          <w:szCs w:val="22"/>
          <w:lang w:val="en-US"/>
        </w:rPr>
      </w:pPr>
      <w:r w:rsidRPr="00F52756">
        <w:rPr>
          <w:color w:val="000000"/>
          <w:sz w:val="22"/>
          <w:szCs w:val="22"/>
          <w:lang w:val="en-US"/>
        </w:rPr>
        <w:t>1. Pasiūlymo ekonominis naudingumas (E) apskaičiuojamas sudedant tiekėjo pasiūlymo kainos (K) ir techninių pranašumų (T) balus:</w:t>
      </w:r>
    </w:p>
    <w:p w:rsidR="00EB0FA3" w:rsidRPr="00F52756" w:rsidRDefault="00EB0FA3" w:rsidP="00EB0FA3">
      <w:pPr>
        <w:shd w:val="clear" w:color="auto" w:fill="FFFFFF"/>
        <w:spacing w:after="360" w:line="257" w:lineRule="auto"/>
        <w:ind w:firstLine="284"/>
        <w:jc w:val="center"/>
        <w:rPr>
          <w:color w:val="000000"/>
          <w:sz w:val="22"/>
          <w:szCs w:val="22"/>
          <w:lang w:val="en-US"/>
        </w:rPr>
      </w:pPr>
      <w:r w:rsidRPr="00F52756">
        <w:rPr>
          <w:i/>
          <w:iCs/>
          <w:color w:val="000000"/>
          <w:sz w:val="22"/>
          <w:szCs w:val="22"/>
          <w:lang w:val="en-US"/>
        </w:rPr>
        <w:t xml:space="preserve">E </w:t>
      </w:r>
      <w:r w:rsidRPr="00F52756">
        <w:rPr>
          <w:color w:val="000000"/>
          <w:sz w:val="22"/>
          <w:szCs w:val="22"/>
          <w:lang w:val="en-US"/>
        </w:rPr>
        <w:t xml:space="preserve">= </w:t>
      </w:r>
      <w:r w:rsidRPr="00F52756">
        <w:rPr>
          <w:i/>
          <w:color w:val="000000"/>
          <w:sz w:val="22"/>
          <w:szCs w:val="22"/>
          <w:lang w:val="en-US"/>
        </w:rPr>
        <w:t>K</w:t>
      </w:r>
      <w:r w:rsidRPr="00F52756">
        <w:rPr>
          <w:color w:val="000000"/>
          <w:sz w:val="22"/>
          <w:szCs w:val="22"/>
          <w:lang w:val="en-US"/>
        </w:rPr>
        <w:t xml:space="preserve"> </w:t>
      </w:r>
      <w:r w:rsidRPr="00F52756">
        <w:rPr>
          <w:i/>
          <w:iCs/>
          <w:color w:val="000000"/>
          <w:sz w:val="22"/>
          <w:szCs w:val="22"/>
          <w:lang w:val="en-US"/>
        </w:rPr>
        <w:t>+ T</w:t>
      </w:r>
    </w:p>
    <w:p w:rsidR="00EB0FA3" w:rsidRPr="00F52756" w:rsidRDefault="00EB0FA3" w:rsidP="00EB0FA3">
      <w:pPr>
        <w:shd w:val="clear" w:color="auto" w:fill="FFFFFF"/>
        <w:spacing w:after="160" w:line="256" w:lineRule="auto"/>
        <w:ind w:firstLine="284"/>
        <w:jc w:val="both"/>
        <w:rPr>
          <w:color w:val="000000" w:themeColor="text1"/>
          <w:sz w:val="22"/>
          <w:szCs w:val="22"/>
          <w:lang w:val="en-US"/>
        </w:rPr>
      </w:pPr>
      <w:r w:rsidRPr="00F52756">
        <w:rPr>
          <w:iCs/>
          <w:color w:val="000000"/>
          <w:sz w:val="22"/>
          <w:szCs w:val="22"/>
          <w:lang w:val="en-US"/>
        </w:rPr>
        <w:t xml:space="preserve">2. </w:t>
      </w:r>
      <w:r w:rsidRPr="00F52756">
        <w:rPr>
          <w:color w:val="000000"/>
          <w:sz w:val="22"/>
          <w:szCs w:val="22"/>
          <w:lang w:val="en-US"/>
        </w:rPr>
        <w:t xml:space="preserve">Pasiūlymo kainos (K) balai </w:t>
      </w:r>
      <w:r w:rsidRPr="00F52756">
        <w:rPr>
          <w:color w:val="000000" w:themeColor="text1"/>
          <w:sz w:val="22"/>
          <w:szCs w:val="22"/>
          <w:lang w:val="en-US"/>
        </w:rPr>
        <w:t>apskaičiuojami mažiausios pasiūlytos kainos (K</w:t>
      </w:r>
      <w:r w:rsidRPr="00F52756">
        <w:rPr>
          <w:color w:val="000000" w:themeColor="text1"/>
          <w:sz w:val="22"/>
          <w:szCs w:val="22"/>
          <w:vertAlign w:val="subscript"/>
          <w:lang w:val="en-US"/>
        </w:rPr>
        <w:t>min</w:t>
      </w:r>
      <w:r w:rsidRPr="00F52756">
        <w:rPr>
          <w:color w:val="000000" w:themeColor="text1"/>
          <w:sz w:val="22"/>
          <w:szCs w:val="22"/>
          <w:lang w:val="en-US"/>
        </w:rPr>
        <w:t>) ir vertinamo pasiūlymo kainos (K</w:t>
      </w:r>
      <w:r w:rsidRPr="00F52756">
        <w:rPr>
          <w:color w:val="000000" w:themeColor="text1"/>
          <w:sz w:val="22"/>
          <w:szCs w:val="22"/>
          <w:vertAlign w:val="subscript"/>
          <w:lang w:val="en-US"/>
        </w:rPr>
        <w:t>v</w:t>
      </w:r>
      <w:r w:rsidRPr="00F52756">
        <w:rPr>
          <w:color w:val="000000" w:themeColor="text1"/>
          <w:sz w:val="22"/>
          <w:szCs w:val="22"/>
          <w:lang w:val="en-US"/>
        </w:rPr>
        <w:t>) santykį padauginant iš kainos lyginamojo svorio (X):</w:t>
      </w:r>
    </w:p>
    <w:p w:rsidR="00EB0FA3" w:rsidRPr="00F52756" w:rsidRDefault="00EB0FA3" w:rsidP="00EB0FA3">
      <w:pPr>
        <w:spacing w:after="360" w:line="257" w:lineRule="auto"/>
        <w:ind w:firstLine="284"/>
        <w:jc w:val="center"/>
        <w:rPr>
          <w:color w:val="000000" w:themeColor="text1"/>
          <w:sz w:val="22"/>
          <w:szCs w:val="22"/>
          <w:lang w:val="en-US"/>
        </w:rPr>
      </w:pPr>
      <m:oMathPara>
        <m:oMath>
          <m:r>
            <w:rPr>
              <w:rFonts w:ascii="Cambria Math" w:hAnsi="Cambria Math"/>
              <w:color w:val="000000" w:themeColor="text1"/>
              <w:sz w:val="22"/>
              <w:szCs w:val="22"/>
              <w:lang w:val="en-US"/>
            </w:rPr>
            <m:t>K</m:t>
          </m:r>
          <m:r>
            <w:rPr>
              <w:rFonts w:ascii="Cambria Math"/>
              <w:color w:val="000000" w:themeColor="text1"/>
              <w:sz w:val="22"/>
              <w:szCs w:val="22"/>
              <w:lang w:val="en-US"/>
            </w:rPr>
            <m:t>=</m:t>
          </m:r>
          <m:f>
            <m:fPr>
              <m:ctrlPr>
                <w:rPr>
                  <w:rFonts w:ascii="Cambria Math" w:hAnsi="Cambria Math"/>
                  <w:color w:val="000000" w:themeColor="text1"/>
                  <w:sz w:val="22"/>
                  <w:szCs w:val="22"/>
                  <w:lang w:val="en-US"/>
                </w:rPr>
              </m:ctrlPr>
            </m:fPr>
            <m:num>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K</m:t>
                  </m:r>
                </m:e>
                <m:sub>
                  <m:r>
                    <w:rPr>
                      <w:rFonts w:ascii="Cambria Math" w:hAnsi="Cambria Math"/>
                      <w:color w:val="000000" w:themeColor="text1"/>
                      <w:sz w:val="22"/>
                      <w:szCs w:val="22"/>
                      <w:lang w:val="en-US"/>
                    </w:rPr>
                    <m:t>min</m:t>
                  </m:r>
                </m:sub>
              </m:sSub>
            </m:num>
            <m:den>
              <m:sSub>
                <m:sSubPr>
                  <m:ctrlPr>
                    <w:rPr>
                      <w:rFonts w:ascii="Cambria Math" w:hAnsi="Cambria Math"/>
                      <w:i/>
                      <w:color w:val="000000" w:themeColor="text1"/>
                      <w:sz w:val="22"/>
                      <w:szCs w:val="22"/>
                      <w:lang w:val="en-US"/>
                    </w:rPr>
                  </m:ctrlPr>
                </m:sSubPr>
                <m:e>
                  <m:r>
                    <w:rPr>
                      <w:rFonts w:ascii="Cambria Math" w:hAnsi="Cambria Math"/>
                      <w:color w:val="000000" w:themeColor="text1"/>
                      <w:sz w:val="22"/>
                      <w:szCs w:val="22"/>
                      <w:lang w:val="en-US"/>
                    </w:rPr>
                    <m:t>K</m:t>
                  </m:r>
                </m:e>
                <m:sub>
                  <m:r>
                    <w:rPr>
                      <w:rFonts w:ascii="Cambria Math" w:hAnsi="Cambria Math"/>
                      <w:color w:val="000000" w:themeColor="text1"/>
                      <w:sz w:val="22"/>
                      <w:szCs w:val="22"/>
                      <w:lang w:val="en-US"/>
                    </w:rPr>
                    <m:t>v</m:t>
                  </m:r>
                </m:sub>
              </m:sSub>
            </m:den>
          </m:f>
          <m:r>
            <w:rPr>
              <w:rFonts w:ascii="Cambria Math"/>
              <w:color w:val="000000" w:themeColor="text1"/>
              <w:sz w:val="22"/>
              <w:szCs w:val="22"/>
              <w:lang w:val="en-US"/>
            </w:rPr>
            <m:t xml:space="preserve"> </m:t>
          </m:r>
          <m:r>
            <w:rPr>
              <w:rFonts w:ascii="Cambria Math" w:hAnsi="Cambria Math"/>
              <w:color w:val="000000" w:themeColor="text1"/>
              <w:sz w:val="22"/>
              <w:szCs w:val="22"/>
              <w:lang w:val="en-US"/>
            </w:rPr>
            <m:t>×X</m:t>
          </m:r>
        </m:oMath>
      </m:oMathPara>
    </w:p>
    <w:p w:rsidR="00EB0FA3" w:rsidRPr="00F52756" w:rsidRDefault="00EB0FA3" w:rsidP="00EB0FA3">
      <w:pPr>
        <w:spacing w:after="160" w:line="256" w:lineRule="auto"/>
        <w:ind w:firstLine="284"/>
        <w:jc w:val="both"/>
        <w:rPr>
          <w:color w:val="000000" w:themeColor="text1"/>
          <w:sz w:val="22"/>
          <w:szCs w:val="22"/>
          <w:lang w:val="en-US"/>
        </w:rPr>
      </w:pPr>
      <w:r w:rsidRPr="00F52756">
        <w:rPr>
          <w:color w:val="000000" w:themeColor="text1"/>
          <w:sz w:val="22"/>
          <w:szCs w:val="22"/>
          <w:lang w:val="en-US"/>
        </w:rPr>
        <w:t>3. Siūlomo objekto T</w:t>
      </w:r>
      <w:r w:rsidRPr="00F52756">
        <w:rPr>
          <w:color w:val="000000" w:themeColor="text1"/>
          <w:sz w:val="22"/>
          <w:szCs w:val="22"/>
          <w:vertAlign w:val="subscript"/>
          <w:lang w:val="en-US"/>
        </w:rPr>
        <w:t>i</w:t>
      </w:r>
      <w:r w:rsidRPr="00F52756">
        <w:rPr>
          <w:color w:val="000000" w:themeColor="text1"/>
          <w:sz w:val="22"/>
          <w:szCs w:val="22"/>
          <w:lang w:val="en-US"/>
        </w:rPr>
        <w:t xml:space="preserve"> techninis parametras aprašomas statiniu vertinimo būdu ir neturi skaitinių išraiškų (yra arba nėra), todėl parametro įvertinimas apskaičiuojamas taip:</w:t>
      </w:r>
    </w:p>
    <w:p w:rsidR="00EB0FA3" w:rsidRPr="00F52756" w:rsidRDefault="00EB0FA3" w:rsidP="00EB0FA3">
      <w:pPr>
        <w:spacing w:after="160" w:line="256" w:lineRule="auto"/>
        <w:ind w:firstLine="284"/>
        <w:jc w:val="both"/>
        <w:rPr>
          <w:color w:val="000000"/>
          <w:sz w:val="22"/>
          <w:szCs w:val="22"/>
          <w:lang w:val="en-US"/>
        </w:rPr>
      </w:pPr>
      <w:r w:rsidRPr="00F52756">
        <w:rPr>
          <w:color w:val="000000" w:themeColor="text1"/>
          <w:sz w:val="22"/>
          <w:szCs w:val="22"/>
          <w:lang w:val="en-US"/>
        </w:rPr>
        <w:t xml:space="preserve">Jei siūlomas objektas turi nurodytą pranašumą: </w:t>
      </w:r>
      <w:r w:rsidRPr="00F52756">
        <w:rPr>
          <w:i/>
          <w:color w:val="000000" w:themeColor="text1"/>
          <w:sz w:val="22"/>
          <w:szCs w:val="22"/>
          <w:lang w:val="en-US"/>
        </w:rPr>
        <w:t>T</w:t>
      </w:r>
      <w:r w:rsidRPr="00F52756">
        <w:rPr>
          <w:i/>
          <w:color w:val="000000" w:themeColor="text1"/>
          <w:sz w:val="22"/>
          <w:szCs w:val="22"/>
          <w:vertAlign w:val="subscript"/>
          <w:lang w:val="en-US"/>
        </w:rPr>
        <w:t>i</w:t>
      </w:r>
      <w:r w:rsidRPr="00F52756">
        <w:rPr>
          <w:i/>
          <w:color w:val="000000" w:themeColor="text1"/>
          <w:sz w:val="22"/>
          <w:szCs w:val="22"/>
          <w:lang w:val="en-GB"/>
        </w:rPr>
        <w:t xml:space="preserve"> = L</w:t>
      </w:r>
      <w:r w:rsidRPr="00F52756">
        <w:rPr>
          <w:i/>
          <w:color w:val="000000" w:themeColor="text1"/>
          <w:sz w:val="22"/>
          <w:szCs w:val="22"/>
          <w:vertAlign w:val="subscript"/>
          <w:lang w:val="en-GB"/>
        </w:rPr>
        <w:t>i</w:t>
      </w:r>
      <w:r w:rsidRPr="00F52756">
        <w:rPr>
          <w:i/>
          <w:color w:val="000000"/>
          <w:sz w:val="22"/>
          <w:szCs w:val="22"/>
          <w:lang w:val="en-US"/>
        </w:rPr>
        <w:t>;</w:t>
      </w:r>
    </w:p>
    <w:p w:rsidR="00EB0FA3" w:rsidRPr="00F52756" w:rsidRDefault="00EB0FA3" w:rsidP="00EB0FA3">
      <w:pPr>
        <w:spacing w:after="160" w:line="256" w:lineRule="auto"/>
        <w:ind w:firstLine="284"/>
        <w:rPr>
          <w:i/>
          <w:color w:val="000000"/>
          <w:sz w:val="22"/>
          <w:szCs w:val="22"/>
          <w:lang w:val="en-US"/>
        </w:rPr>
      </w:pPr>
      <w:r w:rsidRPr="00F52756">
        <w:rPr>
          <w:color w:val="000000"/>
          <w:sz w:val="22"/>
          <w:szCs w:val="22"/>
          <w:lang w:val="en-US"/>
        </w:rPr>
        <w:t xml:space="preserve">Jei siūlomas objektas neturi nurodyto pranašumo: </w:t>
      </w:r>
      <w:r w:rsidRPr="00F52756">
        <w:rPr>
          <w:i/>
          <w:color w:val="000000"/>
          <w:sz w:val="22"/>
          <w:szCs w:val="22"/>
          <w:lang w:val="en-US"/>
        </w:rPr>
        <w:t>T</w:t>
      </w:r>
      <w:r w:rsidRPr="00F52756">
        <w:rPr>
          <w:i/>
          <w:color w:val="000000"/>
          <w:sz w:val="22"/>
          <w:szCs w:val="22"/>
          <w:vertAlign w:val="subscript"/>
          <w:lang w:val="en-US"/>
        </w:rPr>
        <w:t>i</w:t>
      </w:r>
      <w:r w:rsidRPr="00F52756">
        <w:rPr>
          <w:i/>
          <w:color w:val="000000"/>
          <w:sz w:val="22"/>
          <w:szCs w:val="22"/>
          <w:lang w:val="en-GB"/>
        </w:rPr>
        <w:t xml:space="preserve"> = </w:t>
      </w:r>
      <w:r w:rsidRPr="00F52756">
        <w:rPr>
          <w:i/>
          <w:color w:val="000000"/>
          <w:sz w:val="22"/>
          <w:szCs w:val="22"/>
          <w:lang w:val="en-US"/>
        </w:rPr>
        <w:t>0.</w:t>
      </w:r>
    </w:p>
    <w:p w:rsidR="00EB0FA3" w:rsidRPr="00A95522" w:rsidRDefault="00EB0FA3" w:rsidP="00EB0FA3">
      <w:pPr>
        <w:shd w:val="clear" w:color="auto" w:fill="FFFFFF"/>
        <w:spacing w:after="160" w:line="256" w:lineRule="auto"/>
        <w:ind w:firstLine="284"/>
        <w:jc w:val="both"/>
        <w:rPr>
          <w:color w:val="000000" w:themeColor="text1"/>
          <w:sz w:val="22"/>
          <w:szCs w:val="22"/>
          <w:lang w:val="en-US"/>
        </w:rPr>
      </w:pPr>
      <w:r w:rsidRPr="00A95522">
        <w:rPr>
          <w:color w:val="000000" w:themeColor="text1"/>
          <w:sz w:val="22"/>
          <w:szCs w:val="22"/>
          <w:lang w:val="en-US"/>
        </w:rPr>
        <w:t>Techninių pranašumų (T) balai apskaičiuojami visų techninių kriterijų parametrų įvertinimų sumą padauginant iš techninių pranašumų lyginamojo svorio (Y):</w:t>
      </w:r>
    </w:p>
    <w:p w:rsidR="00EB0FA3" w:rsidRPr="00A95522" w:rsidRDefault="00EB0FA3" w:rsidP="00EB0FA3">
      <w:pPr>
        <w:spacing w:after="360" w:line="257" w:lineRule="auto"/>
        <w:ind w:firstLine="284"/>
        <w:jc w:val="center"/>
        <w:rPr>
          <w:color w:val="000000" w:themeColor="text1"/>
          <w:sz w:val="22"/>
          <w:szCs w:val="22"/>
          <w:lang w:val="en-US"/>
        </w:rPr>
      </w:pPr>
      <m:oMathPara>
        <m:oMath>
          <m:r>
            <w:rPr>
              <w:rFonts w:ascii="Cambria Math" w:eastAsiaTheme="minorHAnsi" w:hAnsi="Cambria Math"/>
              <w:color w:val="000000" w:themeColor="text1"/>
              <w:sz w:val="22"/>
              <w:szCs w:val="22"/>
              <w:lang w:val="en-US"/>
            </w:rPr>
            <m:t>T</m:t>
          </m:r>
          <m:r>
            <w:rPr>
              <w:rFonts w:ascii="Cambria Math" w:eastAsiaTheme="minorHAnsi"/>
              <w:color w:val="000000" w:themeColor="text1"/>
              <w:sz w:val="22"/>
              <w:szCs w:val="22"/>
              <w:lang w:val="en-US"/>
            </w:rPr>
            <m:t xml:space="preserve">= </m:t>
          </m:r>
          <m:d>
            <m:dPr>
              <m:ctrlPr>
                <w:rPr>
                  <w:rFonts w:ascii="Cambria Math" w:eastAsiaTheme="minorHAnsi" w:hAnsi="Cambria Math"/>
                  <w:i/>
                  <w:color w:val="000000" w:themeColor="text1"/>
                  <w:sz w:val="22"/>
                  <w:szCs w:val="22"/>
                  <w:lang w:val="en-US"/>
                </w:rPr>
              </m:ctrlPr>
            </m:dPr>
            <m:e>
              <m:nary>
                <m:naryPr>
                  <m:chr m:val="∑"/>
                  <m:grow m:val="1"/>
                  <m:ctrlPr>
                    <w:rPr>
                      <w:rFonts w:ascii="Cambria Math" w:eastAsiaTheme="minorHAnsi" w:hAnsi="Cambria Math"/>
                      <w:color w:val="000000" w:themeColor="text1"/>
                      <w:sz w:val="22"/>
                      <w:szCs w:val="22"/>
                      <w:lang w:val="en-US"/>
                    </w:rPr>
                  </m:ctrlPr>
                </m:naryPr>
                <m:sub>
                  <m:r>
                    <w:rPr>
                      <w:rFonts w:ascii="Cambria Math" w:eastAsia="Cambria Math" w:hAnsi="Cambria Math"/>
                      <w:color w:val="000000" w:themeColor="text1"/>
                      <w:sz w:val="22"/>
                      <w:szCs w:val="22"/>
                      <w:lang w:val="en-US"/>
                    </w:rPr>
                    <m:t>i</m:t>
                  </m:r>
                  <m:r>
                    <w:rPr>
                      <w:rFonts w:ascii="Cambria Math" w:eastAsia="Cambria Math"/>
                      <w:color w:val="000000" w:themeColor="text1"/>
                      <w:sz w:val="22"/>
                      <w:szCs w:val="22"/>
                      <w:lang w:val="en-US"/>
                    </w:rPr>
                    <m:t>=1</m:t>
                  </m:r>
                </m:sub>
                <m:sup>
                  <m:r>
                    <w:rPr>
                      <w:rFonts w:ascii="Cambria Math" w:eastAsiaTheme="minorHAnsi"/>
                      <w:color w:val="000000" w:themeColor="text1"/>
                      <w:sz w:val="22"/>
                      <w:szCs w:val="22"/>
                      <w:lang w:val="en-US"/>
                    </w:rPr>
                    <m:t>22</m:t>
                  </m:r>
                </m:sup>
                <m:e>
                  <m:sSub>
                    <m:sSubPr>
                      <m:ctrlPr>
                        <w:rPr>
                          <w:rFonts w:ascii="Cambria Math" w:eastAsiaTheme="minorHAnsi" w:hAnsi="Cambria Math"/>
                          <w:i/>
                          <w:color w:val="000000" w:themeColor="text1"/>
                          <w:sz w:val="22"/>
                          <w:szCs w:val="22"/>
                          <w:lang w:val="en-US"/>
                        </w:rPr>
                      </m:ctrlPr>
                    </m:sSubPr>
                    <m:e>
                      <m:r>
                        <w:rPr>
                          <w:rFonts w:ascii="Cambria Math" w:eastAsiaTheme="minorHAnsi" w:hAnsi="Cambria Math"/>
                          <w:color w:val="000000" w:themeColor="text1"/>
                          <w:sz w:val="22"/>
                          <w:szCs w:val="22"/>
                          <w:lang w:val="en-US"/>
                        </w:rPr>
                        <m:t>T</m:t>
                      </m:r>
                    </m:e>
                    <m:sub>
                      <m:r>
                        <w:rPr>
                          <w:rFonts w:ascii="Cambria Math" w:eastAsiaTheme="minorHAnsi" w:hAnsi="Cambria Math"/>
                          <w:color w:val="000000" w:themeColor="text1"/>
                          <w:sz w:val="22"/>
                          <w:szCs w:val="22"/>
                          <w:lang w:val="en-US"/>
                        </w:rPr>
                        <m:t>i</m:t>
                      </m:r>
                    </m:sub>
                  </m:sSub>
                </m:e>
              </m:nary>
            </m:e>
          </m:d>
          <m:r>
            <w:rPr>
              <w:rFonts w:eastAsiaTheme="minorHAnsi"/>
              <w:color w:val="000000" w:themeColor="text1"/>
              <w:sz w:val="22"/>
              <w:szCs w:val="22"/>
              <w:lang w:val="en-US"/>
            </w:rPr>
            <m:t>×</m:t>
          </m:r>
          <m:r>
            <w:rPr>
              <w:rFonts w:ascii="Cambria Math" w:eastAsiaTheme="minorHAnsi" w:hAnsi="Cambria Math"/>
              <w:color w:val="000000" w:themeColor="text1"/>
              <w:sz w:val="22"/>
              <w:szCs w:val="22"/>
              <w:lang w:val="en-US"/>
            </w:rPr>
            <m:t>Y</m:t>
          </m:r>
        </m:oMath>
      </m:oMathPara>
    </w:p>
    <w:p w:rsidR="00B83B66" w:rsidRPr="008D1C53" w:rsidRDefault="00B83B66" w:rsidP="00B83B66">
      <w:pPr>
        <w:pStyle w:val="Skaiiai2lygis"/>
        <w:numPr>
          <w:ilvl w:val="0"/>
          <w:numId w:val="0"/>
        </w:numPr>
        <w:ind w:firstLine="284"/>
        <w:rPr>
          <w:rFonts w:asciiTheme="majorHAnsi" w:eastAsia="Calibri" w:hAnsiTheme="majorHAnsi"/>
          <w:color w:val="000000" w:themeColor="text1"/>
          <w:lang w:val="lt-LT"/>
        </w:rPr>
      </w:pPr>
      <w:r w:rsidRPr="008D1C53">
        <w:rPr>
          <w:rFonts w:asciiTheme="majorHAnsi" w:hAnsiTheme="majorHAnsi"/>
          <w:color w:val="000000" w:themeColor="text1"/>
          <w:lang w:bidi="hi-IN"/>
        </w:rPr>
        <w:t>Laimėjusiu Pasiūlymu bus pripažintas Pasiūlymas, atitinkantis visus Pirkimo dokumentuose nustatytus reikalavimus ir kurio ekonominio naudingumo kriterijus bus didžiausias.</w:t>
      </w:r>
    </w:p>
    <w:p w:rsidR="00B83B66" w:rsidRPr="008D1C53" w:rsidRDefault="00B83B66" w:rsidP="00B83B66">
      <w:pPr>
        <w:pStyle w:val="Skaiiai2lygis"/>
        <w:numPr>
          <w:ilvl w:val="0"/>
          <w:numId w:val="0"/>
        </w:numPr>
        <w:ind w:firstLine="284"/>
        <w:rPr>
          <w:rFonts w:asciiTheme="majorHAnsi" w:hAnsiTheme="majorHAnsi"/>
          <w:color w:val="000000" w:themeColor="text1"/>
        </w:rPr>
      </w:pPr>
      <w:r w:rsidRPr="008D1C53">
        <w:rPr>
          <w:rFonts w:asciiTheme="majorHAnsi" w:eastAsia="Calibri" w:hAnsiTheme="majorHAnsi"/>
          <w:color w:val="000000" w:themeColor="text1"/>
          <w:lang w:val="lt-LT"/>
        </w:rPr>
        <w:t>Tais atvejais, kai kelių dalyvių pasiūlymų ekonominis naudingumas yra vienodas, nustatant pasiūlymų eilę, pirmesnis į šią eilę įrašomas dalyvis, kurio pasiūlymas pateiktas anksčiausiai.</w:t>
      </w:r>
      <w:r w:rsidRPr="008D1C53">
        <w:rPr>
          <w:rFonts w:asciiTheme="majorHAnsi" w:hAnsiTheme="majorHAnsi"/>
          <w:color w:val="000000" w:themeColor="text1"/>
        </w:rPr>
        <w:t xml:space="preserve"> </w:t>
      </w:r>
    </w:p>
    <w:p w:rsidR="00B83B66" w:rsidRPr="008D1C53" w:rsidRDefault="00B83B66" w:rsidP="00B83B66">
      <w:pPr>
        <w:pStyle w:val="Skaiiai2lygis"/>
        <w:numPr>
          <w:ilvl w:val="0"/>
          <w:numId w:val="0"/>
        </w:numPr>
        <w:ind w:firstLine="284"/>
        <w:rPr>
          <w:rFonts w:asciiTheme="majorHAnsi" w:hAnsiTheme="majorHAnsi"/>
          <w:color w:val="000000" w:themeColor="text1"/>
        </w:rPr>
      </w:pPr>
    </w:p>
    <w:p w:rsidR="0063730A" w:rsidRPr="008D1C53"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D1C53">
        <w:rPr>
          <w:rFonts w:asciiTheme="majorHAnsi" w:hAnsiTheme="majorHAnsi"/>
          <w:b/>
          <w:sz w:val="22"/>
          <w:szCs w:val="22"/>
        </w:rPr>
        <w:t xml:space="preserve">15. </w:t>
      </w:r>
      <w:r w:rsidR="0063730A" w:rsidRPr="008D1C53">
        <w:rPr>
          <w:rFonts w:asciiTheme="majorHAnsi" w:hAnsiTheme="majorHAnsi"/>
          <w:b/>
          <w:sz w:val="22"/>
          <w:szCs w:val="22"/>
        </w:rPr>
        <w:t>PASIŪLYMŲ EILĖ IR LAIMĖTOJO NUSTATYMAS</w:t>
      </w:r>
      <w:bookmarkEnd w:id="47"/>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15.1. Išnagrinėjusi, įvertinusi ir palyginusi pateiktus pasiūlymus, Komisija nustato pasiūlymų eilę ir laimėjusį pasiūlymą bei priima sprendimą dėl sutarties sudarymo.</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D1C53" w:rsidRDefault="00D50808"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w:t>
      </w:r>
      <w:r w:rsidR="00D153A7" w:rsidRPr="008D1C53">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15.4. Tais atvejais, kai pasiūlymą pateikė </w:t>
      </w:r>
      <w:r w:rsidR="005A345B" w:rsidRPr="008D1C53">
        <w:rPr>
          <w:rFonts w:asciiTheme="majorHAnsi" w:hAnsiTheme="majorHAnsi"/>
        </w:rPr>
        <w:t>arba įvertinus pasiūlymus liko tik vienas tiekėjas</w:t>
      </w:r>
      <w:r w:rsidR="005A345B" w:rsidRPr="008D1C53">
        <w:rPr>
          <w:rFonts w:asciiTheme="majorHAnsi" w:hAnsiTheme="majorHAnsi" w:cs="Times New Roman"/>
          <w:color w:val="auto"/>
          <w:lang w:val="lt-LT"/>
        </w:rPr>
        <w:t xml:space="preserve"> </w:t>
      </w:r>
      <w:r w:rsidRPr="008D1C53">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D1C53">
        <w:rPr>
          <w:rFonts w:asciiTheme="majorHAnsi" w:hAnsiTheme="majorHAnsi" w:cs="Times New Roman"/>
          <w:color w:val="auto"/>
          <w:lang w:val="lt-LT"/>
        </w:rPr>
        <w:t>3</w:t>
      </w:r>
      <w:r w:rsidRPr="008D1C53">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w:t>
      </w:r>
      <w:r w:rsidRPr="008D1C53">
        <w:rPr>
          <w:rFonts w:asciiTheme="majorHAnsi" w:hAnsiTheme="majorHAnsi" w:cs="Times New Roman"/>
          <w:color w:val="auto"/>
          <w:lang w:val="lt-LT"/>
        </w:rPr>
        <w:lastRenderedPageBreak/>
        <w:t>pranešama ir apie jų pasiūlymų atmetimo priežastis. Jei bus nuspręsta nesudaryti pirkimo sutarties, minėtame pranešime nurodomos tokio sprendimo priežastys.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D1C53">
        <w:rPr>
          <w:rFonts w:asciiTheme="majorHAnsi" w:hAnsiTheme="majorHAnsi" w:cs="Times New Roman"/>
          <w:color w:val="auto"/>
          <w:lang w:val="lt-LT"/>
        </w:rPr>
        <w:t>10 dienų</w:t>
      </w:r>
      <w:r w:rsidR="00914E75" w:rsidRPr="008D1C53">
        <w:rPr>
          <w:rFonts w:asciiTheme="majorHAnsi" w:hAnsiTheme="majorHAnsi" w:cs="Times New Roman"/>
          <w:color w:val="auto"/>
          <w:lang w:val="lt-LT"/>
        </w:rPr>
        <w:t xml:space="preserve"> </w:t>
      </w:r>
      <w:r w:rsidRPr="008D1C53">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15.7. </w:t>
      </w:r>
      <w:r w:rsidR="005A345B" w:rsidRPr="008D1C53">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D1C53"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D1C53">
        <w:rPr>
          <w:rFonts w:asciiTheme="majorHAnsi" w:hAnsiTheme="majorHAnsi"/>
          <w:b/>
          <w:sz w:val="22"/>
          <w:szCs w:val="22"/>
        </w:rPr>
        <w:t xml:space="preserve">16. </w:t>
      </w:r>
      <w:r w:rsidR="00511021" w:rsidRPr="008D1C53">
        <w:rPr>
          <w:rFonts w:asciiTheme="majorHAnsi" w:hAnsiTheme="majorHAnsi"/>
          <w:b/>
          <w:sz w:val="22"/>
          <w:szCs w:val="22"/>
        </w:rPr>
        <w:t>PRETENZIJŲ IR SKUNDŲ NAGRINĖJIMAS</w:t>
      </w:r>
      <w:bookmarkEnd w:id="48"/>
    </w:p>
    <w:bookmarkEnd w:id="39"/>
    <w:bookmarkEnd w:id="40"/>
    <w:bookmarkEnd w:id="41"/>
    <w:p w:rsidR="005A345B"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D1C53">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16.2. </w:t>
      </w:r>
      <w:r w:rsidR="002263AE" w:rsidRPr="008D1C53">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16.2.1.</w:t>
      </w:r>
      <w:r w:rsidR="004B4BBE" w:rsidRPr="008D1C53">
        <w:rPr>
          <w:rFonts w:asciiTheme="majorHAnsi" w:hAnsiTheme="majorHAnsi" w:cs="Times New Roman"/>
          <w:color w:val="auto"/>
          <w:lang w:val="lt-LT"/>
        </w:rPr>
        <w:t xml:space="preserve"> </w:t>
      </w:r>
      <w:r w:rsidRPr="008D1C53">
        <w:rPr>
          <w:rFonts w:asciiTheme="majorHAnsi" w:hAnsiTheme="majorHAnsi" w:cs="Times New Roman"/>
          <w:color w:val="auto"/>
          <w:lang w:val="lt-LT"/>
        </w:rPr>
        <w:t xml:space="preserve">per </w:t>
      </w:r>
      <w:r w:rsidR="00A06F1C" w:rsidRPr="008D1C53">
        <w:rPr>
          <w:rFonts w:asciiTheme="majorHAnsi" w:hAnsiTheme="majorHAnsi" w:cs="Times New Roman"/>
          <w:color w:val="auto"/>
          <w:lang w:val="lt-LT"/>
        </w:rPr>
        <w:t>10 dienų</w:t>
      </w:r>
      <w:r w:rsidRPr="008D1C53">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16.2.2. per </w:t>
      </w:r>
      <w:r w:rsidR="00A06F1C" w:rsidRPr="008D1C53">
        <w:rPr>
          <w:rFonts w:asciiTheme="majorHAnsi" w:hAnsiTheme="majorHAnsi" w:cs="Times New Roman"/>
          <w:color w:val="auto"/>
          <w:lang w:val="lt-LT"/>
        </w:rPr>
        <w:t>10 dienų</w:t>
      </w:r>
      <w:r w:rsidRPr="008D1C53">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D1C53">
        <w:rPr>
          <w:rFonts w:asciiTheme="majorHAnsi" w:hAnsiTheme="majorHAnsi" w:cs="Times New Roman"/>
          <w:color w:val="auto"/>
          <w:lang w:val="lt-LT"/>
        </w:rPr>
        <w:t>.</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16.4. </w:t>
      </w:r>
      <w:r w:rsidR="005A345B" w:rsidRPr="008D1C53">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D153A7"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8D1C53">
        <w:rPr>
          <w:rFonts w:asciiTheme="majorHAnsi" w:hAnsiTheme="majorHAnsi" w:cs="Times New Roman"/>
          <w:color w:val="auto"/>
          <w:lang w:val="lt-LT"/>
        </w:rPr>
        <w:lastRenderedPageBreak/>
        <w:t>pareiškimo senaties terminai. Šios dalies nuostatos netaikomos, kai ieškinys teikiamas perkančiajai organizacija i nepagrįstai nutraukus pirkimo sutartį dėl esminio pirkimo sutarties pažeidimo.</w:t>
      </w:r>
    </w:p>
    <w:p w:rsidR="00D50808" w:rsidRPr="008D1C53" w:rsidRDefault="00D153A7" w:rsidP="00D50808">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D1C53" w:rsidRDefault="00D153A7" w:rsidP="00786380">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D1C53" w:rsidRDefault="00D153A7" w:rsidP="00786380">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16.10.1. motyvuotą teismo nutartį, kuria atsisakoma priimti ieškinį;</w:t>
      </w:r>
    </w:p>
    <w:p w:rsidR="00786380" w:rsidRPr="008D1C53" w:rsidRDefault="00D153A7" w:rsidP="00786380">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D1C53" w:rsidRDefault="00D153A7" w:rsidP="00786380">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16.10.3. teismo rezoliuciją priimti ieškinį netaikant laikinųjų apsaugos priemonių.</w:t>
      </w:r>
    </w:p>
    <w:p w:rsidR="00786380" w:rsidRPr="008D1C53" w:rsidRDefault="00D153A7" w:rsidP="00786380">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D1C53" w:rsidRDefault="00D153A7" w:rsidP="00786380">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D1C53" w:rsidRDefault="007A117B" w:rsidP="007A117B">
      <w:pPr>
        <w:pStyle w:val="Heading1"/>
        <w:numPr>
          <w:ilvl w:val="0"/>
          <w:numId w:val="0"/>
        </w:numPr>
        <w:ind w:left="851"/>
        <w:rPr>
          <w:rFonts w:asciiTheme="majorHAnsi" w:hAnsiTheme="majorHAnsi"/>
          <w:b/>
          <w:sz w:val="22"/>
          <w:szCs w:val="22"/>
        </w:rPr>
      </w:pPr>
      <w:bookmarkStart w:id="49" w:name="_Toc488054847"/>
      <w:r w:rsidRPr="008D1C53">
        <w:rPr>
          <w:rFonts w:asciiTheme="majorHAnsi" w:hAnsiTheme="majorHAnsi"/>
          <w:b/>
          <w:sz w:val="22"/>
          <w:szCs w:val="22"/>
        </w:rPr>
        <w:t xml:space="preserve">17. </w:t>
      </w:r>
      <w:r w:rsidR="00D21516" w:rsidRPr="008D1C53">
        <w:rPr>
          <w:rFonts w:asciiTheme="majorHAnsi" w:hAnsiTheme="majorHAnsi"/>
          <w:b/>
          <w:sz w:val="22"/>
          <w:szCs w:val="22"/>
        </w:rPr>
        <w:t xml:space="preserve"> </w:t>
      </w:r>
      <w:r w:rsidR="00511021" w:rsidRPr="008D1C53">
        <w:rPr>
          <w:rFonts w:asciiTheme="majorHAnsi" w:hAnsiTheme="majorHAnsi"/>
          <w:b/>
          <w:sz w:val="22"/>
          <w:szCs w:val="22"/>
        </w:rPr>
        <w:t>PIRKIMO SUTARTIES PASIRAŠYMAS IR SĄLYGOS</w:t>
      </w:r>
      <w:bookmarkEnd w:id="49"/>
    </w:p>
    <w:p w:rsidR="00DF22CE" w:rsidRPr="008D1C53" w:rsidRDefault="00DF22CE" w:rsidP="00DF22CE">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8D1C53" w:rsidRDefault="00DF22CE" w:rsidP="00DF22CE">
      <w:pPr>
        <w:pStyle w:val="Body2"/>
        <w:ind w:firstLine="709"/>
        <w:rPr>
          <w:rFonts w:asciiTheme="majorHAnsi" w:hAnsiTheme="majorHAnsi" w:cs="Times New Roman"/>
          <w:color w:val="auto"/>
          <w:lang w:val="lt-LT"/>
        </w:rPr>
      </w:pPr>
      <w:r w:rsidRPr="008D1C53">
        <w:rPr>
          <w:rFonts w:asciiTheme="majorHAnsi" w:hAnsiTheme="majorHAnsi" w:cs="Times New Roman"/>
          <w:color w:val="auto"/>
          <w:lang w:val="lt-LT"/>
        </w:rPr>
        <w:t xml:space="preserve">17.2. Pirkimo sutarties sąlygos pateikiamos pirkimo sąlygų 2 priede (Sutarties projektas). </w:t>
      </w:r>
    </w:p>
    <w:p w:rsidR="00AB4D9A" w:rsidRPr="008D1C53" w:rsidRDefault="00AB4D9A" w:rsidP="00AB4D9A">
      <w:pPr>
        <w:pStyle w:val="BodyTextIndent"/>
        <w:pBdr>
          <w:bottom w:val="single" w:sz="12" w:space="1" w:color="auto"/>
        </w:pBdr>
        <w:ind w:left="0" w:firstLine="709"/>
        <w:jc w:val="both"/>
        <w:rPr>
          <w:rFonts w:asciiTheme="majorHAnsi" w:hAnsiTheme="majorHAnsi"/>
          <w:bCs/>
          <w:sz w:val="22"/>
          <w:szCs w:val="22"/>
        </w:rPr>
      </w:pPr>
      <w:r w:rsidRPr="008D1C53">
        <w:rPr>
          <w:rFonts w:asciiTheme="majorHAnsi" w:hAnsiTheme="majorHAnsi"/>
          <w:sz w:val="22"/>
          <w:szCs w:val="22"/>
        </w:rPr>
        <w:t>17.3.</w:t>
      </w:r>
      <w:r w:rsidRPr="008D1C53">
        <w:rPr>
          <w:rFonts w:asciiTheme="majorHAnsi" w:hAnsiTheme="majorHAnsi"/>
          <w:bCs/>
          <w:sz w:val="22"/>
          <w:szCs w:val="22"/>
        </w:rPr>
        <w:t xml:space="preserve"> Taikoma kainodara – </w:t>
      </w:r>
      <w:r w:rsidR="00EB0FA3" w:rsidRPr="00316C29">
        <w:rPr>
          <w:rFonts w:asciiTheme="majorHAnsi" w:hAnsiTheme="majorHAnsi"/>
          <w:color w:val="000000"/>
          <w:sz w:val="22"/>
          <w:szCs w:val="22"/>
        </w:rPr>
        <w:t>fiksuotas įkainis</w:t>
      </w:r>
      <w:r w:rsidRPr="008D1C53">
        <w:rPr>
          <w:rFonts w:asciiTheme="majorHAnsi" w:hAnsiTheme="majorHAnsi"/>
          <w:bCs/>
          <w:color w:val="000000"/>
          <w:sz w:val="22"/>
          <w:szCs w:val="22"/>
        </w:rPr>
        <w:t>.</w:t>
      </w:r>
    </w:p>
    <w:p w:rsidR="00DF22CE" w:rsidRPr="008D1C53" w:rsidRDefault="00DF22CE" w:rsidP="00DF22CE">
      <w:pPr>
        <w:pStyle w:val="Patvirtinta"/>
        <w:ind w:left="0" w:firstLine="709"/>
        <w:jc w:val="both"/>
        <w:rPr>
          <w:rFonts w:asciiTheme="majorHAnsi" w:hAnsiTheme="majorHAnsi"/>
          <w:sz w:val="22"/>
          <w:szCs w:val="22"/>
          <w:lang w:val="lt-LT"/>
        </w:rPr>
      </w:pPr>
      <w:r w:rsidRPr="008D1C53">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8D1C53"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D1C53" w:rsidTr="00A0213A">
        <w:tc>
          <w:tcPr>
            <w:tcW w:w="2654" w:type="dxa"/>
          </w:tcPr>
          <w:p w:rsidR="0004713B" w:rsidRPr="008D1C53" w:rsidRDefault="0004713B" w:rsidP="00A0213A">
            <w:pPr>
              <w:jc w:val="both"/>
              <w:rPr>
                <w:rFonts w:asciiTheme="majorHAnsi" w:hAnsiTheme="majorHAnsi"/>
                <w:sz w:val="22"/>
                <w:szCs w:val="22"/>
              </w:rPr>
            </w:pPr>
            <w:bookmarkStart w:id="50" w:name="_Hlk65680374"/>
            <w:bookmarkEnd w:id="13"/>
          </w:p>
          <w:p w:rsidR="00BF4C5C" w:rsidRPr="008D1C53" w:rsidRDefault="00BF4C5C" w:rsidP="00A0213A">
            <w:pPr>
              <w:jc w:val="both"/>
              <w:rPr>
                <w:rFonts w:asciiTheme="majorHAnsi" w:hAnsiTheme="majorHAnsi"/>
                <w:sz w:val="22"/>
                <w:szCs w:val="22"/>
              </w:rPr>
            </w:pPr>
          </w:p>
          <w:p w:rsidR="001879E1" w:rsidRPr="008D1C53" w:rsidRDefault="001879E1" w:rsidP="00A0213A">
            <w:pPr>
              <w:jc w:val="both"/>
              <w:rPr>
                <w:rFonts w:asciiTheme="majorHAnsi" w:hAnsiTheme="majorHAnsi"/>
                <w:sz w:val="22"/>
                <w:szCs w:val="22"/>
              </w:rPr>
            </w:pPr>
          </w:p>
          <w:p w:rsidR="001879E1" w:rsidRPr="008D1C53" w:rsidRDefault="001879E1" w:rsidP="00A0213A">
            <w:pPr>
              <w:jc w:val="both"/>
              <w:rPr>
                <w:rFonts w:asciiTheme="majorHAnsi" w:hAnsiTheme="majorHAnsi"/>
                <w:sz w:val="22"/>
                <w:szCs w:val="22"/>
              </w:rPr>
            </w:pPr>
          </w:p>
          <w:p w:rsidR="001879E1" w:rsidRPr="008D1C53" w:rsidRDefault="001879E1" w:rsidP="00A0213A">
            <w:pPr>
              <w:jc w:val="both"/>
              <w:rPr>
                <w:rFonts w:asciiTheme="majorHAnsi" w:hAnsiTheme="majorHAnsi"/>
                <w:sz w:val="22"/>
                <w:szCs w:val="22"/>
              </w:rPr>
            </w:pPr>
          </w:p>
          <w:p w:rsidR="00E969A4" w:rsidRPr="008D1C53" w:rsidRDefault="00E969A4" w:rsidP="00A0213A">
            <w:pPr>
              <w:jc w:val="both"/>
              <w:rPr>
                <w:rFonts w:asciiTheme="majorHAnsi" w:hAnsiTheme="majorHAnsi"/>
                <w:sz w:val="22"/>
                <w:szCs w:val="22"/>
              </w:rPr>
            </w:pPr>
          </w:p>
          <w:p w:rsidR="00807510" w:rsidRPr="008D1C53" w:rsidRDefault="00807510" w:rsidP="00A0213A">
            <w:pPr>
              <w:jc w:val="both"/>
              <w:rPr>
                <w:rFonts w:asciiTheme="majorHAnsi" w:hAnsiTheme="majorHAnsi"/>
                <w:sz w:val="22"/>
                <w:szCs w:val="22"/>
              </w:rPr>
            </w:pPr>
          </w:p>
          <w:p w:rsidR="00807510" w:rsidRPr="008D1C53" w:rsidRDefault="00807510" w:rsidP="00A0213A">
            <w:pPr>
              <w:jc w:val="both"/>
              <w:rPr>
                <w:rFonts w:asciiTheme="majorHAnsi" w:hAnsiTheme="majorHAnsi"/>
                <w:sz w:val="22"/>
                <w:szCs w:val="22"/>
              </w:rPr>
            </w:pPr>
          </w:p>
          <w:p w:rsidR="00807510" w:rsidRPr="008D1C53" w:rsidRDefault="00807510" w:rsidP="00A0213A">
            <w:pPr>
              <w:jc w:val="both"/>
              <w:rPr>
                <w:rFonts w:asciiTheme="majorHAnsi" w:hAnsiTheme="majorHAnsi"/>
                <w:sz w:val="22"/>
                <w:szCs w:val="22"/>
              </w:rPr>
            </w:pPr>
          </w:p>
          <w:p w:rsidR="00807510" w:rsidRPr="008D1C53" w:rsidRDefault="00807510" w:rsidP="00A0213A">
            <w:pPr>
              <w:jc w:val="both"/>
              <w:rPr>
                <w:rFonts w:asciiTheme="majorHAnsi" w:hAnsiTheme="majorHAnsi"/>
                <w:sz w:val="22"/>
                <w:szCs w:val="22"/>
              </w:rPr>
            </w:pPr>
          </w:p>
          <w:p w:rsidR="00AE5622" w:rsidRPr="008D1C53" w:rsidRDefault="00AE5622" w:rsidP="00A0213A">
            <w:pPr>
              <w:jc w:val="both"/>
              <w:rPr>
                <w:rFonts w:asciiTheme="majorHAnsi" w:hAnsiTheme="majorHAnsi"/>
                <w:sz w:val="22"/>
                <w:szCs w:val="22"/>
              </w:rPr>
            </w:pPr>
          </w:p>
          <w:p w:rsidR="00AE5622" w:rsidRPr="008D1C53" w:rsidRDefault="00AE5622" w:rsidP="00A0213A">
            <w:pPr>
              <w:jc w:val="both"/>
              <w:rPr>
                <w:rFonts w:asciiTheme="majorHAnsi" w:hAnsiTheme="majorHAnsi"/>
                <w:sz w:val="22"/>
                <w:szCs w:val="22"/>
              </w:rPr>
            </w:pPr>
          </w:p>
          <w:p w:rsidR="00AE5622" w:rsidRPr="008D1C53" w:rsidRDefault="00AE5622" w:rsidP="00A0213A">
            <w:pPr>
              <w:jc w:val="both"/>
              <w:rPr>
                <w:rFonts w:asciiTheme="majorHAnsi" w:hAnsiTheme="majorHAnsi"/>
                <w:sz w:val="22"/>
                <w:szCs w:val="22"/>
              </w:rPr>
            </w:pPr>
          </w:p>
          <w:p w:rsidR="00AE5622" w:rsidRDefault="00AE5622" w:rsidP="00A0213A">
            <w:pPr>
              <w:jc w:val="both"/>
              <w:rPr>
                <w:rFonts w:asciiTheme="majorHAnsi" w:hAnsiTheme="majorHAnsi"/>
                <w:sz w:val="22"/>
                <w:szCs w:val="22"/>
              </w:rPr>
            </w:pPr>
          </w:p>
          <w:p w:rsidR="00EB0FA3" w:rsidRDefault="00EB0FA3" w:rsidP="00A0213A">
            <w:pPr>
              <w:jc w:val="both"/>
              <w:rPr>
                <w:rFonts w:asciiTheme="majorHAnsi" w:hAnsiTheme="majorHAnsi"/>
                <w:sz w:val="22"/>
                <w:szCs w:val="22"/>
              </w:rPr>
            </w:pPr>
          </w:p>
          <w:p w:rsidR="00EB0FA3" w:rsidRDefault="00EB0FA3" w:rsidP="00A0213A">
            <w:pPr>
              <w:jc w:val="both"/>
              <w:rPr>
                <w:rFonts w:asciiTheme="majorHAnsi" w:hAnsiTheme="majorHAnsi"/>
                <w:sz w:val="22"/>
                <w:szCs w:val="22"/>
              </w:rPr>
            </w:pPr>
          </w:p>
          <w:p w:rsidR="00EB0FA3" w:rsidRDefault="00EB0FA3" w:rsidP="00A0213A">
            <w:pPr>
              <w:jc w:val="both"/>
              <w:rPr>
                <w:rFonts w:asciiTheme="majorHAnsi" w:hAnsiTheme="majorHAnsi"/>
                <w:sz w:val="22"/>
                <w:szCs w:val="22"/>
              </w:rPr>
            </w:pPr>
          </w:p>
          <w:p w:rsidR="00EB0FA3" w:rsidRDefault="00EB0FA3" w:rsidP="00A0213A">
            <w:pPr>
              <w:jc w:val="both"/>
              <w:rPr>
                <w:rFonts w:asciiTheme="majorHAnsi" w:hAnsiTheme="majorHAnsi"/>
                <w:sz w:val="22"/>
                <w:szCs w:val="22"/>
              </w:rPr>
            </w:pPr>
          </w:p>
          <w:p w:rsidR="00EB0FA3" w:rsidRDefault="00EB0FA3" w:rsidP="00A0213A">
            <w:pPr>
              <w:jc w:val="both"/>
              <w:rPr>
                <w:rFonts w:asciiTheme="majorHAnsi" w:hAnsiTheme="majorHAnsi"/>
                <w:sz w:val="22"/>
                <w:szCs w:val="22"/>
              </w:rPr>
            </w:pPr>
          </w:p>
          <w:p w:rsidR="00EB0FA3" w:rsidRDefault="00EB0FA3" w:rsidP="00A0213A">
            <w:pPr>
              <w:jc w:val="both"/>
              <w:rPr>
                <w:rFonts w:asciiTheme="majorHAnsi" w:hAnsiTheme="majorHAnsi"/>
                <w:sz w:val="22"/>
                <w:szCs w:val="22"/>
              </w:rPr>
            </w:pPr>
          </w:p>
          <w:p w:rsidR="00EB0FA3" w:rsidRPr="008D1C53" w:rsidRDefault="00EB0FA3" w:rsidP="00A0213A">
            <w:pPr>
              <w:jc w:val="both"/>
              <w:rPr>
                <w:rFonts w:asciiTheme="majorHAnsi" w:hAnsiTheme="majorHAnsi"/>
                <w:sz w:val="22"/>
                <w:szCs w:val="22"/>
              </w:rPr>
            </w:pPr>
          </w:p>
          <w:p w:rsidR="00AE5622" w:rsidRPr="008D1C53" w:rsidRDefault="00AE5622" w:rsidP="00A0213A">
            <w:pPr>
              <w:jc w:val="both"/>
              <w:rPr>
                <w:rFonts w:asciiTheme="majorHAnsi" w:hAnsiTheme="majorHAnsi"/>
                <w:sz w:val="22"/>
                <w:szCs w:val="22"/>
              </w:rPr>
            </w:pPr>
          </w:p>
          <w:p w:rsidR="00AE5622" w:rsidRPr="008D1C53" w:rsidRDefault="00AE5622" w:rsidP="00A0213A">
            <w:pPr>
              <w:jc w:val="both"/>
              <w:rPr>
                <w:rFonts w:asciiTheme="majorHAnsi" w:hAnsiTheme="majorHAnsi"/>
                <w:sz w:val="22"/>
                <w:szCs w:val="22"/>
              </w:rPr>
            </w:pPr>
          </w:p>
          <w:p w:rsidR="00807510" w:rsidRPr="008D1C53" w:rsidRDefault="00807510" w:rsidP="00A0213A">
            <w:pPr>
              <w:jc w:val="both"/>
              <w:rPr>
                <w:rFonts w:asciiTheme="majorHAnsi" w:hAnsiTheme="majorHAnsi"/>
                <w:sz w:val="22"/>
                <w:szCs w:val="22"/>
              </w:rPr>
            </w:pPr>
          </w:p>
          <w:p w:rsidR="000C4685" w:rsidRPr="008D1C53" w:rsidRDefault="000C4685" w:rsidP="00A0213A">
            <w:pPr>
              <w:jc w:val="both"/>
              <w:rPr>
                <w:rFonts w:asciiTheme="majorHAnsi" w:hAnsiTheme="majorHAnsi"/>
                <w:sz w:val="22"/>
                <w:szCs w:val="22"/>
              </w:rPr>
            </w:pPr>
          </w:p>
          <w:p w:rsidR="00BF5082" w:rsidRPr="008D1C53" w:rsidRDefault="00BF5082" w:rsidP="00A0213A">
            <w:pPr>
              <w:jc w:val="both"/>
              <w:rPr>
                <w:rFonts w:asciiTheme="majorHAnsi" w:hAnsiTheme="majorHAnsi"/>
                <w:sz w:val="22"/>
                <w:szCs w:val="22"/>
              </w:rPr>
            </w:pPr>
          </w:p>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Konkurso sąlygų</w:t>
            </w:r>
          </w:p>
        </w:tc>
      </w:tr>
      <w:tr w:rsidR="00BF5082" w:rsidRPr="008D1C53" w:rsidTr="00A0213A">
        <w:tc>
          <w:tcPr>
            <w:tcW w:w="2654" w:type="dxa"/>
          </w:tcPr>
          <w:p w:rsidR="00BF5082" w:rsidRPr="008D1C53" w:rsidRDefault="00BF5082" w:rsidP="00A0213A">
            <w:pPr>
              <w:jc w:val="both"/>
              <w:rPr>
                <w:rFonts w:asciiTheme="majorHAnsi" w:hAnsiTheme="majorHAnsi"/>
                <w:sz w:val="22"/>
                <w:szCs w:val="22"/>
              </w:rPr>
            </w:pPr>
          </w:p>
        </w:tc>
      </w:tr>
      <w:tr w:rsidR="00FB4309" w:rsidRPr="008D1C53" w:rsidTr="00A0213A">
        <w:tc>
          <w:tcPr>
            <w:tcW w:w="2654" w:type="dxa"/>
          </w:tcPr>
          <w:p w:rsidR="00FB4309" w:rsidRPr="008D1C53" w:rsidRDefault="00FB4309" w:rsidP="00A0213A">
            <w:pPr>
              <w:rPr>
                <w:rFonts w:asciiTheme="majorHAnsi" w:hAnsiTheme="majorHAnsi"/>
                <w:sz w:val="22"/>
                <w:szCs w:val="22"/>
              </w:rPr>
            </w:pPr>
            <w:r w:rsidRPr="008D1C53">
              <w:rPr>
                <w:rFonts w:asciiTheme="majorHAnsi" w:hAnsiTheme="majorHAnsi"/>
                <w:sz w:val="22"/>
                <w:szCs w:val="22"/>
              </w:rPr>
              <w:t>1 priedas</w:t>
            </w:r>
          </w:p>
        </w:tc>
      </w:tr>
    </w:tbl>
    <w:p w:rsidR="00FB4309" w:rsidRPr="008D1C53" w:rsidRDefault="00FB4309" w:rsidP="00FB4309">
      <w:pPr>
        <w:ind w:right="-178"/>
        <w:jc w:val="center"/>
        <w:rPr>
          <w:rFonts w:asciiTheme="majorHAnsi" w:hAnsiTheme="majorHAnsi"/>
          <w:sz w:val="22"/>
          <w:szCs w:val="22"/>
        </w:rPr>
      </w:pPr>
      <w:r w:rsidRPr="008D1C53">
        <w:rPr>
          <w:rFonts w:asciiTheme="majorHAnsi" w:hAnsiTheme="majorHAnsi"/>
          <w:sz w:val="22"/>
          <w:szCs w:val="22"/>
        </w:rPr>
        <w:t>Herbas arba prekių ženklas</w:t>
      </w:r>
    </w:p>
    <w:p w:rsidR="00FB4309" w:rsidRPr="008D1C53" w:rsidRDefault="00FB4309" w:rsidP="00FB4309">
      <w:pPr>
        <w:ind w:right="-178"/>
        <w:jc w:val="center"/>
        <w:rPr>
          <w:rFonts w:asciiTheme="majorHAnsi" w:hAnsiTheme="majorHAnsi"/>
          <w:sz w:val="22"/>
          <w:szCs w:val="22"/>
        </w:rPr>
      </w:pPr>
    </w:p>
    <w:p w:rsidR="00FB4309" w:rsidRPr="008D1C53" w:rsidRDefault="00FB4309" w:rsidP="00FB4309">
      <w:pPr>
        <w:ind w:right="-178"/>
        <w:jc w:val="center"/>
        <w:rPr>
          <w:rFonts w:asciiTheme="majorHAnsi" w:hAnsiTheme="majorHAnsi"/>
          <w:sz w:val="22"/>
          <w:szCs w:val="22"/>
        </w:rPr>
      </w:pPr>
      <w:r w:rsidRPr="008D1C53">
        <w:rPr>
          <w:rFonts w:asciiTheme="majorHAnsi" w:hAnsiTheme="majorHAnsi"/>
          <w:sz w:val="22"/>
          <w:szCs w:val="22"/>
        </w:rPr>
        <w:t>(Tiekėjo pavadinimas)</w:t>
      </w:r>
    </w:p>
    <w:p w:rsidR="00FB4309" w:rsidRPr="008D1C53" w:rsidRDefault="00FB4309" w:rsidP="00FB4309">
      <w:pPr>
        <w:ind w:right="-178"/>
        <w:jc w:val="center"/>
        <w:rPr>
          <w:rFonts w:asciiTheme="majorHAnsi" w:hAnsiTheme="majorHAnsi"/>
          <w:sz w:val="22"/>
          <w:szCs w:val="22"/>
        </w:rPr>
      </w:pPr>
    </w:p>
    <w:p w:rsidR="00FB4309" w:rsidRPr="008D1C53" w:rsidRDefault="00FB4309" w:rsidP="00FB4309">
      <w:pPr>
        <w:ind w:right="-178"/>
        <w:jc w:val="center"/>
        <w:rPr>
          <w:rFonts w:asciiTheme="majorHAnsi" w:hAnsiTheme="majorHAnsi"/>
          <w:sz w:val="22"/>
          <w:szCs w:val="22"/>
        </w:rPr>
      </w:pPr>
      <w:r w:rsidRPr="008D1C53">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D1C53" w:rsidRDefault="00FB4309" w:rsidP="00FB4309">
      <w:pPr>
        <w:jc w:val="center"/>
        <w:rPr>
          <w:rFonts w:asciiTheme="majorHAnsi" w:hAnsiTheme="majorHAnsi"/>
          <w:b/>
          <w:bCs/>
          <w:sz w:val="22"/>
          <w:szCs w:val="22"/>
        </w:rPr>
      </w:pPr>
    </w:p>
    <w:p w:rsidR="00FB4309" w:rsidRPr="008D1C53" w:rsidRDefault="00FB4309" w:rsidP="00FB4309">
      <w:pPr>
        <w:jc w:val="both"/>
        <w:rPr>
          <w:rFonts w:asciiTheme="majorHAnsi" w:hAnsiTheme="majorHAnsi"/>
          <w:sz w:val="22"/>
          <w:szCs w:val="22"/>
        </w:rPr>
      </w:pPr>
      <w:r w:rsidRPr="008D1C53">
        <w:rPr>
          <w:rFonts w:asciiTheme="majorHAnsi" w:hAnsiTheme="majorHAnsi"/>
          <w:sz w:val="22"/>
          <w:szCs w:val="22"/>
        </w:rPr>
        <w:t>__________________________</w:t>
      </w:r>
    </w:p>
    <w:p w:rsidR="00FB4309" w:rsidRPr="008D1C53" w:rsidRDefault="00FB4309" w:rsidP="00FB4309">
      <w:pPr>
        <w:tabs>
          <w:tab w:val="center" w:pos="2520"/>
        </w:tabs>
        <w:jc w:val="both"/>
        <w:rPr>
          <w:rFonts w:asciiTheme="majorHAnsi" w:hAnsiTheme="majorHAnsi"/>
          <w:sz w:val="22"/>
          <w:szCs w:val="22"/>
        </w:rPr>
      </w:pPr>
      <w:r w:rsidRPr="008D1C53">
        <w:rPr>
          <w:rFonts w:asciiTheme="majorHAnsi" w:hAnsiTheme="majorHAnsi"/>
          <w:sz w:val="22"/>
          <w:szCs w:val="22"/>
        </w:rPr>
        <w:t>(Adresatas (perkančioji organizacija))</w:t>
      </w:r>
    </w:p>
    <w:p w:rsidR="00FB4309" w:rsidRPr="008D1C53" w:rsidRDefault="00FB4309" w:rsidP="00FB4309">
      <w:pPr>
        <w:jc w:val="center"/>
        <w:rPr>
          <w:rFonts w:asciiTheme="majorHAnsi" w:hAnsiTheme="majorHAnsi"/>
          <w:b/>
          <w:sz w:val="22"/>
          <w:szCs w:val="22"/>
        </w:rPr>
      </w:pPr>
    </w:p>
    <w:p w:rsidR="00FB4309" w:rsidRPr="008D1C53" w:rsidRDefault="00FB4309" w:rsidP="00FB4309">
      <w:pPr>
        <w:jc w:val="center"/>
        <w:rPr>
          <w:rFonts w:asciiTheme="majorHAnsi" w:hAnsiTheme="majorHAnsi"/>
          <w:b/>
          <w:sz w:val="22"/>
          <w:szCs w:val="22"/>
        </w:rPr>
      </w:pPr>
      <w:r w:rsidRPr="008D1C53">
        <w:rPr>
          <w:rFonts w:asciiTheme="majorHAnsi" w:hAnsiTheme="majorHAnsi"/>
          <w:b/>
          <w:sz w:val="22"/>
          <w:szCs w:val="22"/>
        </w:rPr>
        <w:t>PASIŪLYMAS</w:t>
      </w:r>
    </w:p>
    <w:p w:rsidR="00FB4309" w:rsidRPr="008D1C53" w:rsidRDefault="004E3D46" w:rsidP="005A26F7">
      <w:pPr>
        <w:jc w:val="center"/>
        <w:rPr>
          <w:rFonts w:asciiTheme="majorHAnsi" w:hAnsiTheme="majorHAnsi"/>
          <w:b/>
          <w:sz w:val="22"/>
          <w:szCs w:val="22"/>
        </w:rPr>
      </w:pPr>
      <w:r w:rsidRPr="008D1C53">
        <w:rPr>
          <w:rFonts w:asciiTheme="majorHAnsi" w:hAnsiTheme="majorHAnsi"/>
          <w:b/>
          <w:sz w:val="22"/>
          <w:szCs w:val="22"/>
        </w:rPr>
        <w:t xml:space="preserve">DĖL </w:t>
      </w:r>
      <w:r w:rsidR="00EB0FA3" w:rsidRPr="00EB0FA3">
        <w:rPr>
          <w:rFonts w:asciiTheme="majorHAnsi" w:hAnsiTheme="majorHAnsi"/>
          <w:b/>
          <w:sz w:val="22"/>
          <w:szCs w:val="22"/>
        </w:rPr>
        <w:t xml:space="preserve">REAGENTAI IR PAPILDOMOS PRIEMONĖS KRAUJO IR AUDINIŲ SKYSČIŲ TYRIMŲ ATLIKIMUI KARTU SU AUTOMATIZUOTOS SISTEMOS ĮSIGIJIMU PANAUDOS BŪDU  </w:t>
      </w:r>
      <w:r w:rsidR="005A26F7" w:rsidRPr="008D1C53">
        <w:rPr>
          <w:rFonts w:asciiTheme="majorHAnsi" w:hAnsiTheme="majorHAnsi"/>
          <w:b/>
          <w:sz w:val="22"/>
          <w:szCs w:val="22"/>
        </w:rPr>
        <w:t>PIRKIMO</w:t>
      </w:r>
    </w:p>
    <w:p w:rsidR="0087485D" w:rsidRPr="008D1C53" w:rsidRDefault="0087485D" w:rsidP="0087485D">
      <w:pPr>
        <w:pStyle w:val="Body2"/>
        <w:rPr>
          <w:rFonts w:asciiTheme="majorHAnsi" w:hAnsiTheme="majorHAnsi" w:cs="Times New Roman"/>
          <w:lang w:val="lt-LT"/>
        </w:rPr>
      </w:pPr>
    </w:p>
    <w:p w:rsidR="00FB4309" w:rsidRPr="008D1C53" w:rsidRDefault="00FB4309" w:rsidP="0087485D">
      <w:pPr>
        <w:shd w:val="clear" w:color="auto" w:fill="FFFFFF"/>
        <w:rPr>
          <w:rFonts w:asciiTheme="majorHAnsi" w:hAnsiTheme="majorHAnsi"/>
          <w:sz w:val="22"/>
          <w:szCs w:val="22"/>
        </w:rPr>
      </w:pPr>
    </w:p>
    <w:p w:rsidR="00FB4309" w:rsidRPr="008D1C53" w:rsidRDefault="00FB4309" w:rsidP="00FB4309">
      <w:pPr>
        <w:shd w:val="clear" w:color="auto" w:fill="FFFFFF"/>
        <w:jc w:val="center"/>
        <w:rPr>
          <w:rFonts w:asciiTheme="majorHAnsi" w:hAnsiTheme="majorHAnsi"/>
          <w:b/>
          <w:bCs/>
          <w:sz w:val="22"/>
          <w:szCs w:val="22"/>
        </w:rPr>
      </w:pPr>
      <w:r w:rsidRPr="008D1C53">
        <w:rPr>
          <w:rFonts w:asciiTheme="majorHAnsi" w:hAnsiTheme="majorHAnsi"/>
          <w:sz w:val="22"/>
          <w:szCs w:val="22"/>
        </w:rPr>
        <w:t>____________Nr.____</w:t>
      </w:r>
    </w:p>
    <w:p w:rsidR="00FB4309" w:rsidRPr="008D1C53" w:rsidRDefault="00FB4309" w:rsidP="00FB4309">
      <w:pPr>
        <w:shd w:val="clear" w:color="auto" w:fill="FFFFFF"/>
        <w:jc w:val="center"/>
        <w:rPr>
          <w:rFonts w:asciiTheme="majorHAnsi" w:hAnsiTheme="majorHAnsi"/>
          <w:bCs/>
          <w:sz w:val="22"/>
          <w:szCs w:val="22"/>
        </w:rPr>
      </w:pPr>
      <w:r w:rsidRPr="008D1C53">
        <w:rPr>
          <w:rFonts w:asciiTheme="majorHAnsi" w:hAnsiTheme="majorHAnsi"/>
          <w:bCs/>
          <w:sz w:val="22"/>
          <w:szCs w:val="22"/>
        </w:rPr>
        <w:t>(Data)</w:t>
      </w:r>
    </w:p>
    <w:p w:rsidR="00FB4309" w:rsidRPr="008D1C53" w:rsidRDefault="00FB4309" w:rsidP="00FB4309">
      <w:pPr>
        <w:shd w:val="clear" w:color="auto" w:fill="FFFFFF"/>
        <w:jc w:val="center"/>
        <w:rPr>
          <w:rFonts w:asciiTheme="majorHAnsi" w:hAnsiTheme="majorHAnsi"/>
          <w:bCs/>
          <w:sz w:val="22"/>
          <w:szCs w:val="22"/>
        </w:rPr>
      </w:pPr>
      <w:r w:rsidRPr="008D1C53">
        <w:rPr>
          <w:rFonts w:asciiTheme="majorHAnsi" w:hAnsiTheme="majorHAnsi"/>
          <w:bCs/>
          <w:sz w:val="22"/>
          <w:szCs w:val="22"/>
        </w:rPr>
        <w:t>_____________</w:t>
      </w:r>
    </w:p>
    <w:p w:rsidR="00FB4309" w:rsidRPr="008D1C53" w:rsidRDefault="00021264" w:rsidP="00021264">
      <w:pPr>
        <w:shd w:val="clear" w:color="auto" w:fill="FFFFFF"/>
        <w:jc w:val="center"/>
        <w:rPr>
          <w:rFonts w:asciiTheme="majorHAnsi" w:hAnsiTheme="majorHAnsi"/>
          <w:bCs/>
          <w:sz w:val="22"/>
          <w:szCs w:val="22"/>
        </w:rPr>
      </w:pPr>
      <w:r w:rsidRPr="008D1C53">
        <w:rPr>
          <w:rFonts w:asciiTheme="majorHAnsi" w:hAnsiTheme="majorHAnsi"/>
          <w:bCs/>
          <w:sz w:val="22"/>
          <w:szCs w:val="22"/>
        </w:rPr>
        <w:t>(Sudarymo vieta)</w:t>
      </w:r>
    </w:p>
    <w:p w:rsidR="00FB4309" w:rsidRPr="008D1C53" w:rsidRDefault="00FB4309" w:rsidP="00FB4309">
      <w:pPr>
        <w:jc w:val="right"/>
        <w:rPr>
          <w:rFonts w:asciiTheme="majorHAnsi" w:hAnsiTheme="majorHAnsi"/>
          <w:sz w:val="22"/>
          <w:szCs w:val="22"/>
        </w:rPr>
      </w:pP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r>
      <w:r w:rsidRPr="008D1C53">
        <w:rPr>
          <w:rFonts w:asciiTheme="majorHAnsi" w:hAnsiTheme="majorHAnsi"/>
          <w:sz w:val="22"/>
          <w:szCs w:val="22"/>
        </w:rPr>
        <w:tab/>
        <w:t>1 lentelė</w:t>
      </w:r>
    </w:p>
    <w:p w:rsidR="00FB4309" w:rsidRPr="008D1C53" w:rsidRDefault="00FB4309" w:rsidP="00FB4309">
      <w:pPr>
        <w:jc w:val="center"/>
        <w:rPr>
          <w:rFonts w:asciiTheme="majorHAnsi" w:hAnsiTheme="majorHAnsi"/>
          <w:b/>
          <w:sz w:val="22"/>
          <w:szCs w:val="22"/>
        </w:rPr>
      </w:pPr>
      <w:r w:rsidRPr="008D1C53">
        <w:rPr>
          <w:rFonts w:asciiTheme="majorHAnsi" w:hAnsiTheme="majorHAnsi"/>
          <w:b/>
          <w:sz w:val="22"/>
          <w:szCs w:val="22"/>
        </w:rPr>
        <w:t>TIEKĖJO REKVIZITAI</w:t>
      </w:r>
    </w:p>
    <w:p w:rsidR="00FB4309" w:rsidRPr="008D1C53" w:rsidRDefault="00FB4309" w:rsidP="00FB4309">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i/>
                <w:sz w:val="22"/>
                <w:szCs w:val="22"/>
              </w:rPr>
            </w:pPr>
            <w:r w:rsidRPr="008D1C53">
              <w:rPr>
                <w:rFonts w:asciiTheme="majorHAnsi" w:hAnsiTheme="majorHAnsi"/>
                <w:sz w:val="22"/>
                <w:szCs w:val="22"/>
              </w:rPr>
              <w:t xml:space="preserve">Tiekėjo pavadinimas </w:t>
            </w:r>
            <w:r w:rsidRPr="008D1C5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Tiekėjo adresas</w:t>
            </w:r>
            <w:r w:rsidRPr="008D1C5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A0213A">
        <w:tc>
          <w:tcPr>
            <w:tcW w:w="4928"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r w:rsidRPr="008D1C5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bl>
    <w:p w:rsidR="00FB4309" w:rsidRPr="008D1C53" w:rsidRDefault="00FB4309" w:rsidP="00FB4309">
      <w:pPr>
        <w:jc w:val="both"/>
        <w:rPr>
          <w:rFonts w:asciiTheme="majorHAnsi" w:hAnsiTheme="majorHAnsi"/>
          <w:sz w:val="22"/>
          <w:szCs w:val="22"/>
        </w:rPr>
      </w:pPr>
    </w:p>
    <w:p w:rsidR="00FB4309" w:rsidRPr="008D1C53" w:rsidRDefault="00FB4309" w:rsidP="00FB4309">
      <w:pPr>
        <w:tabs>
          <w:tab w:val="left" w:pos="709"/>
        </w:tabs>
        <w:jc w:val="both"/>
        <w:rPr>
          <w:rFonts w:asciiTheme="majorHAnsi" w:hAnsiTheme="majorHAnsi"/>
          <w:sz w:val="22"/>
          <w:szCs w:val="22"/>
        </w:rPr>
      </w:pPr>
      <w:r w:rsidRPr="008D1C53">
        <w:rPr>
          <w:rFonts w:asciiTheme="majorHAnsi" w:hAnsiTheme="majorHAnsi"/>
          <w:sz w:val="22"/>
          <w:szCs w:val="22"/>
        </w:rPr>
        <w:tab/>
        <w:t>1. Šiuo pasiūlymu pažymime, kad sutinkame su visomis pirkimo sąlygomis, nustatytomis:</w:t>
      </w:r>
    </w:p>
    <w:p w:rsidR="00FB4309" w:rsidRPr="008D1C53" w:rsidRDefault="00FB4309" w:rsidP="00FB4309">
      <w:pPr>
        <w:ind w:left="720"/>
        <w:jc w:val="both"/>
        <w:rPr>
          <w:rFonts w:asciiTheme="majorHAnsi" w:hAnsiTheme="majorHAnsi"/>
          <w:sz w:val="22"/>
          <w:szCs w:val="22"/>
        </w:rPr>
      </w:pPr>
      <w:r w:rsidRPr="008D1C53">
        <w:rPr>
          <w:rFonts w:asciiTheme="majorHAnsi" w:hAnsiTheme="majorHAnsi"/>
          <w:sz w:val="22"/>
          <w:szCs w:val="22"/>
        </w:rPr>
        <w:t>1) atviro konkurso skelbime, paskelbtame Viešųjų pirkimų įstatymo nustatyta tvarka;</w:t>
      </w:r>
    </w:p>
    <w:p w:rsidR="00FB4309" w:rsidRPr="008D1C53" w:rsidRDefault="00FB4309" w:rsidP="00FB4309">
      <w:pPr>
        <w:ind w:left="720"/>
        <w:jc w:val="both"/>
        <w:rPr>
          <w:rFonts w:asciiTheme="majorHAnsi" w:hAnsiTheme="majorHAnsi"/>
          <w:sz w:val="22"/>
          <w:szCs w:val="22"/>
        </w:rPr>
      </w:pPr>
      <w:r w:rsidRPr="008D1C53">
        <w:rPr>
          <w:rFonts w:asciiTheme="majorHAnsi" w:hAnsiTheme="majorHAnsi"/>
          <w:sz w:val="22"/>
          <w:szCs w:val="22"/>
        </w:rPr>
        <w:t>2) kituose pirkimo dokumentuose (jų paaiškinimuose, papildymuose).</w:t>
      </w:r>
    </w:p>
    <w:p w:rsidR="00FB4309" w:rsidRPr="008D1C53" w:rsidRDefault="00FB4309" w:rsidP="00FB4309">
      <w:pPr>
        <w:ind w:firstLine="720"/>
        <w:jc w:val="both"/>
        <w:rPr>
          <w:rFonts w:asciiTheme="majorHAnsi" w:hAnsiTheme="majorHAnsi"/>
          <w:sz w:val="22"/>
          <w:szCs w:val="22"/>
        </w:rPr>
      </w:pPr>
      <w:r w:rsidRPr="008D1C53">
        <w:rPr>
          <w:rFonts w:asciiTheme="majorHAnsi" w:hAnsiTheme="majorHAnsi"/>
          <w:sz w:val="22"/>
          <w:szCs w:val="22"/>
        </w:rPr>
        <w:t xml:space="preserve">2. </w:t>
      </w:r>
      <w:r w:rsidRPr="008D1C53">
        <w:rPr>
          <w:rFonts w:asciiTheme="majorHAnsi" w:hAnsiTheme="majorHAnsi"/>
          <w:spacing w:val="-4"/>
          <w:sz w:val="22"/>
          <w:szCs w:val="22"/>
        </w:rPr>
        <w:t>Pasirašydamas CVP IS priemonėmis pateiktą pasiūlymą parašu, patvirtinu, kad dokumentų skaitmeninės</w:t>
      </w:r>
      <w:r w:rsidRPr="008D1C53">
        <w:rPr>
          <w:rFonts w:asciiTheme="majorHAnsi" w:hAnsiTheme="majorHAnsi"/>
          <w:sz w:val="22"/>
          <w:szCs w:val="22"/>
        </w:rPr>
        <w:t xml:space="preserve"> kopijos ir elektroninėmis priemonėmis pateikti duomenys yra tikri. </w:t>
      </w:r>
    </w:p>
    <w:p w:rsidR="00FB4309" w:rsidRPr="008D1C53" w:rsidRDefault="00FB4309" w:rsidP="00FB4309">
      <w:pPr>
        <w:jc w:val="both"/>
        <w:rPr>
          <w:rFonts w:asciiTheme="majorHAnsi" w:hAnsiTheme="majorHAnsi"/>
          <w:sz w:val="22"/>
          <w:szCs w:val="22"/>
        </w:rPr>
      </w:pPr>
    </w:p>
    <w:p w:rsidR="00FB4309" w:rsidRPr="008D1C53" w:rsidRDefault="00FB4309" w:rsidP="00FB4309">
      <w:pPr>
        <w:pStyle w:val="Header"/>
        <w:widowControl/>
        <w:tabs>
          <w:tab w:val="clear" w:pos="4153"/>
          <w:tab w:val="clear" w:pos="8306"/>
        </w:tabs>
        <w:spacing w:after="0"/>
        <w:jc w:val="right"/>
        <w:rPr>
          <w:rFonts w:asciiTheme="majorHAnsi" w:hAnsiTheme="majorHAnsi"/>
          <w:sz w:val="22"/>
          <w:szCs w:val="22"/>
        </w:rPr>
      </w:pPr>
      <w:r w:rsidRPr="008D1C53">
        <w:rPr>
          <w:rFonts w:asciiTheme="majorHAnsi" w:hAnsiTheme="majorHAnsi"/>
          <w:sz w:val="22"/>
          <w:szCs w:val="22"/>
        </w:rPr>
        <w:tab/>
      </w:r>
      <w:r w:rsidRPr="008D1C53">
        <w:rPr>
          <w:rFonts w:asciiTheme="majorHAnsi" w:hAnsiTheme="majorHAnsi"/>
          <w:sz w:val="22"/>
          <w:szCs w:val="22"/>
        </w:rPr>
        <w:tab/>
        <w:t>2 lentelė</w:t>
      </w:r>
    </w:p>
    <w:p w:rsidR="00FB4309" w:rsidRPr="008D1C53" w:rsidRDefault="00FB4309" w:rsidP="00FB4309">
      <w:pPr>
        <w:jc w:val="center"/>
        <w:rPr>
          <w:rFonts w:asciiTheme="majorHAnsi" w:hAnsiTheme="majorHAnsi"/>
          <w:b/>
          <w:sz w:val="22"/>
          <w:szCs w:val="22"/>
        </w:rPr>
      </w:pPr>
    </w:p>
    <w:p w:rsidR="00FB4309" w:rsidRPr="008D1C53" w:rsidRDefault="00FB4309" w:rsidP="00FB4309">
      <w:pPr>
        <w:autoSpaceDE w:val="0"/>
        <w:autoSpaceDN w:val="0"/>
        <w:adjustRightInd w:val="0"/>
        <w:jc w:val="center"/>
        <w:rPr>
          <w:rFonts w:asciiTheme="majorHAnsi" w:hAnsiTheme="majorHAnsi"/>
          <w:b/>
          <w:sz w:val="22"/>
          <w:szCs w:val="22"/>
        </w:rPr>
      </w:pPr>
      <w:r w:rsidRPr="008D1C53">
        <w:rPr>
          <w:rFonts w:asciiTheme="majorHAnsi" w:hAnsiTheme="majorHAnsi"/>
          <w:b/>
          <w:sz w:val="22"/>
          <w:szCs w:val="22"/>
        </w:rPr>
        <w:t>INFORMACIJA APIE SUBTIEKĖJUS*</w:t>
      </w:r>
    </w:p>
    <w:p w:rsidR="00FB4309" w:rsidRPr="008D1C53"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8D1C53"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FB4309" w:rsidRPr="008D1C53" w:rsidRDefault="00FB4309" w:rsidP="00A0213A">
            <w:pPr>
              <w:jc w:val="center"/>
              <w:rPr>
                <w:rFonts w:asciiTheme="majorHAnsi" w:hAnsiTheme="majorHAnsi"/>
                <w:b/>
                <w:sz w:val="22"/>
                <w:szCs w:val="22"/>
              </w:rPr>
            </w:pPr>
            <w:r w:rsidRPr="008D1C53">
              <w:rPr>
                <w:rFonts w:asciiTheme="majorHAnsi" w:hAnsiTheme="majorHAnsi"/>
                <w:b/>
                <w:sz w:val="22"/>
                <w:szCs w:val="22"/>
              </w:rPr>
              <w:lastRenderedPageBreak/>
              <w:t>Eil.</w:t>
            </w:r>
          </w:p>
          <w:p w:rsidR="00FB4309" w:rsidRPr="008D1C53" w:rsidRDefault="00FB4309" w:rsidP="00A0213A">
            <w:pPr>
              <w:jc w:val="center"/>
              <w:rPr>
                <w:rFonts w:asciiTheme="majorHAnsi" w:hAnsiTheme="majorHAnsi"/>
                <w:b/>
                <w:sz w:val="22"/>
                <w:szCs w:val="22"/>
              </w:rPr>
            </w:pPr>
            <w:r w:rsidRPr="008D1C53">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FB4309" w:rsidRPr="008D1C53" w:rsidRDefault="00FB4309" w:rsidP="00A0213A">
            <w:pPr>
              <w:autoSpaceDE w:val="0"/>
              <w:autoSpaceDN w:val="0"/>
              <w:adjustRightInd w:val="0"/>
              <w:jc w:val="center"/>
              <w:rPr>
                <w:rFonts w:asciiTheme="majorHAnsi" w:hAnsiTheme="majorHAnsi"/>
                <w:b/>
                <w:bCs/>
                <w:sz w:val="22"/>
                <w:szCs w:val="22"/>
              </w:rPr>
            </w:pPr>
            <w:r w:rsidRPr="008D1C53">
              <w:rPr>
                <w:rFonts w:asciiTheme="majorHAnsi" w:hAnsiTheme="majorHAnsi"/>
                <w:b/>
                <w:bCs/>
                <w:sz w:val="22"/>
                <w:szCs w:val="22"/>
              </w:rPr>
              <w:t xml:space="preserve">Subtiekėjo pavadinimas </w:t>
            </w:r>
          </w:p>
          <w:p w:rsidR="00FB4309" w:rsidRPr="008D1C53" w:rsidRDefault="00FB4309" w:rsidP="00A0213A">
            <w:pPr>
              <w:jc w:val="center"/>
              <w:rPr>
                <w:rFonts w:asciiTheme="majorHAnsi" w:hAnsiTheme="majorHAnsi"/>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FB4309" w:rsidRPr="008D1C53" w:rsidRDefault="00FB4309" w:rsidP="00A0213A">
            <w:pPr>
              <w:autoSpaceDE w:val="0"/>
              <w:autoSpaceDN w:val="0"/>
              <w:adjustRightInd w:val="0"/>
              <w:jc w:val="center"/>
              <w:rPr>
                <w:rFonts w:asciiTheme="majorHAnsi" w:hAnsiTheme="majorHAnsi"/>
                <w:b/>
                <w:bCs/>
                <w:sz w:val="22"/>
                <w:szCs w:val="22"/>
              </w:rPr>
            </w:pPr>
            <w:r w:rsidRPr="008D1C53">
              <w:rPr>
                <w:rFonts w:asciiTheme="majorHAnsi" w:hAnsiTheme="majorHAnsi"/>
                <w:b/>
                <w:bCs/>
                <w:sz w:val="22"/>
                <w:szCs w:val="22"/>
              </w:rPr>
              <w:t>Adresas</w:t>
            </w:r>
          </w:p>
          <w:p w:rsidR="00FB4309" w:rsidRPr="008D1C53" w:rsidRDefault="00FB4309" w:rsidP="00A0213A">
            <w:pPr>
              <w:jc w:val="center"/>
              <w:rPr>
                <w:rFonts w:asciiTheme="majorHAnsi" w:hAnsiTheme="majorHAnsi"/>
                <w:b/>
                <w:sz w:val="22"/>
                <w:szCs w:val="22"/>
              </w:rPr>
            </w:pPr>
          </w:p>
        </w:tc>
      </w:tr>
      <w:tr w:rsidR="00FB4309" w:rsidRPr="008D1C53"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bl>
    <w:p w:rsidR="00FB4309" w:rsidRPr="008D1C53" w:rsidRDefault="00FB4309" w:rsidP="00FB4309">
      <w:pPr>
        <w:autoSpaceDE w:val="0"/>
        <w:autoSpaceDN w:val="0"/>
        <w:adjustRightInd w:val="0"/>
        <w:jc w:val="both"/>
        <w:rPr>
          <w:rFonts w:asciiTheme="majorHAnsi" w:hAnsiTheme="majorHAnsi"/>
          <w:sz w:val="22"/>
          <w:szCs w:val="22"/>
        </w:rPr>
      </w:pPr>
      <w:r w:rsidRPr="008D1C53">
        <w:rPr>
          <w:rFonts w:asciiTheme="majorHAnsi" w:hAnsiTheme="majorHAnsi"/>
          <w:sz w:val="22"/>
          <w:szCs w:val="22"/>
        </w:rPr>
        <w:t>*</w:t>
      </w:r>
      <w:r w:rsidRPr="008D1C53">
        <w:rPr>
          <w:rFonts w:asciiTheme="majorHAnsi" w:hAnsiTheme="majorHAnsi"/>
          <w:b/>
          <w:sz w:val="22"/>
          <w:szCs w:val="22"/>
        </w:rPr>
        <w:t>Pildyti tuomet, jei pirkimo sutarties vykdymui bus pasitelkti subtiekėjai</w:t>
      </w:r>
      <w:r w:rsidRPr="008D1C53">
        <w:rPr>
          <w:rFonts w:asciiTheme="majorHAnsi" w:hAnsiTheme="majorHAnsi"/>
          <w:sz w:val="22"/>
          <w:szCs w:val="22"/>
        </w:rPr>
        <w:t>.</w:t>
      </w:r>
    </w:p>
    <w:p w:rsidR="00FB4309" w:rsidRPr="008D1C53" w:rsidRDefault="00FB4309" w:rsidP="00F945A3">
      <w:pPr>
        <w:tabs>
          <w:tab w:val="left" w:pos="8550"/>
          <w:tab w:val="left" w:pos="9090"/>
        </w:tabs>
        <w:ind w:right="-284"/>
        <w:rPr>
          <w:rFonts w:asciiTheme="majorHAnsi" w:hAnsiTheme="majorHAnsi"/>
          <w:sz w:val="22"/>
          <w:szCs w:val="22"/>
        </w:rPr>
      </w:pPr>
      <w:r w:rsidRPr="008D1C53">
        <w:rPr>
          <w:rFonts w:asciiTheme="majorHAnsi" w:hAnsiTheme="majorHAnsi"/>
          <w:b/>
          <w:sz w:val="22"/>
          <w:szCs w:val="22"/>
        </w:rPr>
        <w:tab/>
      </w:r>
      <w:r w:rsidR="00F945A3" w:rsidRPr="008D1C53">
        <w:rPr>
          <w:rFonts w:asciiTheme="majorHAnsi" w:hAnsiTheme="majorHAnsi"/>
          <w:b/>
          <w:sz w:val="22"/>
          <w:szCs w:val="22"/>
        </w:rPr>
        <w:t xml:space="preserve">    </w:t>
      </w:r>
      <w:r w:rsidRPr="008D1C53">
        <w:rPr>
          <w:rFonts w:asciiTheme="majorHAnsi" w:hAnsiTheme="majorHAnsi"/>
          <w:sz w:val="22"/>
          <w:szCs w:val="22"/>
        </w:rPr>
        <w:t>3 lentelė</w:t>
      </w:r>
    </w:p>
    <w:p w:rsidR="00FB4309" w:rsidRPr="008D1C53" w:rsidRDefault="00FB4309" w:rsidP="00FB4309">
      <w:pPr>
        <w:jc w:val="center"/>
        <w:rPr>
          <w:rFonts w:asciiTheme="majorHAnsi" w:hAnsiTheme="majorHAnsi"/>
          <w:b/>
          <w:sz w:val="22"/>
          <w:szCs w:val="22"/>
        </w:rPr>
      </w:pPr>
    </w:p>
    <w:p w:rsidR="00FB4309" w:rsidRPr="008D1C53" w:rsidRDefault="00FB4309" w:rsidP="00FB4309">
      <w:pPr>
        <w:jc w:val="center"/>
        <w:rPr>
          <w:rFonts w:asciiTheme="majorHAnsi" w:hAnsiTheme="majorHAnsi"/>
          <w:b/>
          <w:sz w:val="22"/>
          <w:szCs w:val="22"/>
        </w:rPr>
      </w:pPr>
      <w:r w:rsidRPr="008D1C53">
        <w:rPr>
          <w:rFonts w:asciiTheme="majorHAnsi" w:hAnsiTheme="majorHAnsi"/>
          <w:b/>
          <w:sz w:val="22"/>
          <w:szCs w:val="22"/>
        </w:rPr>
        <w:t>PASIŪLYMO KAINA</w:t>
      </w:r>
    </w:p>
    <w:p w:rsidR="00FB4309" w:rsidRPr="008D1C53" w:rsidRDefault="00FB4309" w:rsidP="00FB4309">
      <w:pPr>
        <w:jc w:val="center"/>
        <w:rPr>
          <w:rFonts w:asciiTheme="majorHAnsi" w:hAnsiTheme="majorHAnsi"/>
          <w:b/>
          <w:sz w:val="22"/>
          <w:szCs w:val="22"/>
        </w:rPr>
      </w:pPr>
    </w:p>
    <w:p w:rsidR="00EB0FA3" w:rsidRPr="00316C29" w:rsidRDefault="00EB0FA3" w:rsidP="00EB0FA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16C29">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D1C53" w:rsidRDefault="00841711" w:rsidP="00FB4309">
      <w:pPr>
        <w:jc w:val="center"/>
        <w:rPr>
          <w:rFonts w:asciiTheme="majorHAnsi" w:hAnsiTheme="majorHAnsi"/>
          <w:b/>
          <w:sz w:val="22"/>
          <w:szCs w:val="22"/>
        </w:rPr>
      </w:pPr>
    </w:p>
    <w:p w:rsidR="00FB4309" w:rsidRPr="008D1C53" w:rsidRDefault="00FB4309" w:rsidP="00795217">
      <w:pPr>
        <w:ind w:right="-142"/>
        <w:rPr>
          <w:rFonts w:asciiTheme="majorHAnsi" w:hAnsiTheme="majorHAnsi"/>
          <w:b/>
          <w:sz w:val="22"/>
          <w:szCs w:val="22"/>
          <w:u w:val="single"/>
        </w:rPr>
      </w:pPr>
    </w:p>
    <w:tbl>
      <w:tblPr>
        <w:tblW w:w="9639" w:type="dxa"/>
        <w:tblLayout w:type="fixed"/>
        <w:tblLook w:val="01E0" w:firstRow="1" w:lastRow="1" w:firstColumn="1" w:lastColumn="1" w:noHBand="0" w:noVBand="0"/>
      </w:tblPr>
      <w:tblGrid>
        <w:gridCol w:w="9639"/>
      </w:tblGrid>
      <w:tr w:rsidR="00FB4309" w:rsidRPr="008D1C53" w:rsidTr="0012296D">
        <w:trPr>
          <w:trHeight w:val="327"/>
        </w:trPr>
        <w:tc>
          <w:tcPr>
            <w:tcW w:w="9639" w:type="dxa"/>
          </w:tcPr>
          <w:p w:rsidR="00920C71" w:rsidRPr="008D1C53" w:rsidRDefault="00920C71" w:rsidP="00920C71">
            <w:pPr>
              <w:jc w:val="right"/>
              <w:rPr>
                <w:rFonts w:asciiTheme="majorHAnsi" w:hAnsiTheme="majorHAnsi"/>
                <w:sz w:val="22"/>
                <w:szCs w:val="22"/>
              </w:rPr>
            </w:pPr>
            <w:r w:rsidRPr="008D1C53">
              <w:rPr>
                <w:rFonts w:asciiTheme="majorHAnsi" w:hAnsiTheme="majorHAnsi"/>
                <w:sz w:val="22"/>
                <w:szCs w:val="22"/>
              </w:rPr>
              <w:t>4 lentelė</w:t>
            </w:r>
          </w:p>
          <w:p w:rsidR="00920C71" w:rsidRPr="008D1C53" w:rsidRDefault="00920C71" w:rsidP="00920C71">
            <w:pPr>
              <w:ind w:firstLine="720"/>
              <w:jc w:val="center"/>
              <w:rPr>
                <w:rFonts w:asciiTheme="majorHAnsi" w:hAnsiTheme="majorHAnsi"/>
                <w:b/>
                <w:sz w:val="22"/>
                <w:szCs w:val="22"/>
              </w:rPr>
            </w:pPr>
          </w:p>
          <w:p w:rsidR="00920C71" w:rsidRPr="008D1C53" w:rsidRDefault="00920C71" w:rsidP="00920C71">
            <w:pPr>
              <w:ind w:firstLine="720"/>
              <w:jc w:val="center"/>
              <w:rPr>
                <w:rFonts w:asciiTheme="majorHAnsi" w:hAnsiTheme="majorHAnsi"/>
                <w:b/>
                <w:sz w:val="22"/>
                <w:szCs w:val="22"/>
              </w:rPr>
            </w:pPr>
            <w:r w:rsidRPr="008D1C53">
              <w:rPr>
                <w:rFonts w:asciiTheme="majorHAnsi" w:hAnsiTheme="majorHAnsi"/>
                <w:b/>
                <w:sz w:val="22"/>
                <w:szCs w:val="22"/>
              </w:rPr>
              <w:t>SIŪLOMŲ PREKIŲ CHARAKTERISTIKŲ ATITIKIMAS REIKALAUJAMOMS</w:t>
            </w:r>
          </w:p>
          <w:p w:rsidR="00BF5082" w:rsidRPr="008D1C53" w:rsidRDefault="00BF5082" w:rsidP="00BF5082">
            <w:pPr>
              <w:ind w:right="-114"/>
              <w:jc w:val="both"/>
              <w:rPr>
                <w:rFonts w:asciiTheme="majorHAnsi" w:hAnsiTheme="majorHAnsi"/>
                <w:b/>
                <w:color w:val="FF0000"/>
                <w:szCs w:val="22"/>
              </w:rPr>
            </w:pPr>
          </w:p>
          <w:p w:rsidR="00BF5082" w:rsidRPr="008D1C53" w:rsidRDefault="00BF5082" w:rsidP="00BF5082">
            <w:pPr>
              <w:ind w:right="-114"/>
              <w:jc w:val="both"/>
              <w:rPr>
                <w:rFonts w:asciiTheme="majorHAnsi" w:hAnsiTheme="majorHAnsi"/>
                <w:b/>
                <w:color w:val="FF0000"/>
                <w:szCs w:val="22"/>
              </w:rPr>
            </w:pPr>
            <w:r w:rsidRPr="008D1C53">
              <w:rPr>
                <w:rFonts w:asciiTheme="majorHAnsi" w:hAnsiTheme="majorHAnsi"/>
                <w:b/>
                <w:color w:val="FF0000"/>
                <w:szCs w:val="22"/>
              </w:rPr>
              <w:t>Pildoma 3 priedas „Techninė specifikacija“.</w:t>
            </w:r>
          </w:p>
          <w:p w:rsidR="00BF5082" w:rsidRPr="008D1C53" w:rsidRDefault="00BF5082" w:rsidP="00BF5082">
            <w:pPr>
              <w:ind w:right="-114"/>
              <w:jc w:val="both"/>
              <w:rPr>
                <w:rFonts w:asciiTheme="majorHAnsi" w:hAnsiTheme="majorHAnsi"/>
                <w:b/>
                <w:color w:val="FF0000"/>
                <w:szCs w:val="22"/>
              </w:rPr>
            </w:pPr>
          </w:p>
          <w:p w:rsidR="00BF5082" w:rsidRPr="008D1C53" w:rsidRDefault="00BF5082" w:rsidP="00BF5082">
            <w:pPr>
              <w:ind w:right="-114"/>
              <w:jc w:val="both"/>
              <w:rPr>
                <w:rFonts w:asciiTheme="majorHAnsi" w:hAnsiTheme="majorHAnsi"/>
                <w:i/>
                <w:sz w:val="22"/>
                <w:szCs w:val="22"/>
                <w:u w:val="single"/>
              </w:rPr>
            </w:pPr>
            <w:r w:rsidRPr="008D1C53">
              <w:rPr>
                <w:rFonts w:asciiTheme="majorHAnsi" w:hAnsiTheme="majorHAnsi"/>
                <w:b/>
                <w:i/>
                <w:sz w:val="22"/>
                <w:szCs w:val="22"/>
              </w:rPr>
              <w:t>*</w:t>
            </w:r>
            <w:r w:rsidRPr="008D1C53">
              <w:rPr>
                <w:rFonts w:asciiTheme="majorHAnsi" w:hAnsiTheme="majorHAnsi"/>
                <w:b/>
                <w:sz w:val="22"/>
                <w:szCs w:val="22"/>
              </w:rPr>
              <w:t xml:space="preserve">Pastabos: </w:t>
            </w:r>
            <w:r w:rsidRPr="008D1C53">
              <w:rPr>
                <w:rFonts w:asciiTheme="majorHAnsi" w:hAnsiTheme="majorHAnsi"/>
                <w:i/>
                <w:sz w:val="22"/>
                <w:szCs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BF5082" w:rsidRPr="008D1C53" w:rsidRDefault="00BF5082" w:rsidP="00BF5082">
            <w:pPr>
              <w:ind w:right="-114"/>
              <w:jc w:val="both"/>
              <w:rPr>
                <w:rFonts w:asciiTheme="majorHAnsi" w:hAnsiTheme="majorHAnsi"/>
                <w:b/>
                <w:i/>
                <w:sz w:val="22"/>
                <w:szCs w:val="22"/>
              </w:rPr>
            </w:pPr>
            <w:r w:rsidRPr="008D1C53">
              <w:rPr>
                <w:rFonts w:asciiTheme="majorHAnsi" w:hAnsiTheme="majorHAnsi"/>
                <w:i/>
                <w:sz w:val="22"/>
                <w:szCs w:val="22"/>
              </w:rPr>
              <w:t xml:space="preserve">Turi būti nurodytos konkrečios siūlomų prekių charakteristikos. Originaliame firmos gamintojos dokumente </w:t>
            </w:r>
            <w:r w:rsidR="00F455C7" w:rsidRPr="008D1C53">
              <w:rPr>
                <w:rFonts w:asciiTheme="majorHAnsi" w:hAnsiTheme="majorHAnsi"/>
                <w:i/>
                <w:sz w:val="22"/>
                <w:szCs w:val="22"/>
              </w:rPr>
              <w:t>turi</w:t>
            </w:r>
            <w:r w:rsidRPr="008D1C53">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EB0FA3">
              <w:rPr>
                <w:rFonts w:asciiTheme="majorHAnsi" w:hAnsiTheme="majorHAnsi"/>
                <w:i/>
                <w:sz w:val="22"/>
                <w:szCs w:val="22"/>
              </w:rPr>
              <w:t xml:space="preserve"> ir kainų pasiūlymo lentelė</w:t>
            </w:r>
            <w:r w:rsidRPr="008D1C53">
              <w:rPr>
                <w:rFonts w:asciiTheme="majorHAnsi" w:hAnsiTheme="majorHAnsi"/>
                <w:i/>
                <w:sz w:val="22"/>
                <w:szCs w:val="22"/>
              </w:rPr>
              <w:t xml:space="preserve">“, grafoje „Reikalavimų atitikimas“ </w:t>
            </w:r>
            <w:r w:rsidRPr="008D1C53">
              <w:rPr>
                <w:rFonts w:asciiTheme="majorHAnsi" w:hAnsiTheme="majorHAnsi"/>
                <w:b/>
                <w:i/>
                <w:sz w:val="22"/>
                <w:szCs w:val="22"/>
              </w:rPr>
              <w:t>turi būti nurodytas pasiūlymo puslapis, kuriame yra atžyma;</w:t>
            </w:r>
          </w:p>
          <w:p w:rsidR="009C58AE" w:rsidRPr="008D1C53" w:rsidRDefault="00CB296A" w:rsidP="00CB296A">
            <w:pPr>
              <w:ind w:right="-18"/>
              <w:jc w:val="both"/>
              <w:rPr>
                <w:rFonts w:asciiTheme="majorHAnsi" w:hAnsiTheme="majorHAnsi"/>
                <w:sz w:val="22"/>
                <w:szCs w:val="22"/>
              </w:rPr>
            </w:pPr>
            <w:r w:rsidRPr="008D1C53">
              <w:rPr>
                <w:rFonts w:asciiTheme="majorHAnsi" w:hAnsiTheme="majorHAnsi"/>
                <w:sz w:val="22"/>
                <w:szCs w:val="22"/>
                <w:highlight w:val="yellow"/>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rsidR="00CB296A" w:rsidRPr="008D1C53" w:rsidRDefault="00CB296A" w:rsidP="00A0213A">
            <w:pPr>
              <w:ind w:right="-18" w:firstLine="720"/>
              <w:jc w:val="right"/>
              <w:rPr>
                <w:rFonts w:asciiTheme="majorHAnsi" w:hAnsiTheme="majorHAnsi"/>
                <w:sz w:val="22"/>
                <w:szCs w:val="22"/>
              </w:rPr>
            </w:pPr>
          </w:p>
          <w:p w:rsidR="00FB4309" w:rsidRPr="008D1C53" w:rsidRDefault="00920C71" w:rsidP="00A0213A">
            <w:pPr>
              <w:ind w:right="-18" w:firstLine="720"/>
              <w:jc w:val="right"/>
              <w:rPr>
                <w:rFonts w:asciiTheme="majorHAnsi" w:hAnsiTheme="majorHAnsi"/>
                <w:sz w:val="22"/>
                <w:szCs w:val="22"/>
              </w:rPr>
            </w:pPr>
            <w:r w:rsidRPr="008D1C53">
              <w:rPr>
                <w:rFonts w:asciiTheme="majorHAnsi" w:hAnsiTheme="majorHAnsi"/>
                <w:sz w:val="22"/>
                <w:szCs w:val="22"/>
              </w:rPr>
              <w:t>5</w:t>
            </w:r>
            <w:r w:rsidR="00FB4309" w:rsidRPr="008D1C53">
              <w:rPr>
                <w:rFonts w:asciiTheme="majorHAnsi" w:hAnsiTheme="majorHAnsi"/>
                <w:sz w:val="22"/>
                <w:szCs w:val="22"/>
              </w:rPr>
              <w:t xml:space="preserve"> lentelė</w:t>
            </w:r>
          </w:p>
          <w:p w:rsidR="00D966A7" w:rsidRPr="008D1C53" w:rsidRDefault="00D966A7" w:rsidP="00D966A7">
            <w:pPr>
              <w:ind w:right="-18" w:firstLine="720"/>
              <w:jc w:val="center"/>
              <w:rPr>
                <w:rFonts w:asciiTheme="majorHAnsi" w:hAnsiTheme="majorHAnsi"/>
                <w:b/>
                <w:sz w:val="22"/>
                <w:szCs w:val="22"/>
              </w:rPr>
            </w:pPr>
            <w:r w:rsidRPr="008D1C53">
              <w:rPr>
                <w:rFonts w:asciiTheme="majorHAnsi" w:hAnsiTheme="majorHAnsi"/>
                <w:b/>
                <w:sz w:val="22"/>
                <w:szCs w:val="22"/>
              </w:rPr>
              <w:t>PASIŪLYMO KOKYBINIAI PARAMETRAI</w:t>
            </w:r>
          </w:p>
          <w:tbl>
            <w:tblPr>
              <w:tblW w:w="9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9"/>
              <w:gridCol w:w="4113"/>
              <w:gridCol w:w="1701"/>
              <w:gridCol w:w="1558"/>
              <w:gridCol w:w="1452"/>
              <w:gridCol w:w="17"/>
            </w:tblGrid>
            <w:tr w:rsidR="00D966A7" w:rsidRPr="008D1C53" w:rsidTr="00024B6C">
              <w:trPr>
                <w:trHeight w:val="534"/>
              </w:trPr>
              <w:tc>
                <w:tcPr>
                  <w:tcW w:w="312" w:type="pct"/>
                  <w:vMerge w:val="restart"/>
                  <w:shd w:val="clear" w:color="auto" w:fill="auto"/>
                  <w:vAlign w:val="center"/>
                </w:tcPr>
                <w:p w:rsidR="00D966A7" w:rsidRPr="008D1C53" w:rsidRDefault="00D966A7" w:rsidP="00D966A7">
                  <w:pPr>
                    <w:jc w:val="center"/>
                    <w:rPr>
                      <w:rFonts w:asciiTheme="majorHAnsi" w:hAnsiTheme="majorHAnsi"/>
                      <w:bCs/>
                      <w:sz w:val="22"/>
                      <w:szCs w:val="22"/>
                    </w:rPr>
                  </w:pPr>
                  <w:r w:rsidRPr="008D1C53">
                    <w:rPr>
                      <w:rFonts w:asciiTheme="majorHAnsi" w:hAnsiTheme="majorHAnsi"/>
                      <w:b/>
                      <w:sz w:val="22"/>
                      <w:szCs w:val="22"/>
                    </w:rPr>
                    <w:t>Eil. Nr.</w:t>
                  </w:r>
                </w:p>
              </w:tc>
              <w:tc>
                <w:tcPr>
                  <w:tcW w:w="2181" w:type="pct"/>
                  <w:vMerge w:val="restart"/>
                  <w:shd w:val="clear" w:color="auto" w:fill="auto"/>
                  <w:vAlign w:val="center"/>
                </w:tcPr>
                <w:p w:rsidR="00D966A7" w:rsidRPr="008D1C53" w:rsidRDefault="00D966A7" w:rsidP="00D966A7">
                  <w:pPr>
                    <w:jc w:val="center"/>
                    <w:rPr>
                      <w:rFonts w:asciiTheme="majorHAnsi" w:hAnsiTheme="majorHAnsi"/>
                      <w:bCs/>
                      <w:sz w:val="22"/>
                      <w:szCs w:val="22"/>
                    </w:rPr>
                  </w:pPr>
                  <w:r w:rsidRPr="008D1C53">
                    <w:rPr>
                      <w:rFonts w:asciiTheme="majorHAnsi" w:hAnsiTheme="majorHAnsi"/>
                      <w:b/>
                      <w:sz w:val="22"/>
                      <w:szCs w:val="22"/>
                    </w:rPr>
                    <w:t>Kriterijaus (T) parametrai</w:t>
                  </w:r>
                </w:p>
              </w:tc>
              <w:tc>
                <w:tcPr>
                  <w:tcW w:w="2507" w:type="pct"/>
                  <w:gridSpan w:val="4"/>
                  <w:vAlign w:val="center"/>
                </w:tcPr>
                <w:p w:rsidR="00D966A7" w:rsidRPr="008D1C53" w:rsidRDefault="00D966A7" w:rsidP="00D966A7">
                  <w:pPr>
                    <w:widowControl w:val="0"/>
                    <w:suppressAutoHyphens/>
                    <w:snapToGrid w:val="0"/>
                    <w:jc w:val="center"/>
                    <w:rPr>
                      <w:rFonts w:asciiTheme="majorHAnsi" w:eastAsia="Andale Sans UI" w:hAnsiTheme="majorHAnsi"/>
                      <w:sz w:val="20"/>
                      <w:szCs w:val="20"/>
                      <w:lang w:eastAsia="zh-CN"/>
                    </w:rPr>
                  </w:pPr>
                  <w:r w:rsidRPr="008D1C53">
                    <w:rPr>
                      <w:rFonts w:asciiTheme="majorHAnsi" w:eastAsia="Andale Sans UI" w:hAnsiTheme="majorHAnsi"/>
                      <w:b/>
                      <w:bCs/>
                      <w:color w:val="000000"/>
                      <w:sz w:val="20"/>
                      <w:szCs w:val="20"/>
                      <w:lang w:eastAsia="zh-CN"/>
                    </w:rPr>
                    <w:t>Atitikimas kokybiniams reikalavimams.</w:t>
                  </w:r>
                </w:p>
                <w:p w:rsidR="00D966A7" w:rsidRPr="008D1C53" w:rsidRDefault="00D966A7" w:rsidP="00D966A7">
                  <w:pPr>
                    <w:jc w:val="center"/>
                    <w:rPr>
                      <w:rFonts w:asciiTheme="majorHAnsi" w:hAnsiTheme="majorHAnsi"/>
                      <w:b/>
                      <w:sz w:val="22"/>
                      <w:szCs w:val="22"/>
                    </w:rPr>
                  </w:pPr>
                  <w:r w:rsidRPr="008D1C53">
                    <w:rPr>
                      <w:rFonts w:asciiTheme="majorHAnsi" w:eastAsia="Andale Sans UI" w:hAnsiTheme="majorHAnsi"/>
                      <w:b/>
                      <w:bCs/>
                      <w:color w:val="000000"/>
                      <w:sz w:val="20"/>
                      <w:szCs w:val="20"/>
                      <w:lang w:eastAsia="zh-CN"/>
                    </w:rPr>
                    <w:t>Nuoroda į pridedamus, prekės atitikimą charakteristikoms įrodančius, dokumentus (bukletų, techninių aprašų puslapių Nr.)</w:t>
                  </w:r>
                </w:p>
              </w:tc>
            </w:tr>
            <w:tr w:rsidR="00D966A7" w:rsidRPr="008D1C53" w:rsidTr="00024B6C">
              <w:trPr>
                <w:trHeight w:val="84"/>
              </w:trPr>
              <w:tc>
                <w:tcPr>
                  <w:tcW w:w="312" w:type="pct"/>
                  <w:vMerge/>
                  <w:shd w:val="clear" w:color="auto" w:fill="auto"/>
                  <w:vAlign w:val="center"/>
                </w:tcPr>
                <w:p w:rsidR="00D966A7" w:rsidRPr="008D1C53" w:rsidRDefault="00D966A7" w:rsidP="00D966A7">
                  <w:pPr>
                    <w:jc w:val="center"/>
                    <w:rPr>
                      <w:rFonts w:asciiTheme="majorHAnsi" w:hAnsiTheme="majorHAnsi"/>
                      <w:b/>
                      <w:sz w:val="22"/>
                      <w:szCs w:val="22"/>
                    </w:rPr>
                  </w:pPr>
                </w:p>
              </w:tc>
              <w:tc>
                <w:tcPr>
                  <w:tcW w:w="2181" w:type="pct"/>
                  <w:vMerge/>
                  <w:shd w:val="clear" w:color="auto" w:fill="auto"/>
                  <w:vAlign w:val="center"/>
                </w:tcPr>
                <w:p w:rsidR="00D966A7" w:rsidRPr="008D1C53" w:rsidRDefault="00D966A7" w:rsidP="00D966A7">
                  <w:pPr>
                    <w:jc w:val="center"/>
                    <w:rPr>
                      <w:rFonts w:asciiTheme="majorHAnsi" w:hAnsiTheme="majorHAnsi"/>
                      <w:b/>
                      <w:sz w:val="22"/>
                      <w:szCs w:val="22"/>
                    </w:rPr>
                  </w:pPr>
                </w:p>
              </w:tc>
              <w:tc>
                <w:tcPr>
                  <w:tcW w:w="902" w:type="pct"/>
                  <w:vMerge w:val="restart"/>
                  <w:vAlign w:val="center"/>
                </w:tcPr>
                <w:p w:rsidR="00D966A7" w:rsidRPr="008D1C53" w:rsidRDefault="00D966A7" w:rsidP="00D966A7">
                  <w:pPr>
                    <w:jc w:val="center"/>
                    <w:rPr>
                      <w:rFonts w:asciiTheme="majorHAnsi" w:hAnsiTheme="majorHAnsi"/>
                      <w:sz w:val="22"/>
                      <w:szCs w:val="22"/>
                    </w:rPr>
                  </w:pPr>
                  <w:r w:rsidRPr="008D1C53">
                    <w:rPr>
                      <w:rFonts w:asciiTheme="majorHAnsi" w:hAnsiTheme="majorHAnsi"/>
                      <w:sz w:val="22"/>
                      <w:szCs w:val="22"/>
                    </w:rPr>
                    <w:t>Siūlomos prekės techniniai parametrai</w:t>
                  </w:r>
                </w:p>
              </w:tc>
              <w:tc>
                <w:tcPr>
                  <w:tcW w:w="1605" w:type="pct"/>
                  <w:gridSpan w:val="3"/>
                </w:tcPr>
                <w:p w:rsidR="00D966A7" w:rsidRPr="008D1C53" w:rsidRDefault="00D966A7" w:rsidP="00D966A7">
                  <w:pPr>
                    <w:jc w:val="center"/>
                    <w:rPr>
                      <w:rFonts w:asciiTheme="majorHAnsi" w:hAnsiTheme="majorHAnsi"/>
                      <w:sz w:val="22"/>
                      <w:szCs w:val="22"/>
                    </w:rPr>
                  </w:pPr>
                  <w:r w:rsidRPr="008D1C53">
                    <w:rPr>
                      <w:rFonts w:asciiTheme="majorHAnsi" w:hAnsiTheme="majorHAnsi"/>
                      <w:bCs/>
                      <w:sz w:val="20"/>
                      <w:szCs w:val="20"/>
                    </w:rPr>
                    <w:t>Pasiūlymo dokumentai, patvirtinantys siūlomos prekės techninius parametrus</w:t>
                  </w:r>
                </w:p>
              </w:tc>
            </w:tr>
            <w:tr w:rsidR="00D966A7" w:rsidRPr="008D1C53" w:rsidTr="00024B6C">
              <w:trPr>
                <w:trHeight w:val="84"/>
              </w:trPr>
              <w:tc>
                <w:tcPr>
                  <w:tcW w:w="312" w:type="pct"/>
                  <w:vMerge/>
                  <w:shd w:val="clear" w:color="auto" w:fill="auto"/>
                  <w:vAlign w:val="center"/>
                </w:tcPr>
                <w:p w:rsidR="00D966A7" w:rsidRPr="008D1C53" w:rsidRDefault="00D966A7" w:rsidP="00D966A7">
                  <w:pPr>
                    <w:jc w:val="center"/>
                    <w:rPr>
                      <w:rFonts w:asciiTheme="majorHAnsi" w:hAnsiTheme="majorHAnsi"/>
                      <w:b/>
                      <w:sz w:val="22"/>
                      <w:szCs w:val="22"/>
                    </w:rPr>
                  </w:pPr>
                </w:p>
              </w:tc>
              <w:tc>
                <w:tcPr>
                  <w:tcW w:w="2181" w:type="pct"/>
                  <w:vMerge/>
                  <w:shd w:val="clear" w:color="auto" w:fill="auto"/>
                  <w:vAlign w:val="center"/>
                </w:tcPr>
                <w:p w:rsidR="00D966A7" w:rsidRPr="008D1C53" w:rsidRDefault="00D966A7" w:rsidP="00D966A7">
                  <w:pPr>
                    <w:jc w:val="center"/>
                    <w:rPr>
                      <w:rFonts w:asciiTheme="majorHAnsi" w:hAnsiTheme="majorHAnsi"/>
                      <w:b/>
                      <w:sz w:val="22"/>
                      <w:szCs w:val="22"/>
                    </w:rPr>
                  </w:pPr>
                </w:p>
              </w:tc>
              <w:tc>
                <w:tcPr>
                  <w:tcW w:w="902" w:type="pct"/>
                  <w:vMerge/>
                </w:tcPr>
                <w:p w:rsidR="00D966A7" w:rsidRPr="008D1C53" w:rsidRDefault="00D966A7" w:rsidP="00D966A7">
                  <w:pPr>
                    <w:jc w:val="center"/>
                    <w:rPr>
                      <w:rFonts w:asciiTheme="majorHAnsi" w:hAnsiTheme="majorHAnsi"/>
                      <w:sz w:val="22"/>
                      <w:szCs w:val="22"/>
                    </w:rPr>
                  </w:pPr>
                </w:p>
              </w:tc>
              <w:tc>
                <w:tcPr>
                  <w:tcW w:w="826" w:type="pct"/>
                  <w:shd w:val="clear" w:color="auto" w:fill="auto"/>
                  <w:vAlign w:val="center"/>
                </w:tcPr>
                <w:p w:rsidR="00D966A7" w:rsidRPr="008D1C53" w:rsidRDefault="00D966A7" w:rsidP="00D966A7">
                  <w:pPr>
                    <w:jc w:val="center"/>
                    <w:rPr>
                      <w:rFonts w:asciiTheme="majorHAnsi" w:hAnsiTheme="majorHAnsi"/>
                      <w:sz w:val="22"/>
                      <w:szCs w:val="22"/>
                    </w:rPr>
                  </w:pPr>
                  <w:r w:rsidRPr="008D1C53">
                    <w:rPr>
                      <w:rFonts w:asciiTheme="majorHAnsi" w:hAnsiTheme="majorHAnsi"/>
                      <w:bCs/>
                      <w:sz w:val="20"/>
                      <w:szCs w:val="20"/>
                    </w:rPr>
                    <w:t>Dokumento pavadinimas</w:t>
                  </w:r>
                </w:p>
              </w:tc>
              <w:tc>
                <w:tcPr>
                  <w:tcW w:w="779" w:type="pct"/>
                  <w:gridSpan w:val="2"/>
                  <w:shd w:val="clear" w:color="auto" w:fill="auto"/>
                </w:tcPr>
                <w:p w:rsidR="00D966A7" w:rsidRPr="008D1C53" w:rsidRDefault="00D966A7" w:rsidP="00D966A7">
                  <w:pPr>
                    <w:jc w:val="center"/>
                    <w:rPr>
                      <w:rFonts w:asciiTheme="majorHAnsi" w:hAnsiTheme="majorHAnsi"/>
                      <w:b/>
                      <w:sz w:val="22"/>
                      <w:szCs w:val="22"/>
                    </w:rPr>
                  </w:pPr>
                  <w:r w:rsidRPr="008D1C53">
                    <w:rPr>
                      <w:rFonts w:asciiTheme="majorHAnsi" w:hAnsiTheme="majorHAnsi"/>
                      <w:bCs/>
                      <w:sz w:val="20"/>
                      <w:szCs w:val="20"/>
                    </w:rPr>
                    <w:t>Dokumento puslapio  numeris</w:t>
                  </w: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1</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Kapiliarinio kraujo ir audinių skysčio automatizuotam tyrimui atlikti reikalingas (įsiurbiamas) ėminio kiekis mažesnis nei 90 µl.</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2</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Hematologiniai analizatoriai hemoglobiną nustato becianidiniu metodu. </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3</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Hematologiniai analizatoriai nustato diagnostinį parametrą - kraujo </w:t>
                  </w:r>
                  <w:r w:rsidRPr="00EB0FA3">
                    <w:rPr>
                      <w:rFonts w:asciiTheme="majorHAnsi" w:hAnsiTheme="majorHAnsi"/>
                      <w:sz w:val="22"/>
                    </w:rPr>
                    <w:lastRenderedPageBreak/>
                    <w:t>kamieninių ląstelių absoliutų ir santykinį kiekį (#,%) veniniame kraujyje.</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4</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Bent vienas iš hematologinių analizatorių turi galimybę nustatyti diagnostinius išplėstinius uždegiminius parametrus: antikūnus sintezuojančius limfocitus (%, #), reakcinius limfocitus (%, #), neutrofilų granuliuotumo intensyvumą, neutrofilų reaktyvumo intensyvumą. </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5</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Bent vienas iš hematologinių analizatorių turi galimybę stebėti pacientų, kuriems taikoma chimerinių antigenų receptorių (CAR) T-ląstelių terapija, hematologinių rodiklių pokyčius t.y. limfocitų populiacijos pasiskirstymo plotį pagal šoninės šviesos sklaidą - LY-WX (angl. </w:t>
                  </w:r>
                  <w:r w:rsidRPr="00EB0FA3">
                    <w:rPr>
                      <w:rFonts w:asciiTheme="majorHAnsi" w:hAnsiTheme="majorHAnsi"/>
                      <w:i/>
                      <w:iCs/>
                      <w:sz w:val="22"/>
                    </w:rPr>
                    <w:t>Side scattered light distribution width of the lymphocyte population</w:t>
                  </w:r>
                  <w:r w:rsidRPr="00EB0FA3">
                    <w:rPr>
                      <w:rFonts w:asciiTheme="majorHAnsi" w:hAnsiTheme="majorHAnsi"/>
                      <w:sz w:val="22"/>
                    </w:rPr>
                    <w:t xml:space="preserve">), limfocitų populiacijos pasiskirstymo plotį pagal fluorescencinės šviesos sklaidą - LY-WY (angl. </w:t>
                  </w:r>
                  <w:r w:rsidRPr="00EB0FA3">
                    <w:rPr>
                      <w:rFonts w:asciiTheme="majorHAnsi" w:hAnsiTheme="majorHAnsi"/>
                      <w:i/>
                      <w:iCs/>
                      <w:sz w:val="22"/>
                    </w:rPr>
                    <w:t>Fluorescent light distribution width of the lymphocyte population</w:t>
                  </w:r>
                  <w:r w:rsidRPr="00EB0FA3">
                    <w:rPr>
                      <w:rFonts w:asciiTheme="majorHAnsi" w:hAnsiTheme="majorHAnsi"/>
                      <w:sz w:val="22"/>
                    </w:rPr>
                    <w:t xml:space="preserve">). </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6</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Bent vienas iš hematologinių analizatorių turi galimybę atlikti tikslesnę trombocitų kiekio analizę, atliekant matavimą papildomame kanale, naudojant papildomą fluorescentinį žymenį (matuojami diagnostiniai parametrai: PLT-F – trombocitų kiekis išmatuotas PLT-F kanale, IPF (%,#)). </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7</w:t>
                  </w:r>
                </w:p>
              </w:tc>
              <w:tc>
                <w:tcPr>
                  <w:tcW w:w="2181" w:type="pct"/>
                  <w:shd w:val="clear" w:color="auto" w:fill="auto"/>
                </w:tcPr>
                <w:p w:rsidR="00EB0FA3" w:rsidRPr="00EB0FA3" w:rsidRDefault="00EB0FA3" w:rsidP="00EB0FA3">
                  <w:pPr>
                    <w:rPr>
                      <w:rFonts w:asciiTheme="majorHAnsi" w:hAnsiTheme="majorHAnsi"/>
                      <w:sz w:val="22"/>
                    </w:rPr>
                  </w:pPr>
                  <w:r w:rsidRPr="00EB0FA3">
                    <w:rPr>
                      <w:rFonts w:asciiTheme="majorHAnsi" w:hAnsiTheme="majorHAnsi"/>
                      <w:sz w:val="22"/>
                    </w:rPr>
                    <w:t>Visi bendro hematologinio tyrimo ir retikulocitų analičių kontroliuojami parametrai yra tose pačiose kontrolinėse medžiagose.</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sz w:val="22"/>
                      <w:szCs w:val="22"/>
                      <w:lang w:val="en-US"/>
                    </w:rPr>
                  </w:pPr>
                  <w:r w:rsidRPr="008D1C53">
                    <w:rPr>
                      <w:rFonts w:asciiTheme="majorHAnsi" w:hAnsiTheme="majorHAnsi"/>
                      <w:sz w:val="22"/>
                      <w:szCs w:val="22"/>
                      <w:lang w:val="en-US"/>
                    </w:rPr>
                    <w:t>8</w:t>
                  </w:r>
                </w:p>
              </w:tc>
              <w:tc>
                <w:tcPr>
                  <w:tcW w:w="2181" w:type="pct"/>
                  <w:shd w:val="clear" w:color="auto" w:fill="auto"/>
                </w:tcPr>
                <w:p w:rsidR="00EB0FA3" w:rsidRPr="00EB0FA3" w:rsidRDefault="00EB0FA3" w:rsidP="00EB0FA3">
                  <w:pPr>
                    <w:rPr>
                      <w:rFonts w:asciiTheme="majorHAnsi" w:hAnsiTheme="majorHAnsi"/>
                      <w:sz w:val="22"/>
                    </w:rPr>
                  </w:pPr>
                  <w:r w:rsidRPr="00EB0FA3">
                    <w:rPr>
                      <w:rFonts w:asciiTheme="majorHAnsi" w:hAnsiTheme="majorHAnsi"/>
                      <w:sz w:val="22"/>
                    </w:rPr>
                    <w:t xml:space="preserve">Automatinių hematologinių analizatorių matuojamų analičių netikslumas (angl. inaccuracy): </w:t>
                  </w:r>
                </w:p>
                <w:p w:rsidR="00EB0FA3" w:rsidRPr="00EB0FA3" w:rsidRDefault="00EB0FA3" w:rsidP="00EB0FA3">
                  <w:pPr>
                    <w:rPr>
                      <w:rFonts w:asciiTheme="majorHAnsi" w:hAnsiTheme="majorHAnsi"/>
                      <w:sz w:val="22"/>
                    </w:rPr>
                  </w:pPr>
                  <w:r w:rsidRPr="00EB0FA3">
                    <w:rPr>
                      <w:rFonts w:asciiTheme="majorHAnsi" w:hAnsiTheme="majorHAnsi"/>
                      <w:sz w:val="22"/>
                    </w:rPr>
                    <w:t>a) eritrocitai (RBC) – ≤ ± 0,03 x 10^12/ L;</w:t>
                  </w:r>
                </w:p>
                <w:p w:rsidR="00EB0FA3" w:rsidRPr="00EB0FA3" w:rsidRDefault="00EB0FA3" w:rsidP="00EB0FA3">
                  <w:pPr>
                    <w:rPr>
                      <w:rFonts w:asciiTheme="majorHAnsi" w:hAnsiTheme="majorHAnsi"/>
                      <w:sz w:val="22"/>
                    </w:rPr>
                  </w:pPr>
                  <w:r w:rsidRPr="00EB0FA3">
                    <w:rPr>
                      <w:rFonts w:asciiTheme="majorHAnsi" w:hAnsiTheme="majorHAnsi"/>
                      <w:sz w:val="22"/>
                    </w:rPr>
                    <w:t xml:space="preserve">b) trombocitai (PLT) – ≤ ± 10 x 10^9/ L. </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9</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Automatizuotų kūno ir smegenų skysčio analičių matavimo ribos ne siauresnės kaip:</w:t>
                  </w:r>
                </w:p>
                <w:p w:rsidR="00EB0FA3" w:rsidRPr="00EB0FA3" w:rsidRDefault="00EB0FA3" w:rsidP="00EB0FA3">
                  <w:pPr>
                    <w:rPr>
                      <w:rFonts w:asciiTheme="majorHAnsi" w:hAnsiTheme="majorHAnsi"/>
                      <w:sz w:val="22"/>
                    </w:rPr>
                  </w:pPr>
                  <w:r w:rsidRPr="00EB0FA3">
                    <w:rPr>
                      <w:rFonts w:asciiTheme="majorHAnsi" w:hAnsiTheme="majorHAnsi"/>
                      <w:sz w:val="22"/>
                    </w:rPr>
                    <w:t>a) bendras branduolėtų ląstelių skaičius 0,003–10,0 x 10^9/L;</w:t>
                  </w:r>
                </w:p>
                <w:p w:rsidR="00EB0FA3" w:rsidRPr="00EB0FA3" w:rsidRDefault="00EB0FA3" w:rsidP="00EB0FA3">
                  <w:pPr>
                    <w:rPr>
                      <w:rFonts w:asciiTheme="majorHAnsi" w:hAnsiTheme="majorHAnsi"/>
                      <w:sz w:val="22"/>
                    </w:rPr>
                  </w:pPr>
                  <w:r w:rsidRPr="00EB0FA3">
                    <w:rPr>
                      <w:rFonts w:asciiTheme="majorHAnsi" w:hAnsiTheme="majorHAnsi"/>
                      <w:sz w:val="22"/>
                    </w:rPr>
                    <w:t>b) monoklearinės ląstelės (MN) 0,003–10,0 x 10^9/L;</w:t>
                  </w:r>
                  <w:r w:rsidRPr="00EB0FA3">
                    <w:rPr>
                      <w:rFonts w:asciiTheme="majorHAnsi" w:hAnsiTheme="majorHAnsi"/>
                      <w:sz w:val="22"/>
                    </w:rPr>
                    <w:br/>
                    <w:t>c) polimorfonuklearinės ląstelės (PMN) 0,003–10,0 x 10^9/L.</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10</w:t>
                  </w:r>
                </w:p>
              </w:tc>
              <w:tc>
                <w:tcPr>
                  <w:tcW w:w="2181" w:type="pct"/>
                  <w:shd w:val="clear" w:color="auto" w:fill="auto"/>
                </w:tcPr>
                <w:p w:rsidR="00EB0FA3" w:rsidRPr="00EB0FA3" w:rsidRDefault="00EB0FA3" w:rsidP="00EB0FA3">
                  <w:pPr>
                    <w:rPr>
                      <w:rFonts w:asciiTheme="majorHAnsi" w:hAnsiTheme="majorHAnsi"/>
                      <w:sz w:val="22"/>
                    </w:rPr>
                  </w:pPr>
                  <w:r w:rsidRPr="00EB0FA3">
                    <w:rPr>
                      <w:rFonts w:asciiTheme="majorHAnsi" w:hAnsiTheme="majorHAnsi"/>
                      <w:sz w:val="22"/>
                    </w:rPr>
                    <w:t xml:space="preserve">Galimybė išmatuoti analites, leidžiančias diferencijuoti ląsteles kūno skysčių ėminiuose: </w:t>
                  </w:r>
                </w:p>
                <w:p w:rsidR="00EB0FA3" w:rsidRPr="00EB0FA3" w:rsidRDefault="00EB0FA3" w:rsidP="00EB0FA3">
                  <w:pPr>
                    <w:rPr>
                      <w:rFonts w:asciiTheme="majorHAnsi" w:hAnsiTheme="majorHAnsi"/>
                      <w:sz w:val="22"/>
                    </w:rPr>
                  </w:pPr>
                  <w:r w:rsidRPr="00EB0FA3">
                    <w:rPr>
                      <w:rFonts w:asciiTheme="majorHAnsi" w:hAnsiTheme="majorHAnsi"/>
                      <w:sz w:val="22"/>
                    </w:rPr>
                    <w:t xml:space="preserve">a) ryškios fluorescencijos ląstelės (#, %); </w:t>
                  </w:r>
                </w:p>
                <w:p w:rsidR="00EB0FA3" w:rsidRPr="00EB0FA3" w:rsidRDefault="00EB0FA3" w:rsidP="00EB0FA3">
                  <w:pPr>
                    <w:rPr>
                      <w:rFonts w:asciiTheme="majorHAnsi" w:hAnsiTheme="majorHAnsi"/>
                      <w:sz w:val="22"/>
                    </w:rPr>
                  </w:pPr>
                  <w:r w:rsidRPr="00EB0FA3">
                    <w:rPr>
                      <w:rFonts w:asciiTheme="majorHAnsi" w:hAnsiTheme="majorHAnsi"/>
                      <w:sz w:val="22"/>
                    </w:rPr>
                    <w:t xml:space="preserve">b) limfocitai (#, %); </w:t>
                  </w:r>
                </w:p>
                <w:p w:rsidR="00EB0FA3" w:rsidRPr="00EB0FA3" w:rsidRDefault="00EB0FA3" w:rsidP="00EB0FA3">
                  <w:pPr>
                    <w:rPr>
                      <w:rFonts w:asciiTheme="majorHAnsi" w:hAnsiTheme="majorHAnsi"/>
                      <w:sz w:val="22"/>
                    </w:rPr>
                  </w:pPr>
                  <w:r w:rsidRPr="00EB0FA3">
                    <w:rPr>
                      <w:rFonts w:asciiTheme="majorHAnsi" w:hAnsiTheme="majorHAnsi"/>
                      <w:sz w:val="22"/>
                    </w:rPr>
                    <w:t xml:space="preserve">c) monocitai (#, %); </w:t>
                  </w:r>
                </w:p>
                <w:p w:rsidR="00EB0FA3" w:rsidRPr="00EB0FA3" w:rsidRDefault="00EB0FA3" w:rsidP="00EB0FA3">
                  <w:pPr>
                    <w:rPr>
                      <w:rFonts w:asciiTheme="majorHAnsi" w:hAnsiTheme="majorHAnsi"/>
                      <w:sz w:val="22"/>
                    </w:rPr>
                  </w:pPr>
                  <w:r w:rsidRPr="00EB0FA3">
                    <w:rPr>
                      <w:rFonts w:asciiTheme="majorHAnsi" w:hAnsiTheme="majorHAnsi"/>
                      <w:sz w:val="22"/>
                    </w:rPr>
                    <w:t xml:space="preserve">d) neutrofilai (#, %); </w:t>
                  </w:r>
                </w:p>
                <w:p w:rsidR="00EB0FA3" w:rsidRPr="00EB0FA3" w:rsidRDefault="00EB0FA3" w:rsidP="00EB0FA3">
                  <w:pPr>
                    <w:rPr>
                      <w:rFonts w:asciiTheme="majorHAnsi" w:hAnsiTheme="majorHAnsi"/>
                      <w:sz w:val="22"/>
                    </w:rPr>
                  </w:pPr>
                  <w:r w:rsidRPr="00EB0FA3">
                    <w:rPr>
                      <w:rFonts w:asciiTheme="majorHAnsi" w:hAnsiTheme="majorHAnsi"/>
                      <w:sz w:val="22"/>
                    </w:rPr>
                    <w:t>e) eozinofilai (#, %).</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lastRenderedPageBreak/>
                    <w:t>11</w:t>
                  </w:r>
                </w:p>
              </w:tc>
              <w:tc>
                <w:tcPr>
                  <w:tcW w:w="2181" w:type="pct"/>
                  <w:shd w:val="clear" w:color="auto" w:fill="auto"/>
                </w:tcPr>
                <w:p w:rsidR="00EB0FA3" w:rsidRPr="00EB0FA3" w:rsidRDefault="00EB0FA3" w:rsidP="00EB0FA3">
                  <w:pPr>
                    <w:rPr>
                      <w:rFonts w:asciiTheme="majorHAnsi" w:hAnsiTheme="majorHAnsi"/>
                      <w:color w:val="000000"/>
                      <w:sz w:val="22"/>
                    </w:rPr>
                  </w:pPr>
                  <w:r w:rsidRPr="00EB0FA3">
                    <w:rPr>
                      <w:rFonts w:asciiTheme="majorHAnsi" w:hAnsiTheme="majorHAnsi"/>
                      <w:color w:val="000000"/>
                      <w:sz w:val="22"/>
                    </w:rPr>
                    <w:t>Tarpinė programinė įranga turi funkcionalumą, leidžiantį įvertinti ir nustatyti galimas mėginių klaidas preanaliziniame etape (pvz.</w:t>
                  </w:r>
                  <w:r w:rsidRPr="00EB0FA3">
                    <w:rPr>
                      <w:rFonts w:asciiTheme="majorHAnsi" w:hAnsiTheme="majorHAnsi"/>
                      <w:color w:val="FF0000"/>
                      <w:sz w:val="22"/>
                    </w:rPr>
                    <w:t>,</w:t>
                  </w:r>
                  <w:r w:rsidRPr="00EB0FA3">
                    <w:rPr>
                      <w:rFonts w:asciiTheme="majorHAnsi" w:hAnsiTheme="majorHAnsi"/>
                      <w:color w:val="000000"/>
                      <w:sz w:val="22"/>
                    </w:rPr>
                    <w:t xml:space="preserve"> įtariamas kraujo krešulys mėginyje, įtariami šalčio agliutininai).</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12</w:t>
                  </w:r>
                </w:p>
              </w:tc>
              <w:tc>
                <w:tcPr>
                  <w:tcW w:w="2181" w:type="pct"/>
                  <w:shd w:val="clear" w:color="auto" w:fill="auto"/>
                </w:tcPr>
                <w:p w:rsidR="00EB0FA3" w:rsidRPr="00EB0FA3" w:rsidRDefault="00EB0FA3" w:rsidP="00EB0FA3">
                  <w:pPr>
                    <w:rPr>
                      <w:rFonts w:asciiTheme="majorHAnsi" w:hAnsiTheme="majorHAnsi"/>
                      <w:sz w:val="22"/>
                    </w:rPr>
                  </w:pPr>
                  <w:r w:rsidRPr="00EB0FA3">
                    <w:rPr>
                      <w:rFonts w:asciiTheme="majorHAnsi" w:hAnsiTheme="majorHAnsi"/>
                      <w:sz w:val="22"/>
                    </w:rPr>
                    <w:t>Esant šalčio agliutininų mėginyje įtarimui, eritrocitų matavimas vyksta automatiškai, tiesiogiai automatinio hematologinio analizatoriaus reguliuojamoje matavimo kameroje, +41ºC temperatūroje.</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rPr>
                  </w:pPr>
                  <w:r w:rsidRPr="008D1C53">
                    <w:rPr>
                      <w:rFonts w:asciiTheme="majorHAnsi" w:hAnsiTheme="majorHAnsi"/>
                      <w:color w:val="000000"/>
                      <w:sz w:val="22"/>
                      <w:szCs w:val="22"/>
                      <w:lang w:val="en-US"/>
                    </w:rPr>
                    <w:t>13</w:t>
                  </w:r>
                </w:p>
              </w:tc>
              <w:tc>
                <w:tcPr>
                  <w:tcW w:w="2181" w:type="pct"/>
                  <w:shd w:val="clear" w:color="auto" w:fill="auto"/>
                </w:tcPr>
                <w:p w:rsidR="00EB0FA3" w:rsidRPr="00EB0FA3" w:rsidRDefault="00EB0FA3" w:rsidP="00EB0FA3">
                  <w:pPr>
                    <w:rPr>
                      <w:rFonts w:asciiTheme="majorHAnsi" w:hAnsiTheme="majorHAnsi"/>
                      <w:color w:val="000000"/>
                      <w:sz w:val="22"/>
                    </w:rPr>
                  </w:pPr>
                  <w:r w:rsidRPr="00EB0FA3">
                    <w:rPr>
                      <w:rFonts w:asciiTheme="majorHAnsi" w:hAnsiTheme="majorHAnsi"/>
                      <w:color w:val="000000"/>
                      <w:sz w:val="22"/>
                    </w:rPr>
                    <w:t>Tarpinė programinė įranga turi funkcionalumą, leidžiantį optimizuoti tepinėlių atlikimo valdymą (sumažinti nereikalingų tepinėlių atlikimo skaičių) esant monocitozei.</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14</w:t>
                  </w:r>
                </w:p>
              </w:tc>
              <w:tc>
                <w:tcPr>
                  <w:tcW w:w="2181" w:type="pct"/>
                  <w:shd w:val="clear" w:color="auto" w:fill="auto"/>
                </w:tcPr>
                <w:p w:rsidR="00EB0FA3" w:rsidRPr="00EB0FA3" w:rsidRDefault="00EB0FA3" w:rsidP="00EB0FA3">
                  <w:pPr>
                    <w:rPr>
                      <w:rFonts w:asciiTheme="majorHAnsi" w:hAnsiTheme="majorHAnsi"/>
                      <w:color w:val="000000"/>
                      <w:sz w:val="22"/>
                    </w:rPr>
                  </w:pPr>
                  <w:r w:rsidRPr="00EB0FA3">
                    <w:rPr>
                      <w:rFonts w:asciiTheme="majorHAnsi" w:hAnsiTheme="majorHAnsi"/>
                      <w:color w:val="000000"/>
                      <w:sz w:val="22"/>
                    </w:rPr>
                    <w:t>Visos hematologiniams tyrimams naudojamos kasdienės įrangos priežiūros/valymo priemonės paruoštos naudoti, tai yra jų nereikia perpilti ar skiesti rankiniu būdu, galima talpinti tiesiai į analizatorių ir atlikti reikalingas procedūras.</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15</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Biomedicininė validacija - kai dėl matuojamų analičių pokyčių bendrajame hematologiniame tyrime su ≥ 5-ių dalių leukograma būtina atlikti kraujo tepinėlio skaitmeninį citomorfologinį tyrimą, tyrimas atliekamas automatiškai, pagal oficialias, gamintojo rekomenduojamas (tokias kaip GFHC (angl. </w:t>
                  </w:r>
                  <w:r w:rsidRPr="00EB0FA3">
                    <w:rPr>
                      <w:rFonts w:asciiTheme="majorHAnsi" w:hAnsiTheme="majorHAnsi"/>
                      <w:i/>
                      <w:iCs/>
                      <w:sz w:val="22"/>
                    </w:rPr>
                    <w:t>Francophone Group of Cellular Haematology</w:t>
                  </w:r>
                  <w:r w:rsidRPr="00EB0FA3">
                    <w:rPr>
                      <w:rFonts w:asciiTheme="majorHAnsi" w:hAnsiTheme="majorHAnsi"/>
                      <w:sz w:val="22"/>
                    </w:rPr>
                    <w:t>) arba lygiavertes), adaptuotas siūlomiems hematologiniams analizatoriams, lengvai koreguojamas pagal perkančiosios organizacijos poreikį taisykles.</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16</w:t>
                  </w:r>
                </w:p>
              </w:tc>
              <w:tc>
                <w:tcPr>
                  <w:tcW w:w="2181" w:type="pct"/>
                  <w:shd w:val="clear" w:color="auto" w:fill="auto"/>
                </w:tcPr>
                <w:p w:rsidR="00EB0FA3" w:rsidRPr="00EB0FA3" w:rsidRDefault="00EB0FA3" w:rsidP="00EB0FA3">
                  <w:pPr>
                    <w:rPr>
                      <w:rFonts w:asciiTheme="majorHAnsi" w:hAnsiTheme="majorHAnsi"/>
                      <w:sz w:val="22"/>
                    </w:rPr>
                  </w:pPr>
                  <w:r w:rsidRPr="00EB0FA3">
                    <w:rPr>
                      <w:rFonts w:asciiTheme="majorHAnsi" w:hAnsiTheme="majorHAnsi"/>
                      <w:sz w:val="22"/>
                    </w:rPr>
                    <w:t>Įsiurbiamas ėminio kiekis, reikalingas tepinėliui atlikti iš standartinio mėgintuvėlio ne didesnis kaip 70 μl, o tepinėlio atlikimui iš mikromėgintuvėlio ne didesnis kaip 38 μl (vieno objektinio stiklelio paruošimas).</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17</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Tepinėlių ruošimo ir dažymo našumas – ne mažiau kaip 75 tepinėliai per valandą.</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18</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Skaitmeninė kraujo morfologijos vertinimo sistema turi galeriją/biblioteką su etaloninių ląstelių pasirinkimu ir galimybę įtraukti etalonines ląsteles į galeriją/biblioteką.</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color w:val="000000"/>
                      <w:sz w:val="22"/>
                      <w:szCs w:val="22"/>
                      <w:lang w:val="en-US"/>
                    </w:rPr>
                  </w:pPr>
                  <w:r w:rsidRPr="008D1C53">
                    <w:rPr>
                      <w:rFonts w:asciiTheme="majorHAnsi" w:hAnsiTheme="majorHAnsi"/>
                      <w:color w:val="000000"/>
                      <w:sz w:val="22"/>
                      <w:szCs w:val="22"/>
                      <w:lang w:val="en-US"/>
                    </w:rPr>
                    <w:t>19</w:t>
                  </w:r>
                </w:p>
              </w:tc>
              <w:tc>
                <w:tcPr>
                  <w:tcW w:w="2181" w:type="pct"/>
                </w:tcPr>
                <w:p w:rsidR="00EB0FA3" w:rsidRPr="00EB0FA3" w:rsidRDefault="00EB0FA3" w:rsidP="00EB0FA3">
                  <w:pPr>
                    <w:rPr>
                      <w:rFonts w:asciiTheme="majorHAnsi" w:hAnsiTheme="majorHAnsi"/>
                      <w:color w:val="000000"/>
                      <w:sz w:val="22"/>
                    </w:rPr>
                  </w:pPr>
                  <w:r w:rsidRPr="00EB0FA3">
                    <w:rPr>
                      <w:rFonts w:asciiTheme="majorHAnsi" w:hAnsiTheme="majorHAnsi"/>
                      <w:color w:val="000000"/>
                      <w:sz w:val="22"/>
                    </w:rPr>
                    <w:t>Galimybė skaitmeninėje kraujo morfologijos vertinimo sistemoje įvesti ne mažiau kaip 25 papildomas kraujo ir audinių skysčių ląstelių klasifikavimo kategorijas.</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sz w:val="22"/>
                      <w:szCs w:val="22"/>
                    </w:rPr>
                  </w:pPr>
                  <w:r w:rsidRPr="008D1C53">
                    <w:rPr>
                      <w:rFonts w:asciiTheme="majorHAnsi" w:hAnsiTheme="majorHAnsi"/>
                      <w:color w:val="000000"/>
                      <w:sz w:val="22"/>
                      <w:szCs w:val="22"/>
                      <w:lang w:val="en-US"/>
                    </w:rPr>
                    <w:lastRenderedPageBreak/>
                    <w:t>20</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Automatinis eritrocitų nusėdimo greičio (ENG) matavimas atliekamas </w:t>
                  </w:r>
                  <w:r w:rsidRPr="00EB0FA3">
                    <w:rPr>
                      <w:rFonts w:asciiTheme="majorHAnsi" w:hAnsiTheme="majorHAnsi"/>
                      <w:i/>
                      <w:iCs/>
                      <w:sz w:val="22"/>
                    </w:rPr>
                    <w:t>Westergren</w:t>
                  </w:r>
                  <w:r w:rsidRPr="00EB0FA3">
                    <w:rPr>
                      <w:rFonts w:asciiTheme="majorHAnsi" w:hAnsiTheme="majorHAnsi"/>
                      <w:iCs/>
                      <w:sz w:val="22"/>
                    </w:rPr>
                    <w:t xml:space="preserve"> </w:t>
                  </w:r>
                  <w:r w:rsidRPr="00EB0FA3">
                    <w:rPr>
                      <w:rFonts w:asciiTheme="majorHAnsi" w:hAnsiTheme="majorHAnsi"/>
                      <w:sz w:val="22"/>
                    </w:rPr>
                    <w:t>metodu</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sz w:val="22"/>
                      <w:szCs w:val="22"/>
                    </w:rPr>
                  </w:pPr>
                  <w:r w:rsidRPr="008D1C53">
                    <w:rPr>
                      <w:rFonts w:asciiTheme="majorHAnsi" w:hAnsiTheme="majorHAnsi"/>
                      <w:color w:val="000000"/>
                      <w:sz w:val="22"/>
                      <w:szCs w:val="22"/>
                      <w:lang w:val="en-US"/>
                    </w:rPr>
                    <w:t>21</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 xml:space="preserve">Galimybė atlikti ENG tyrimą iš mikromėgintuvėlio rankiniu būdu. </w:t>
                  </w:r>
                </w:p>
              </w:tc>
              <w:tc>
                <w:tcPr>
                  <w:tcW w:w="902" w:type="pct"/>
                  <w:shd w:val="clear" w:color="auto" w:fill="auto"/>
                  <w:vAlign w:val="center"/>
                </w:tcPr>
                <w:p w:rsidR="00EB0FA3" w:rsidRPr="008D1C53" w:rsidRDefault="00EB0FA3" w:rsidP="00EB0FA3">
                  <w:pPr>
                    <w:jc w:val="center"/>
                    <w:rPr>
                      <w:rFonts w:asciiTheme="majorHAnsi" w:hAnsiTheme="majorHAnsi"/>
                      <w:sz w:val="22"/>
                      <w:szCs w:val="22"/>
                      <w:lang w:val="en-US"/>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r w:rsidR="00EB0FA3" w:rsidRPr="008D1C53" w:rsidTr="0002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EB0FA3" w:rsidRPr="008D1C53" w:rsidRDefault="00EB0FA3" w:rsidP="00EB0FA3">
                  <w:pPr>
                    <w:jc w:val="center"/>
                    <w:rPr>
                      <w:rFonts w:asciiTheme="majorHAnsi" w:hAnsiTheme="majorHAnsi"/>
                      <w:sz w:val="22"/>
                      <w:szCs w:val="22"/>
                    </w:rPr>
                  </w:pPr>
                  <w:r w:rsidRPr="008D1C53">
                    <w:rPr>
                      <w:rFonts w:asciiTheme="majorHAnsi" w:hAnsiTheme="majorHAnsi"/>
                      <w:color w:val="000000"/>
                      <w:sz w:val="22"/>
                      <w:szCs w:val="22"/>
                      <w:lang w:val="en-US"/>
                    </w:rPr>
                    <w:t>22</w:t>
                  </w:r>
                </w:p>
              </w:tc>
              <w:tc>
                <w:tcPr>
                  <w:tcW w:w="2181" w:type="pct"/>
                </w:tcPr>
                <w:p w:rsidR="00EB0FA3" w:rsidRPr="00EB0FA3" w:rsidRDefault="00EB0FA3" w:rsidP="00EB0FA3">
                  <w:pPr>
                    <w:rPr>
                      <w:rFonts w:asciiTheme="majorHAnsi" w:hAnsiTheme="majorHAnsi"/>
                      <w:sz w:val="22"/>
                    </w:rPr>
                  </w:pPr>
                  <w:r w:rsidRPr="00EB0FA3">
                    <w:rPr>
                      <w:rFonts w:asciiTheme="majorHAnsi" w:hAnsiTheme="majorHAnsi"/>
                      <w:sz w:val="22"/>
                    </w:rPr>
                    <w:t>Sistemos programa suteikia galimybę kiekvienoje nuotolinėje tepinėlių mikroskopavimo ir vertinimo vietoje monitoriaus ekrane tuo pačiu metu matyti bendrojo hematologinio tyrimo ir tuo metu vertinamo skaitmeninio citomorfologinio kraujo tepinėlio vaizdus.</w:t>
                  </w:r>
                </w:p>
              </w:tc>
              <w:tc>
                <w:tcPr>
                  <w:tcW w:w="902" w:type="pct"/>
                  <w:shd w:val="clear" w:color="auto" w:fill="auto"/>
                  <w:vAlign w:val="center"/>
                </w:tcPr>
                <w:p w:rsidR="00EB0FA3" w:rsidRPr="008D1C53" w:rsidRDefault="00EB0FA3" w:rsidP="00EB0FA3">
                  <w:pPr>
                    <w:jc w:val="center"/>
                    <w:rPr>
                      <w:rFonts w:asciiTheme="majorHAnsi" w:hAnsiTheme="majorHAnsi"/>
                      <w:sz w:val="22"/>
                      <w:szCs w:val="22"/>
                    </w:rPr>
                  </w:pPr>
                </w:p>
              </w:tc>
              <w:tc>
                <w:tcPr>
                  <w:tcW w:w="826" w:type="pct"/>
                  <w:shd w:val="clear" w:color="auto" w:fill="auto"/>
                  <w:vAlign w:val="center"/>
                </w:tcPr>
                <w:p w:rsidR="00EB0FA3" w:rsidRPr="008D1C53" w:rsidRDefault="00EB0FA3" w:rsidP="00EB0FA3">
                  <w:pPr>
                    <w:jc w:val="center"/>
                    <w:rPr>
                      <w:rFonts w:asciiTheme="majorHAnsi" w:hAnsiTheme="majorHAnsi"/>
                    </w:rPr>
                  </w:pPr>
                </w:p>
              </w:tc>
              <w:tc>
                <w:tcPr>
                  <w:tcW w:w="770" w:type="pct"/>
                  <w:shd w:val="clear" w:color="auto" w:fill="auto"/>
                  <w:vAlign w:val="center"/>
                </w:tcPr>
                <w:p w:rsidR="00EB0FA3" w:rsidRPr="008D1C53" w:rsidRDefault="00EB0FA3" w:rsidP="00EB0FA3">
                  <w:pPr>
                    <w:jc w:val="center"/>
                    <w:rPr>
                      <w:rFonts w:asciiTheme="majorHAnsi" w:hAnsiTheme="majorHAnsi"/>
                    </w:rPr>
                  </w:pPr>
                </w:p>
              </w:tc>
            </w:tr>
          </w:tbl>
          <w:p w:rsidR="00D966A7" w:rsidRPr="008D1C53" w:rsidRDefault="00D966A7" w:rsidP="00A0213A">
            <w:pPr>
              <w:ind w:right="-18" w:firstLine="720"/>
              <w:jc w:val="right"/>
              <w:rPr>
                <w:rFonts w:asciiTheme="majorHAnsi" w:hAnsiTheme="majorHAnsi"/>
                <w:sz w:val="22"/>
                <w:szCs w:val="22"/>
              </w:rPr>
            </w:pPr>
          </w:p>
          <w:p w:rsidR="00667183" w:rsidRPr="00316C29" w:rsidRDefault="00667183" w:rsidP="00667183">
            <w:pPr>
              <w:ind w:right="318" w:firstLine="720"/>
              <w:jc w:val="right"/>
              <w:rPr>
                <w:rFonts w:asciiTheme="majorHAnsi" w:hAnsiTheme="majorHAnsi"/>
                <w:sz w:val="22"/>
                <w:szCs w:val="22"/>
              </w:rPr>
            </w:pPr>
            <w:r>
              <w:rPr>
                <w:rFonts w:asciiTheme="majorHAnsi" w:hAnsiTheme="majorHAnsi"/>
                <w:sz w:val="22"/>
                <w:szCs w:val="22"/>
              </w:rPr>
              <w:t>6</w:t>
            </w:r>
            <w:r w:rsidRPr="00316C29">
              <w:rPr>
                <w:rFonts w:asciiTheme="majorHAnsi" w:hAnsiTheme="majorHAnsi"/>
                <w:sz w:val="22"/>
                <w:szCs w:val="22"/>
              </w:rPr>
              <w:t xml:space="preserve"> lentelė</w:t>
            </w:r>
          </w:p>
          <w:p w:rsidR="00667183" w:rsidRPr="00316C29" w:rsidRDefault="00667183" w:rsidP="00667183">
            <w:pPr>
              <w:ind w:right="-108" w:firstLine="720"/>
              <w:jc w:val="center"/>
              <w:rPr>
                <w:rFonts w:asciiTheme="majorHAnsi" w:hAnsiTheme="majorHAnsi"/>
                <w:b/>
                <w:sz w:val="22"/>
                <w:szCs w:val="22"/>
              </w:rPr>
            </w:pPr>
            <w:r w:rsidRPr="00316C29">
              <w:rPr>
                <w:rFonts w:asciiTheme="majorHAnsi" w:hAnsiTheme="majorHAnsi"/>
                <w:b/>
                <w:sz w:val="22"/>
                <w:szCs w:val="22"/>
              </w:rPr>
              <w:t>SIŪLOMA ĮRANGA PANAUDOS SUTARTIES PAGRINDU</w:t>
            </w:r>
          </w:p>
          <w:p w:rsidR="00667183" w:rsidRPr="00316C29" w:rsidRDefault="00667183" w:rsidP="00667183">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667183" w:rsidRPr="00316C29" w:rsidTr="007C60AE">
              <w:trPr>
                <w:trHeight w:val="357"/>
              </w:trPr>
              <w:tc>
                <w:tcPr>
                  <w:tcW w:w="713" w:type="dxa"/>
                  <w:shd w:val="clear" w:color="auto" w:fill="auto"/>
                </w:tcPr>
                <w:p w:rsidR="00667183" w:rsidRPr="00316C29" w:rsidRDefault="00667183" w:rsidP="00667183">
                  <w:pPr>
                    <w:tabs>
                      <w:tab w:val="left" w:pos="1276"/>
                    </w:tabs>
                    <w:rPr>
                      <w:rFonts w:asciiTheme="majorHAnsi" w:hAnsiTheme="majorHAnsi"/>
                      <w:sz w:val="22"/>
                      <w:szCs w:val="22"/>
                    </w:rPr>
                  </w:pPr>
                  <w:r w:rsidRPr="00316C29">
                    <w:rPr>
                      <w:rFonts w:asciiTheme="majorHAnsi" w:hAnsiTheme="majorHAnsi"/>
                      <w:sz w:val="22"/>
                      <w:szCs w:val="22"/>
                    </w:rPr>
                    <w:t>Eil.</w:t>
                  </w:r>
                </w:p>
                <w:p w:rsidR="00667183" w:rsidRPr="00316C29" w:rsidRDefault="00667183" w:rsidP="00667183">
                  <w:pPr>
                    <w:tabs>
                      <w:tab w:val="left" w:pos="1276"/>
                    </w:tabs>
                    <w:rPr>
                      <w:rFonts w:asciiTheme="majorHAnsi" w:hAnsiTheme="majorHAnsi"/>
                      <w:sz w:val="22"/>
                      <w:szCs w:val="22"/>
                    </w:rPr>
                  </w:pPr>
                  <w:r w:rsidRPr="00316C29">
                    <w:rPr>
                      <w:rFonts w:asciiTheme="majorHAnsi" w:hAnsiTheme="majorHAnsi"/>
                      <w:sz w:val="22"/>
                      <w:szCs w:val="22"/>
                    </w:rPr>
                    <w:t>Nr.</w:t>
                  </w:r>
                </w:p>
              </w:tc>
              <w:tc>
                <w:tcPr>
                  <w:tcW w:w="3181" w:type="dxa"/>
                  <w:shd w:val="clear" w:color="auto" w:fill="auto"/>
                </w:tcPr>
                <w:p w:rsidR="00667183" w:rsidRPr="00316C29" w:rsidRDefault="00667183" w:rsidP="00667183">
                  <w:pPr>
                    <w:tabs>
                      <w:tab w:val="left" w:pos="1276"/>
                    </w:tabs>
                    <w:rPr>
                      <w:rFonts w:asciiTheme="majorHAnsi" w:hAnsiTheme="majorHAnsi"/>
                      <w:sz w:val="22"/>
                      <w:szCs w:val="22"/>
                    </w:rPr>
                  </w:pPr>
                  <w:r w:rsidRPr="00316C29">
                    <w:rPr>
                      <w:rFonts w:asciiTheme="majorHAnsi" w:hAnsiTheme="majorHAnsi"/>
                      <w:sz w:val="22"/>
                      <w:szCs w:val="22"/>
                    </w:rPr>
                    <w:t xml:space="preserve">Perduodamo turto (Panaudos) aprašas </w:t>
                  </w:r>
                </w:p>
              </w:tc>
              <w:tc>
                <w:tcPr>
                  <w:tcW w:w="2097" w:type="dxa"/>
                  <w:shd w:val="clear" w:color="auto" w:fill="auto"/>
                </w:tcPr>
                <w:p w:rsidR="00667183" w:rsidRPr="00316C29" w:rsidRDefault="00667183" w:rsidP="00667183">
                  <w:pPr>
                    <w:tabs>
                      <w:tab w:val="left" w:pos="1276"/>
                    </w:tabs>
                    <w:rPr>
                      <w:rFonts w:asciiTheme="majorHAnsi" w:hAnsiTheme="majorHAnsi"/>
                      <w:sz w:val="22"/>
                      <w:szCs w:val="22"/>
                    </w:rPr>
                  </w:pPr>
                  <w:r w:rsidRPr="00316C29">
                    <w:rPr>
                      <w:rFonts w:asciiTheme="majorHAnsi" w:hAnsiTheme="majorHAnsi"/>
                      <w:sz w:val="22"/>
                      <w:szCs w:val="22"/>
                    </w:rPr>
                    <w:t>Vieneto kaina (Eur)</w:t>
                  </w:r>
                </w:p>
              </w:tc>
              <w:tc>
                <w:tcPr>
                  <w:tcW w:w="1426" w:type="dxa"/>
                  <w:shd w:val="clear" w:color="auto" w:fill="auto"/>
                </w:tcPr>
                <w:p w:rsidR="00667183" w:rsidRPr="00316C29" w:rsidRDefault="00667183" w:rsidP="00667183">
                  <w:pPr>
                    <w:tabs>
                      <w:tab w:val="left" w:pos="1276"/>
                    </w:tabs>
                    <w:rPr>
                      <w:rFonts w:asciiTheme="majorHAnsi" w:hAnsiTheme="majorHAnsi"/>
                      <w:sz w:val="22"/>
                      <w:szCs w:val="22"/>
                    </w:rPr>
                  </w:pPr>
                  <w:r w:rsidRPr="00316C29">
                    <w:rPr>
                      <w:rFonts w:asciiTheme="majorHAnsi" w:hAnsiTheme="majorHAnsi"/>
                      <w:sz w:val="22"/>
                      <w:szCs w:val="22"/>
                    </w:rPr>
                    <w:t>Kiekis</w:t>
                  </w:r>
                </w:p>
              </w:tc>
              <w:tc>
                <w:tcPr>
                  <w:tcW w:w="2246" w:type="dxa"/>
                  <w:shd w:val="clear" w:color="auto" w:fill="auto"/>
                </w:tcPr>
                <w:p w:rsidR="00667183" w:rsidRPr="00316C29" w:rsidRDefault="00667183" w:rsidP="00667183">
                  <w:pPr>
                    <w:tabs>
                      <w:tab w:val="left" w:pos="1276"/>
                    </w:tabs>
                    <w:rPr>
                      <w:rFonts w:asciiTheme="majorHAnsi" w:hAnsiTheme="majorHAnsi"/>
                      <w:sz w:val="22"/>
                      <w:szCs w:val="22"/>
                    </w:rPr>
                  </w:pPr>
                  <w:r w:rsidRPr="00316C29">
                    <w:rPr>
                      <w:rFonts w:asciiTheme="majorHAnsi" w:hAnsiTheme="majorHAnsi"/>
                      <w:sz w:val="22"/>
                      <w:szCs w:val="22"/>
                    </w:rPr>
                    <w:t>Suma (Eur)</w:t>
                  </w:r>
                </w:p>
              </w:tc>
            </w:tr>
            <w:tr w:rsidR="00667183" w:rsidRPr="00316C29" w:rsidTr="007C60AE">
              <w:trPr>
                <w:trHeight w:val="178"/>
              </w:trPr>
              <w:tc>
                <w:tcPr>
                  <w:tcW w:w="713" w:type="dxa"/>
                  <w:shd w:val="clear" w:color="auto" w:fill="auto"/>
                </w:tcPr>
                <w:p w:rsidR="00667183" w:rsidRPr="00316C29" w:rsidRDefault="00667183" w:rsidP="00667183">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667183" w:rsidRPr="00316C29" w:rsidRDefault="00667183" w:rsidP="00667183">
                  <w:pPr>
                    <w:tabs>
                      <w:tab w:val="left" w:pos="1276"/>
                    </w:tabs>
                    <w:rPr>
                      <w:rFonts w:asciiTheme="majorHAnsi" w:hAnsiTheme="majorHAnsi"/>
                      <w:sz w:val="22"/>
                      <w:szCs w:val="22"/>
                    </w:rPr>
                  </w:pPr>
                </w:p>
              </w:tc>
              <w:tc>
                <w:tcPr>
                  <w:tcW w:w="2097" w:type="dxa"/>
                  <w:shd w:val="clear" w:color="auto" w:fill="auto"/>
                </w:tcPr>
                <w:p w:rsidR="00667183" w:rsidRPr="00316C29" w:rsidRDefault="00667183" w:rsidP="00667183">
                  <w:pPr>
                    <w:tabs>
                      <w:tab w:val="left" w:pos="1276"/>
                    </w:tabs>
                    <w:rPr>
                      <w:rFonts w:asciiTheme="majorHAnsi" w:hAnsiTheme="majorHAnsi"/>
                      <w:sz w:val="22"/>
                      <w:szCs w:val="22"/>
                    </w:rPr>
                  </w:pPr>
                </w:p>
              </w:tc>
              <w:tc>
                <w:tcPr>
                  <w:tcW w:w="1426" w:type="dxa"/>
                  <w:shd w:val="clear" w:color="auto" w:fill="auto"/>
                </w:tcPr>
                <w:p w:rsidR="00667183" w:rsidRPr="00316C29" w:rsidRDefault="00667183" w:rsidP="00667183">
                  <w:pPr>
                    <w:tabs>
                      <w:tab w:val="left" w:pos="1276"/>
                    </w:tabs>
                    <w:rPr>
                      <w:rFonts w:asciiTheme="majorHAnsi" w:hAnsiTheme="majorHAnsi"/>
                      <w:sz w:val="22"/>
                      <w:szCs w:val="22"/>
                    </w:rPr>
                  </w:pPr>
                </w:p>
              </w:tc>
              <w:tc>
                <w:tcPr>
                  <w:tcW w:w="2246" w:type="dxa"/>
                  <w:shd w:val="clear" w:color="auto" w:fill="auto"/>
                </w:tcPr>
                <w:p w:rsidR="00667183" w:rsidRPr="00316C29" w:rsidRDefault="00667183" w:rsidP="00667183">
                  <w:pPr>
                    <w:tabs>
                      <w:tab w:val="left" w:pos="1276"/>
                    </w:tabs>
                    <w:rPr>
                      <w:rFonts w:asciiTheme="majorHAnsi" w:hAnsiTheme="majorHAnsi"/>
                      <w:sz w:val="22"/>
                      <w:szCs w:val="22"/>
                    </w:rPr>
                  </w:pPr>
                </w:p>
              </w:tc>
            </w:tr>
            <w:tr w:rsidR="00667183" w:rsidRPr="00316C29" w:rsidTr="007C60AE">
              <w:trPr>
                <w:trHeight w:val="227"/>
              </w:trPr>
              <w:tc>
                <w:tcPr>
                  <w:tcW w:w="7417" w:type="dxa"/>
                  <w:gridSpan w:val="4"/>
                  <w:shd w:val="clear" w:color="auto" w:fill="auto"/>
                </w:tcPr>
                <w:p w:rsidR="00667183" w:rsidRPr="00316C29" w:rsidRDefault="00667183" w:rsidP="00667183">
                  <w:pPr>
                    <w:tabs>
                      <w:tab w:val="left" w:pos="1276"/>
                    </w:tabs>
                    <w:jc w:val="right"/>
                    <w:rPr>
                      <w:rFonts w:asciiTheme="majorHAnsi" w:hAnsiTheme="majorHAnsi"/>
                      <w:b/>
                      <w:sz w:val="22"/>
                      <w:szCs w:val="22"/>
                    </w:rPr>
                  </w:pPr>
                  <w:r w:rsidRPr="00316C29">
                    <w:rPr>
                      <w:rFonts w:asciiTheme="majorHAnsi" w:hAnsiTheme="majorHAnsi"/>
                      <w:b/>
                      <w:sz w:val="22"/>
                      <w:szCs w:val="22"/>
                    </w:rPr>
                    <w:t>Iš viso: (Eur)</w:t>
                  </w:r>
                </w:p>
              </w:tc>
              <w:tc>
                <w:tcPr>
                  <w:tcW w:w="2246" w:type="dxa"/>
                  <w:shd w:val="clear" w:color="auto" w:fill="auto"/>
                </w:tcPr>
                <w:p w:rsidR="00667183" w:rsidRPr="00316C29" w:rsidRDefault="00667183" w:rsidP="00667183">
                  <w:pPr>
                    <w:tabs>
                      <w:tab w:val="left" w:pos="1276"/>
                    </w:tabs>
                    <w:rPr>
                      <w:rFonts w:asciiTheme="majorHAnsi" w:hAnsiTheme="majorHAnsi"/>
                      <w:b/>
                      <w:sz w:val="22"/>
                      <w:szCs w:val="22"/>
                    </w:rPr>
                  </w:pPr>
                </w:p>
              </w:tc>
            </w:tr>
          </w:tbl>
          <w:p w:rsidR="00D966A7" w:rsidRPr="008D1C53" w:rsidRDefault="00D966A7" w:rsidP="00A0213A">
            <w:pPr>
              <w:ind w:right="-18" w:firstLine="720"/>
              <w:jc w:val="right"/>
              <w:rPr>
                <w:rFonts w:asciiTheme="majorHAnsi" w:hAnsiTheme="majorHAnsi"/>
                <w:sz w:val="22"/>
                <w:szCs w:val="22"/>
              </w:rPr>
            </w:pPr>
          </w:p>
          <w:p w:rsidR="00D966A7" w:rsidRPr="008D1C53" w:rsidRDefault="00667183" w:rsidP="00D966A7">
            <w:pPr>
              <w:ind w:right="-18" w:firstLine="720"/>
              <w:jc w:val="right"/>
              <w:rPr>
                <w:rFonts w:asciiTheme="majorHAnsi" w:hAnsiTheme="majorHAnsi"/>
                <w:sz w:val="22"/>
                <w:szCs w:val="22"/>
              </w:rPr>
            </w:pPr>
            <w:r>
              <w:rPr>
                <w:rFonts w:asciiTheme="majorHAnsi" w:hAnsiTheme="majorHAnsi"/>
                <w:sz w:val="22"/>
                <w:szCs w:val="22"/>
              </w:rPr>
              <w:t>7</w:t>
            </w:r>
            <w:r w:rsidR="00D966A7" w:rsidRPr="008D1C53">
              <w:rPr>
                <w:rFonts w:asciiTheme="majorHAnsi" w:hAnsiTheme="majorHAnsi"/>
                <w:sz w:val="22"/>
                <w:szCs w:val="22"/>
              </w:rPr>
              <w:t xml:space="preserve"> lentelė</w:t>
            </w:r>
          </w:p>
          <w:p w:rsidR="00FB4309" w:rsidRPr="008D1C53" w:rsidRDefault="00FB4309" w:rsidP="00A0213A">
            <w:pPr>
              <w:jc w:val="center"/>
              <w:rPr>
                <w:rFonts w:asciiTheme="majorHAnsi" w:hAnsiTheme="majorHAnsi"/>
                <w:b/>
                <w:sz w:val="22"/>
                <w:szCs w:val="22"/>
              </w:rPr>
            </w:pPr>
          </w:p>
          <w:p w:rsidR="00FB4309" w:rsidRPr="008D1C53" w:rsidRDefault="00FB4309" w:rsidP="00A0213A">
            <w:pPr>
              <w:jc w:val="center"/>
              <w:rPr>
                <w:rFonts w:asciiTheme="majorHAnsi" w:hAnsiTheme="majorHAnsi"/>
                <w:b/>
                <w:sz w:val="22"/>
                <w:szCs w:val="22"/>
              </w:rPr>
            </w:pPr>
            <w:r w:rsidRPr="008D1C53">
              <w:rPr>
                <w:rFonts w:asciiTheme="majorHAnsi" w:hAnsiTheme="majorHAnsi"/>
                <w:b/>
                <w:sz w:val="22"/>
                <w:szCs w:val="22"/>
              </w:rPr>
              <w:t>PATEIKIAMŲ DOKUMENTŲ SĄRAŠAS</w:t>
            </w:r>
          </w:p>
          <w:p w:rsidR="00FB4309" w:rsidRPr="008D1C53"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D1C53"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center"/>
                    <w:rPr>
                      <w:rFonts w:asciiTheme="majorHAnsi" w:hAnsiTheme="majorHAnsi"/>
                      <w:sz w:val="22"/>
                      <w:szCs w:val="22"/>
                    </w:rPr>
                  </w:pPr>
                  <w:r w:rsidRPr="008D1C53">
                    <w:rPr>
                      <w:rFonts w:asciiTheme="majorHAnsi" w:hAnsiTheme="majorHAnsi"/>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center"/>
                    <w:rPr>
                      <w:rFonts w:asciiTheme="majorHAnsi" w:hAnsiTheme="majorHAnsi"/>
                      <w:sz w:val="22"/>
                      <w:szCs w:val="22"/>
                    </w:rPr>
                  </w:pPr>
                  <w:r w:rsidRPr="008D1C53">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center"/>
                    <w:rPr>
                      <w:rFonts w:asciiTheme="majorHAnsi" w:hAnsiTheme="majorHAnsi"/>
                      <w:sz w:val="22"/>
                      <w:szCs w:val="22"/>
                    </w:rPr>
                  </w:pPr>
                  <w:r w:rsidRPr="008D1C53">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center"/>
                    <w:rPr>
                      <w:rFonts w:asciiTheme="majorHAnsi" w:hAnsiTheme="majorHAnsi"/>
                      <w:sz w:val="22"/>
                      <w:szCs w:val="22"/>
                    </w:rPr>
                  </w:pPr>
                  <w:r w:rsidRPr="008D1C53">
                    <w:rPr>
                      <w:rFonts w:asciiTheme="majorHAnsi" w:hAnsiTheme="majorHAnsi"/>
                      <w:sz w:val="22"/>
                      <w:szCs w:val="22"/>
                    </w:rPr>
                    <w:t>Failo, kuriame yra dokumentas, pavadinimas</w:t>
                  </w:r>
                </w:p>
              </w:tc>
            </w:tr>
            <w:tr w:rsidR="00FB4309" w:rsidRPr="008D1C53"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r w:rsidR="00FB4309" w:rsidRPr="008D1C53"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D1C53" w:rsidRDefault="00FB4309" w:rsidP="00A0213A">
                  <w:pPr>
                    <w:jc w:val="both"/>
                    <w:rPr>
                      <w:rFonts w:asciiTheme="majorHAnsi" w:hAnsiTheme="majorHAnsi"/>
                      <w:sz w:val="22"/>
                      <w:szCs w:val="22"/>
                    </w:rPr>
                  </w:pPr>
                </w:p>
              </w:tc>
            </w:tr>
          </w:tbl>
          <w:p w:rsidR="00FB4309" w:rsidRPr="008D1C53" w:rsidRDefault="00FB4309" w:rsidP="00A0213A">
            <w:pPr>
              <w:ind w:right="-108" w:firstLine="720"/>
              <w:jc w:val="both"/>
              <w:rPr>
                <w:rFonts w:asciiTheme="majorHAnsi" w:hAnsiTheme="majorHAnsi"/>
                <w:sz w:val="22"/>
                <w:szCs w:val="22"/>
              </w:rPr>
            </w:pPr>
          </w:p>
          <w:p w:rsidR="00FB4309" w:rsidRPr="008D1C53" w:rsidRDefault="00FB4309" w:rsidP="00A0213A">
            <w:pPr>
              <w:ind w:right="-108" w:firstLine="720"/>
              <w:jc w:val="both"/>
              <w:rPr>
                <w:rFonts w:asciiTheme="majorHAnsi" w:hAnsiTheme="majorHAnsi"/>
                <w:sz w:val="22"/>
                <w:szCs w:val="22"/>
              </w:rPr>
            </w:pPr>
            <w:r w:rsidRPr="008D1C53">
              <w:rPr>
                <w:rFonts w:asciiTheme="majorHAnsi" w:hAnsiTheme="majorHAnsi"/>
                <w:sz w:val="22"/>
                <w:szCs w:val="22"/>
              </w:rPr>
              <w:t>Pasiūlymas galioja iki termino, nustatyto pirkimo dokumentuose.</w:t>
            </w:r>
          </w:p>
          <w:p w:rsidR="00FB4309" w:rsidRPr="008D1C53" w:rsidRDefault="00FB4309" w:rsidP="00A0213A">
            <w:pPr>
              <w:ind w:right="-108" w:firstLine="720"/>
              <w:jc w:val="both"/>
              <w:rPr>
                <w:rFonts w:asciiTheme="majorHAnsi" w:hAnsiTheme="majorHAnsi"/>
                <w:sz w:val="22"/>
                <w:szCs w:val="22"/>
              </w:rPr>
            </w:pPr>
            <w:r w:rsidRPr="008D1C53">
              <w:rPr>
                <w:rFonts w:asciiTheme="majorHAnsi" w:hAnsiTheme="majorHAnsi"/>
                <w:sz w:val="22"/>
                <w:szCs w:val="22"/>
              </w:rPr>
              <w:t>Pasiūlymo konfidencialią informaciją sudaro (tiekėjai turi nurodyti, kokia pasiūlyme pateikta informacija yra konfidenciali):</w:t>
            </w:r>
          </w:p>
          <w:p w:rsidR="00FB4309" w:rsidRPr="008D1C53" w:rsidRDefault="00FB4309" w:rsidP="00A0213A">
            <w:pPr>
              <w:ind w:right="-108"/>
              <w:jc w:val="both"/>
              <w:rPr>
                <w:rFonts w:asciiTheme="majorHAnsi" w:hAnsiTheme="majorHAnsi"/>
                <w:sz w:val="22"/>
                <w:szCs w:val="22"/>
              </w:rPr>
            </w:pPr>
            <w:r w:rsidRPr="008D1C53">
              <w:rPr>
                <w:rFonts w:asciiTheme="majorHAnsi" w:hAnsiTheme="majorHAnsi"/>
                <w:sz w:val="22"/>
                <w:szCs w:val="22"/>
              </w:rPr>
              <w:t>_________________________________________________________________________________________________________________________________________________________________</w:t>
            </w:r>
          </w:p>
          <w:p w:rsidR="0012296D" w:rsidRPr="008D1C53" w:rsidRDefault="0012296D" w:rsidP="0012296D">
            <w:pPr>
              <w:ind w:right="-102"/>
              <w:jc w:val="both"/>
              <w:rPr>
                <w:rFonts w:asciiTheme="majorHAnsi" w:hAnsiTheme="majorHAnsi"/>
                <w:sz w:val="22"/>
                <w:szCs w:val="22"/>
              </w:rPr>
            </w:pPr>
            <w:r w:rsidRPr="008D1C53">
              <w:rPr>
                <w:rFonts w:asciiTheme="majorHAnsi" w:hAnsiTheme="majorHAnsi"/>
                <w:b/>
                <w:sz w:val="22"/>
                <w:szCs w:val="22"/>
              </w:rPr>
              <w:t>SVARBU:</w:t>
            </w:r>
            <w:r w:rsidRPr="008D1C53">
              <w:rPr>
                <w:rFonts w:asciiTheme="majorHAnsi" w:hAnsiTheme="majorHAnsi"/>
                <w:sz w:val="22"/>
                <w:szCs w:val="22"/>
              </w:rPr>
              <w:t xml:space="preserve"> Viešųjų pirkimų tarnyba yra išaiškinusi (žr. </w:t>
            </w:r>
            <w:r w:rsidR="00096912" w:rsidRPr="008D1C53">
              <w:rPr>
                <w:rFonts w:asciiTheme="majorHAnsi" w:hAnsiTheme="majorHAnsi"/>
                <w:sz w:val="22"/>
                <w:szCs w:val="22"/>
              </w:rPr>
              <w:t>https://vpt.lrv.lt/uploads/vpt/documents/files/mp/konfidenciali_informacija.pdf</w:t>
            </w:r>
            <w:r w:rsidRPr="008D1C53">
              <w:rPr>
                <w:rFonts w:asciiTheme="majorHAnsi" w:hAnsiTheme="majorHAnsi"/>
                <w:sz w:val="22"/>
                <w:szCs w:val="22"/>
              </w:rPr>
              <w:t xml:space="preserve">), kad visas tiekėjo pasiūlymas negali būti laikomas konfidencialia informacija. </w:t>
            </w:r>
            <w:r w:rsidRPr="008D1C53">
              <w:rPr>
                <w:rFonts w:asciiTheme="majorHAnsi" w:hAnsiTheme="majorHAnsi"/>
                <w:sz w:val="22"/>
                <w:szCs w:val="22"/>
                <w:u w:val="single"/>
              </w:rPr>
              <w:t>Konfidencialia informacija taip pat nelaikoma</w:t>
            </w:r>
            <w:r w:rsidRPr="008D1C53">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8D1C53">
              <w:rPr>
                <w:rFonts w:asciiTheme="majorHAnsi" w:hAnsiTheme="majorHAnsi"/>
                <w:sz w:val="22"/>
                <w:szCs w:val="22"/>
                <w:u w:val="single"/>
              </w:rPr>
              <w:t>modelis, gamintojas</w:t>
            </w:r>
            <w:r w:rsidRPr="008D1C53">
              <w:rPr>
                <w:rFonts w:asciiTheme="majorHAnsi" w:hAnsiTheme="majorHAnsi"/>
                <w:sz w:val="22"/>
                <w:szCs w:val="22"/>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w:t>
            </w:r>
            <w:r w:rsidRPr="008D1C53">
              <w:rPr>
                <w:rFonts w:asciiTheme="majorHAnsi" w:hAnsiTheme="majorHAnsi"/>
                <w:sz w:val="22"/>
                <w:szCs w:val="22"/>
              </w:rPr>
              <w:lastRenderedPageBreak/>
              <w:t>informacijos pagrįstą būtinumą informaciją laikyti konfidencialia ir jos neatskleisti tretiesiems asmenims.</w:t>
            </w:r>
          </w:p>
          <w:p w:rsidR="0012296D" w:rsidRPr="008D1C53" w:rsidRDefault="0012296D" w:rsidP="0012296D">
            <w:pPr>
              <w:ind w:right="-108" w:firstLine="720"/>
              <w:jc w:val="both"/>
              <w:rPr>
                <w:rFonts w:asciiTheme="majorHAnsi" w:hAnsiTheme="majorHAnsi"/>
                <w:sz w:val="22"/>
                <w:szCs w:val="22"/>
              </w:rPr>
            </w:pPr>
            <w:r w:rsidRPr="008D1C53">
              <w:rPr>
                <w:rFonts w:asciiTheme="majorHAnsi" w:hAnsiTheme="majorHAnsi"/>
                <w:b/>
                <w:sz w:val="22"/>
                <w:szCs w:val="22"/>
              </w:rPr>
              <w:t>PASTABA.</w:t>
            </w:r>
            <w:r w:rsidRPr="008D1C53">
              <w:rPr>
                <w:rFonts w:asciiTheme="majorHAnsi" w:hAnsiTheme="majorHAnsi"/>
                <w:sz w:val="22"/>
                <w:szCs w:val="22"/>
              </w:rPr>
              <w:t xml:space="preserve"> Tiekėjui nenurodžius, kokia informacija yra konfidenciali, laikoma, kad konfidencialios informacijos pasiūlyme nėra.</w:t>
            </w:r>
          </w:p>
          <w:p w:rsidR="009C58AE" w:rsidRPr="008D1C53" w:rsidRDefault="009C58AE" w:rsidP="0012296D">
            <w:pPr>
              <w:ind w:right="-108" w:firstLine="720"/>
              <w:jc w:val="both"/>
              <w:rPr>
                <w:rFonts w:asciiTheme="majorHAnsi" w:hAnsiTheme="majorHAnsi"/>
                <w:sz w:val="22"/>
                <w:szCs w:val="22"/>
              </w:rPr>
            </w:pPr>
          </w:p>
        </w:tc>
      </w:tr>
      <w:bookmarkEnd w:id="50"/>
    </w:tbl>
    <w:p w:rsidR="00FB4309" w:rsidRPr="008D1C53" w:rsidRDefault="00FB4309" w:rsidP="00FB4309">
      <w:pPr>
        <w:jc w:val="right"/>
        <w:rPr>
          <w:rFonts w:asciiTheme="majorHAnsi" w:hAnsiTheme="majorHAnsi"/>
          <w:sz w:val="22"/>
          <w:szCs w:val="22"/>
        </w:rPr>
      </w:pPr>
    </w:p>
    <w:p w:rsidR="00F945A3" w:rsidRPr="008D1C53"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D1C53" w:rsidTr="00310EED">
        <w:trPr>
          <w:trHeight w:val="37"/>
        </w:trPr>
        <w:tc>
          <w:tcPr>
            <w:tcW w:w="3415" w:type="dxa"/>
            <w:tcBorders>
              <w:top w:val="nil"/>
              <w:left w:val="nil"/>
              <w:bottom w:val="single" w:sz="4" w:space="0" w:color="auto"/>
              <w:right w:val="nil"/>
            </w:tcBorders>
          </w:tcPr>
          <w:p w:rsidR="00F945A3" w:rsidRPr="008D1C53" w:rsidRDefault="00F945A3" w:rsidP="00F945A3">
            <w:pPr>
              <w:rPr>
                <w:rFonts w:asciiTheme="majorHAnsi" w:hAnsiTheme="majorHAnsi"/>
                <w:sz w:val="22"/>
                <w:szCs w:val="22"/>
              </w:rPr>
            </w:pPr>
            <w:bookmarkStart w:id="51" w:name="_Hlk65680660"/>
          </w:p>
        </w:tc>
        <w:tc>
          <w:tcPr>
            <w:tcW w:w="628" w:type="dxa"/>
          </w:tcPr>
          <w:p w:rsidR="00F945A3" w:rsidRPr="008D1C53"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D1C53" w:rsidRDefault="00F945A3" w:rsidP="00F945A3">
            <w:pPr>
              <w:jc w:val="center"/>
              <w:rPr>
                <w:rFonts w:asciiTheme="majorHAnsi" w:hAnsiTheme="majorHAnsi"/>
                <w:sz w:val="22"/>
                <w:szCs w:val="22"/>
              </w:rPr>
            </w:pPr>
          </w:p>
        </w:tc>
        <w:tc>
          <w:tcPr>
            <w:tcW w:w="728" w:type="dxa"/>
          </w:tcPr>
          <w:p w:rsidR="00F945A3" w:rsidRPr="008D1C53"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D1C53" w:rsidRDefault="00F945A3" w:rsidP="00F945A3">
            <w:pPr>
              <w:jc w:val="right"/>
              <w:rPr>
                <w:rFonts w:asciiTheme="majorHAnsi" w:hAnsiTheme="majorHAnsi"/>
                <w:sz w:val="22"/>
                <w:szCs w:val="22"/>
              </w:rPr>
            </w:pPr>
          </w:p>
        </w:tc>
        <w:tc>
          <w:tcPr>
            <w:tcW w:w="820" w:type="dxa"/>
          </w:tcPr>
          <w:p w:rsidR="00F945A3" w:rsidRPr="008D1C53" w:rsidRDefault="00F945A3" w:rsidP="00F945A3">
            <w:pPr>
              <w:jc w:val="right"/>
              <w:rPr>
                <w:rFonts w:asciiTheme="majorHAnsi" w:hAnsiTheme="majorHAnsi"/>
                <w:sz w:val="22"/>
                <w:szCs w:val="22"/>
              </w:rPr>
            </w:pPr>
          </w:p>
        </w:tc>
      </w:tr>
      <w:tr w:rsidR="00F945A3" w:rsidRPr="008D1C53" w:rsidTr="00310EED">
        <w:trPr>
          <w:trHeight w:val="45"/>
        </w:trPr>
        <w:tc>
          <w:tcPr>
            <w:tcW w:w="3415" w:type="dxa"/>
            <w:tcBorders>
              <w:top w:val="single" w:sz="4" w:space="0" w:color="auto"/>
              <w:left w:val="nil"/>
              <w:bottom w:val="nil"/>
              <w:right w:val="nil"/>
            </w:tcBorders>
          </w:tcPr>
          <w:p w:rsidR="00F945A3" w:rsidRPr="008D1C53" w:rsidRDefault="00F945A3" w:rsidP="00F945A3">
            <w:pPr>
              <w:rPr>
                <w:rFonts w:asciiTheme="majorHAnsi" w:hAnsiTheme="majorHAnsi"/>
                <w:sz w:val="22"/>
                <w:szCs w:val="22"/>
              </w:rPr>
            </w:pPr>
            <w:r w:rsidRPr="008D1C53">
              <w:rPr>
                <w:rFonts w:asciiTheme="majorHAnsi" w:hAnsiTheme="majorHAnsi"/>
                <w:sz w:val="22"/>
                <w:szCs w:val="22"/>
              </w:rPr>
              <w:t>(</w:t>
            </w:r>
            <w:r w:rsidR="0012296D" w:rsidRPr="008D1C53">
              <w:rPr>
                <w:rFonts w:asciiTheme="majorHAnsi" w:hAnsiTheme="majorHAnsi"/>
                <w:sz w:val="22"/>
                <w:szCs w:val="22"/>
              </w:rPr>
              <w:t>Tiekėjo arba jo įgalioto asmens pareigų pavadinimas</w:t>
            </w:r>
            <w:r w:rsidR="0012296D" w:rsidRPr="008D1C53">
              <w:rPr>
                <w:rStyle w:val="FootnoteReference"/>
                <w:rFonts w:asciiTheme="majorHAnsi" w:hAnsiTheme="majorHAnsi"/>
                <w:sz w:val="22"/>
                <w:szCs w:val="22"/>
              </w:rPr>
              <w:footnoteReference w:id="4"/>
            </w:r>
            <w:r w:rsidRPr="008D1C53">
              <w:rPr>
                <w:rFonts w:asciiTheme="majorHAnsi" w:hAnsiTheme="majorHAnsi"/>
                <w:sz w:val="22"/>
                <w:szCs w:val="22"/>
              </w:rPr>
              <w:t>)</w:t>
            </w:r>
          </w:p>
        </w:tc>
        <w:tc>
          <w:tcPr>
            <w:tcW w:w="628" w:type="dxa"/>
          </w:tcPr>
          <w:p w:rsidR="00F945A3" w:rsidRPr="008D1C53"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D1C53" w:rsidRDefault="00F945A3" w:rsidP="00F945A3">
            <w:pPr>
              <w:rPr>
                <w:rFonts w:asciiTheme="majorHAnsi" w:hAnsiTheme="majorHAnsi"/>
                <w:sz w:val="22"/>
                <w:szCs w:val="22"/>
              </w:rPr>
            </w:pPr>
            <w:r w:rsidRPr="008D1C53">
              <w:rPr>
                <w:rFonts w:asciiTheme="majorHAnsi" w:hAnsiTheme="majorHAnsi"/>
                <w:sz w:val="22"/>
                <w:szCs w:val="22"/>
              </w:rPr>
              <w:t xml:space="preserve">(Parašas) </w:t>
            </w:r>
          </w:p>
        </w:tc>
        <w:tc>
          <w:tcPr>
            <w:tcW w:w="728" w:type="dxa"/>
          </w:tcPr>
          <w:p w:rsidR="00F945A3" w:rsidRPr="008D1C53"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D1C53" w:rsidRDefault="00F945A3" w:rsidP="00F945A3">
            <w:pPr>
              <w:rPr>
                <w:rFonts w:asciiTheme="majorHAnsi" w:hAnsiTheme="majorHAnsi"/>
                <w:sz w:val="22"/>
                <w:szCs w:val="22"/>
              </w:rPr>
            </w:pPr>
            <w:r w:rsidRPr="008D1C53">
              <w:rPr>
                <w:rFonts w:asciiTheme="majorHAnsi" w:hAnsiTheme="majorHAnsi"/>
                <w:sz w:val="22"/>
                <w:szCs w:val="22"/>
              </w:rPr>
              <w:t xml:space="preserve">(Vardas ir pavardė) </w:t>
            </w:r>
          </w:p>
          <w:p w:rsidR="00F945A3" w:rsidRPr="008D1C53" w:rsidRDefault="00F945A3" w:rsidP="00F945A3">
            <w:pPr>
              <w:rPr>
                <w:rFonts w:asciiTheme="majorHAnsi" w:hAnsiTheme="majorHAnsi"/>
                <w:sz w:val="22"/>
                <w:szCs w:val="22"/>
              </w:rPr>
            </w:pPr>
          </w:p>
          <w:p w:rsidR="00F945A3" w:rsidRPr="008D1C53" w:rsidRDefault="00F945A3" w:rsidP="00F945A3">
            <w:pPr>
              <w:rPr>
                <w:rFonts w:asciiTheme="majorHAnsi" w:hAnsiTheme="majorHAnsi"/>
                <w:sz w:val="22"/>
                <w:szCs w:val="22"/>
              </w:rPr>
            </w:pPr>
          </w:p>
        </w:tc>
        <w:tc>
          <w:tcPr>
            <w:tcW w:w="820" w:type="dxa"/>
          </w:tcPr>
          <w:p w:rsidR="00F945A3" w:rsidRPr="008D1C53" w:rsidRDefault="00F945A3" w:rsidP="00F945A3">
            <w:pPr>
              <w:rPr>
                <w:rFonts w:asciiTheme="majorHAnsi" w:hAnsiTheme="majorHAnsi"/>
                <w:sz w:val="22"/>
                <w:szCs w:val="22"/>
              </w:rPr>
            </w:pPr>
          </w:p>
        </w:tc>
      </w:tr>
      <w:bookmarkEnd w:id="51"/>
    </w:tbl>
    <w:p w:rsidR="00310EED" w:rsidRPr="008D1C53" w:rsidRDefault="00310EED" w:rsidP="00343C2B">
      <w:pPr>
        <w:rPr>
          <w:rFonts w:asciiTheme="majorHAnsi" w:hAnsiTheme="majorHAnsi"/>
          <w:b/>
          <w:bCs/>
          <w:sz w:val="22"/>
          <w:szCs w:val="22"/>
          <w:highlight w:val="yellow"/>
        </w:rPr>
      </w:pPr>
    </w:p>
    <w:p w:rsidR="000C48E3" w:rsidRPr="008D1C53" w:rsidRDefault="000C48E3" w:rsidP="00310EED">
      <w:pPr>
        <w:rPr>
          <w:rFonts w:asciiTheme="majorHAnsi" w:hAnsiTheme="majorHAnsi"/>
          <w:b/>
          <w:bCs/>
          <w:sz w:val="22"/>
          <w:szCs w:val="22"/>
        </w:rPr>
      </w:pPr>
    </w:p>
    <w:sectPr w:rsidR="000C48E3" w:rsidRPr="008D1C53" w:rsidSect="00CA3AF9">
      <w:headerReference w:type="even" r:id="rId17"/>
      <w:headerReference w:type="default" r:id="rId18"/>
      <w:footerReference w:type="even" r:id="rId19"/>
      <w:footerReference w:type="default" r:id="rId20"/>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75D" w:rsidRDefault="00D1675D" w:rsidP="00B90A76">
      <w:r>
        <w:separator/>
      </w:r>
    </w:p>
  </w:endnote>
  <w:endnote w:type="continuationSeparator" w:id="0">
    <w:p w:rsidR="00D1675D" w:rsidRDefault="00D1675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20003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0AE" w:rsidRDefault="007C60AE">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7C60AE" w:rsidRDefault="007C60AE">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75D" w:rsidRDefault="00D1675D" w:rsidP="00B90A76">
      <w:r>
        <w:separator/>
      </w:r>
    </w:p>
  </w:footnote>
  <w:footnote w:type="continuationSeparator" w:id="0">
    <w:p w:rsidR="00D1675D" w:rsidRDefault="00D1675D" w:rsidP="00B90A76">
      <w:r>
        <w:continuationSeparator/>
      </w:r>
    </w:p>
  </w:footnote>
  <w:footnote w:id="1">
    <w:p w:rsidR="007C60AE" w:rsidRPr="00BA5459" w:rsidRDefault="007C60AE" w:rsidP="006E5521">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C60AE" w:rsidRPr="00BA5459" w:rsidRDefault="007C60AE" w:rsidP="006E5521">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7C60AE" w:rsidRPr="00BA5459" w:rsidRDefault="007C60AE" w:rsidP="006E5521">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C60AE" w:rsidRDefault="007C60AE" w:rsidP="006E5521">
      <w:pPr>
        <w:pStyle w:val="FootnoteText"/>
      </w:pPr>
    </w:p>
  </w:footnote>
  <w:footnote w:id="2">
    <w:p w:rsidR="007C60AE" w:rsidRPr="00344E3D" w:rsidRDefault="007C60AE" w:rsidP="006E5521">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C60AE" w:rsidRPr="00344E3D" w:rsidRDefault="007C60AE" w:rsidP="006E5521">
      <w:pPr>
        <w:pStyle w:val="FootnoteText"/>
        <w:numPr>
          <w:ilvl w:val="0"/>
          <w:numId w:val="22"/>
        </w:numPr>
        <w:spacing w:after="0"/>
        <w:rPr>
          <w:i/>
          <w:iCs/>
          <w:sz w:val="18"/>
          <w:szCs w:val="18"/>
        </w:rPr>
      </w:pPr>
      <w:r w:rsidRPr="00344E3D">
        <w:rPr>
          <w:i/>
          <w:iCs/>
          <w:sz w:val="18"/>
          <w:szCs w:val="18"/>
        </w:rPr>
        <w:t xml:space="preserve">priesaikos deklaracija; </w:t>
      </w:r>
    </w:p>
    <w:p w:rsidR="007C60AE" w:rsidRPr="00344E3D" w:rsidRDefault="007C60AE" w:rsidP="006E5521">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C60AE" w:rsidRDefault="007C60AE" w:rsidP="006E5521">
      <w:pPr>
        <w:pStyle w:val="FootnoteText"/>
      </w:pPr>
    </w:p>
  </w:footnote>
  <w:footnote w:id="3">
    <w:p w:rsidR="007C60AE" w:rsidRPr="00D76940" w:rsidRDefault="007C60AE" w:rsidP="006E5521">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C60AE" w:rsidRPr="00D76940" w:rsidRDefault="007C60AE" w:rsidP="006E5521">
      <w:pPr>
        <w:pStyle w:val="FootnoteText"/>
        <w:numPr>
          <w:ilvl w:val="0"/>
          <w:numId w:val="23"/>
        </w:numPr>
        <w:spacing w:after="0"/>
        <w:rPr>
          <w:i/>
          <w:iCs/>
          <w:sz w:val="18"/>
          <w:szCs w:val="18"/>
        </w:rPr>
      </w:pPr>
      <w:r w:rsidRPr="00D76940">
        <w:rPr>
          <w:i/>
          <w:iCs/>
          <w:sz w:val="18"/>
          <w:szCs w:val="18"/>
        </w:rPr>
        <w:t xml:space="preserve">priesaikos deklaracija; </w:t>
      </w:r>
    </w:p>
    <w:p w:rsidR="007C60AE" w:rsidRPr="00D76940" w:rsidRDefault="007C60AE" w:rsidP="006E5521">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C60AE" w:rsidRDefault="007C60AE" w:rsidP="006E5521">
      <w:pPr>
        <w:pStyle w:val="FootnoteText"/>
      </w:pPr>
    </w:p>
  </w:footnote>
  <w:footnote w:id="4">
    <w:p w:rsidR="007C60AE" w:rsidRDefault="007C60AE"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0AE" w:rsidRDefault="007C60A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60AE" w:rsidRDefault="007C60AE">
    <w:pPr>
      <w:pStyle w:val="Header"/>
    </w:pPr>
  </w:p>
  <w:p w:rsidR="007C60AE" w:rsidRDefault="007C60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0AE" w:rsidRDefault="007C60AE">
    <w:pPr>
      <w:pStyle w:val="Header"/>
      <w:framePr w:wrap="auto" w:vAnchor="text" w:hAnchor="margin" w:xAlign="center" w:y="1"/>
      <w:rPr>
        <w:rStyle w:val="PageNumber"/>
      </w:rPr>
    </w:pPr>
  </w:p>
  <w:p w:rsidR="007C60AE" w:rsidRDefault="007C6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C02FFD"/>
    <w:multiLevelType w:val="hybridMultilevel"/>
    <w:tmpl w:val="50B4786E"/>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870AD"/>
    <w:multiLevelType w:val="multilevel"/>
    <w:tmpl w:val="9398A4D2"/>
    <w:numStyleLink w:val="I"/>
  </w:abstractNum>
  <w:abstractNum w:abstractNumId="8" w15:restartNumberingAfterBreak="0">
    <w:nsid w:val="3A5878D4"/>
    <w:multiLevelType w:val="hybridMultilevel"/>
    <w:tmpl w:val="316C607A"/>
    <w:lvl w:ilvl="0" w:tplc="CB32D9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E8707C"/>
    <w:multiLevelType w:val="multilevel"/>
    <w:tmpl w:val="9398A4D2"/>
    <w:numStyleLink w:val="I"/>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9" w15:restartNumberingAfterBreak="0">
    <w:nsid w:val="64B362AC"/>
    <w:multiLevelType w:val="multilevel"/>
    <w:tmpl w:val="8DAA5462"/>
    <w:numStyleLink w:val="Punktai"/>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3"/>
  </w:num>
  <w:num w:numId="2">
    <w:abstractNumId w:val="0"/>
  </w:num>
  <w:num w:numId="3">
    <w:abstractNumId w:val="24"/>
  </w:num>
  <w:num w:numId="4">
    <w:abstractNumId w:val="13"/>
  </w:num>
  <w:num w:numId="5">
    <w:abstractNumId w:val="6"/>
  </w:num>
  <w:num w:numId="6">
    <w:abstractNumId w:val="14"/>
  </w:num>
  <w:num w:numId="7">
    <w:abstractNumId w:val="22"/>
  </w:num>
  <w:num w:numId="8">
    <w:abstractNumId w:val="10"/>
  </w:num>
  <w:num w:numId="9">
    <w:abstractNumId w:val="2"/>
  </w:num>
  <w:num w:numId="10">
    <w:abstractNumId w:val="21"/>
  </w:num>
  <w:num w:numId="11">
    <w:abstractNumId w:val="7"/>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9"/>
  </w:num>
  <w:num w:numId="13">
    <w:abstractNumId w:val="1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9"/>
  </w:num>
  <w:num w:numId="15">
    <w:abstractNumId w:val="7"/>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7"/>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2"/>
  </w:num>
  <w:num w:numId="18">
    <w:abstractNumId w:val="11"/>
  </w:num>
  <w:num w:numId="19">
    <w:abstractNumId w:val="15"/>
  </w:num>
  <w:num w:numId="20">
    <w:abstractNumId w:val="3"/>
  </w:num>
  <w:num w:numId="21">
    <w:abstractNumId w:val="17"/>
  </w:num>
  <w:num w:numId="22">
    <w:abstractNumId w:val="20"/>
  </w:num>
  <w:num w:numId="23">
    <w:abstractNumId w:val="1"/>
  </w:num>
  <w:num w:numId="24">
    <w:abstractNumId w:val="4"/>
  </w:num>
  <w:num w:numId="25">
    <w:abstractNumId w:val="18"/>
  </w:num>
  <w:num w:numId="26">
    <w:abstractNumId w:val="5"/>
  </w:num>
  <w:num w:numId="2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179E1"/>
    <w:rsid w:val="00020A96"/>
    <w:rsid w:val="000210CE"/>
    <w:rsid w:val="00021264"/>
    <w:rsid w:val="0002426D"/>
    <w:rsid w:val="0002438F"/>
    <w:rsid w:val="00024B6C"/>
    <w:rsid w:val="00027564"/>
    <w:rsid w:val="00034076"/>
    <w:rsid w:val="00034481"/>
    <w:rsid w:val="0003756E"/>
    <w:rsid w:val="00037AB5"/>
    <w:rsid w:val="00046A4A"/>
    <w:rsid w:val="0004713B"/>
    <w:rsid w:val="0005247A"/>
    <w:rsid w:val="0005434D"/>
    <w:rsid w:val="00055937"/>
    <w:rsid w:val="000607FC"/>
    <w:rsid w:val="00061BE7"/>
    <w:rsid w:val="00061E60"/>
    <w:rsid w:val="000659AA"/>
    <w:rsid w:val="00066FF5"/>
    <w:rsid w:val="0007063A"/>
    <w:rsid w:val="0007087A"/>
    <w:rsid w:val="000763B0"/>
    <w:rsid w:val="00082760"/>
    <w:rsid w:val="00082A73"/>
    <w:rsid w:val="00085357"/>
    <w:rsid w:val="00087A03"/>
    <w:rsid w:val="000906A3"/>
    <w:rsid w:val="00096912"/>
    <w:rsid w:val="00096ADA"/>
    <w:rsid w:val="00096E35"/>
    <w:rsid w:val="000A041E"/>
    <w:rsid w:val="000A26B8"/>
    <w:rsid w:val="000A6BF9"/>
    <w:rsid w:val="000B11CA"/>
    <w:rsid w:val="000B1964"/>
    <w:rsid w:val="000B1D99"/>
    <w:rsid w:val="000B5E83"/>
    <w:rsid w:val="000B5EF0"/>
    <w:rsid w:val="000C2B39"/>
    <w:rsid w:val="000C4539"/>
    <w:rsid w:val="000C4685"/>
    <w:rsid w:val="000C48E3"/>
    <w:rsid w:val="000C5853"/>
    <w:rsid w:val="000C5D71"/>
    <w:rsid w:val="000C6430"/>
    <w:rsid w:val="000D0470"/>
    <w:rsid w:val="000D3614"/>
    <w:rsid w:val="000D6C73"/>
    <w:rsid w:val="000E0512"/>
    <w:rsid w:val="000E125F"/>
    <w:rsid w:val="000E2341"/>
    <w:rsid w:val="000E7068"/>
    <w:rsid w:val="000E7D07"/>
    <w:rsid w:val="000F2263"/>
    <w:rsid w:val="000F463C"/>
    <w:rsid w:val="0010069D"/>
    <w:rsid w:val="00100A70"/>
    <w:rsid w:val="001035E5"/>
    <w:rsid w:val="001108A3"/>
    <w:rsid w:val="001130EB"/>
    <w:rsid w:val="001132A8"/>
    <w:rsid w:val="00115CD8"/>
    <w:rsid w:val="0011680C"/>
    <w:rsid w:val="00116EDE"/>
    <w:rsid w:val="0012296D"/>
    <w:rsid w:val="001235F6"/>
    <w:rsid w:val="001362B5"/>
    <w:rsid w:val="00140225"/>
    <w:rsid w:val="00141203"/>
    <w:rsid w:val="001422BE"/>
    <w:rsid w:val="00142817"/>
    <w:rsid w:val="001557AC"/>
    <w:rsid w:val="0015600F"/>
    <w:rsid w:val="00160206"/>
    <w:rsid w:val="001608EA"/>
    <w:rsid w:val="00165D5B"/>
    <w:rsid w:val="00172386"/>
    <w:rsid w:val="001754B9"/>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630B"/>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424"/>
    <w:rsid w:val="001D35EB"/>
    <w:rsid w:val="001D58AB"/>
    <w:rsid w:val="001D6E0D"/>
    <w:rsid w:val="001E323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6C7A"/>
    <w:rsid w:val="00233316"/>
    <w:rsid w:val="00234590"/>
    <w:rsid w:val="00241B5C"/>
    <w:rsid w:val="00242FAE"/>
    <w:rsid w:val="002431E3"/>
    <w:rsid w:val="00243627"/>
    <w:rsid w:val="0024378F"/>
    <w:rsid w:val="00243FCE"/>
    <w:rsid w:val="00246911"/>
    <w:rsid w:val="00251492"/>
    <w:rsid w:val="00254188"/>
    <w:rsid w:val="00265210"/>
    <w:rsid w:val="00271991"/>
    <w:rsid w:val="002750E1"/>
    <w:rsid w:val="00277F0C"/>
    <w:rsid w:val="00282739"/>
    <w:rsid w:val="00297455"/>
    <w:rsid w:val="002977F4"/>
    <w:rsid w:val="00297AC0"/>
    <w:rsid w:val="002A13B2"/>
    <w:rsid w:val="002B4339"/>
    <w:rsid w:val="002B4CAE"/>
    <w:rsid w:val="002B7BBB"/>
    <w:rsid w:val="002C3050"/>
    <w:rsid w:val="002C3999"/>
    <w:rsid w:val="002C5A65"/>
    <w:rsid w:val="002C5AE6"/>
    <w:rsid w:val="002D5F59"/>
    <w:rsid w:val="002E2507"/>
    <w:rsid w:val="002F2A89"/>
    <w:rsid w:val="002F6B55"/>
    <w:rsid w:val="003001E3"/>
    <w:rsid w:val="00302602"/>
    <w:rsid w:val="00305B83"/>
    <w:rsid w:val="00306E3C"/>
    <w:rsid w:val="00307575"/>
    <w:rsid w:val="003107D6"/>
    <w:rsid w:val="00310EED"/>
    <w:rsid w:val="00313AE3"/>
    <w:rsid w:val="00320A8D"/>
    <w:rsid w:val="00326630"/>
    <w:rsid w:val="003419BE"/>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0F7F"/>
    <w:rsid w:val="00395961"/>
    <w:rsid w:val="003A3959"/>
    <w:rsid w:val="003A3E64"/>
    <w:rsid w:val="003A4F34"/>
    <w:rsid w:val="003A6424"/>
    <w:rsid w:val="003B11E2"/>
    <w:rsid w:val="003B248C"/>
    <w:rsid w:val="003B53CD"/>
    <w:rsid w:val="003B55A2"/>
    <w:rsid w:val="003B6AB7"/>
    <w:rsid w:val="003C251A"/>
    <w:rsid w:val="003C38A3"/>
    <w:rsid w:val="003C7D02"/>
    <w:rsid w:val="003D11B6"/>
    <w:rsid w:val="003D223A"/>
    <w:rsid w:val="003D36D0"/>
    <w:rsid w:val="003D5996"/>
    <w:rsid w:val="003D666E"/>
    <w:rsid w:val="003D7BAB"/>
    <w:rsid w:val="003E075E"/>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23241"/>
    <w:rsid w:val="00423B53"/>
    <w:rsid w:val="0042705B"/>
    <w:rsid w:val="004305D9"/>
    <w:rsid w:val="00431427"/>
    <w:rsid w:val="004316EE"/>
    <w:rsid w:val="004327DD"/>
    <w:rsid w:val="0043409D"/>
    <w:rsid w:val="00434298"/>
    <w:rsid w:val="0043597F"/>
    <w:rsid w:val="00435C18"/>
    <w:rsid w:val="00436AC6"/>
    <w:rsid w:val="0044293C"/>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B4B33"/>
    <w:rsid w:val="004B4BBE"/>
    <w:rsid w:val="004B5528"/>
    <w:rsid w:val="004C46D7"/>
    <w:rsid w:val="004C53E9"/>
    <w:rsid w:val="004C6AB6"/>
    <w:rsid w:val="004C7EB6"/>
    <w:rsid w:val="004D0987"/>
    <w:rsid w:val="004D2BB1"/>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B59"/>
    <w:rsid w:val="00511021"/>
    <w:rsid w:val="00520FA5"/>
    <w:rsid w:val="00522789"/>
    <w:rsid w:val="005241A5"/>
    <w:rsid w:val="0053428E"/>
    <w:rsid w:val="00536268"/>
    <w:rsid w:val="00536DB9"/>
    <w:rsid w:val="00542C64"/>
    <w:rsid w:val="00543B64"/>
    <w:rsid w:val="005520B7"/>
    <w:rsid w:val="0055357C"/>
    <w:rsid w:val="00557D59"/>
    <w:rsid w:val="00560CF4"/>
    <w:rsid w:val="00563BAF"/>
    <w:rsid w:val="00564E5F"/>
    <w:rsid w:val="00565388"/>
    <w:rsid w:val="005661B0"/>
    <w:rsid w:val="005675F2"/>
    <w:rsid w:val="0056774C"/>
    <w:rsid w:val="0057090F"/>
    <w:rsid w:val="005721EC"/>
    <w:rsid w:val="0057461E"/>
    <w:rsid w:val="005763BB"/>
    <w:rsid w:val="00577AD9"/>
    <w:rsid w:val="005829BC"/>
    <w:rsid w:val="005847A0"/>
    <w:rsid w:val="00585F4D"/>
    <w:rsid w:val="00586742"/>
    <w:rsid w:val="00596EC9"/>
    <w:rsid w:val="005A010F"/>
    <w:rsid w:val="005A26F7"/>
    <w:rsid w:val="005A275E"/>
    <w:rsid w:val="005A2793"/>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F3A3D"/>
    <w:rsid w:val="005F3CD8"/>
    <w:rsid w:val="005F5F62"/>
    <w:rsid w:val="00602434"/>
    <w:rsid w:val="00604E72"/>
    <w:rsid w:val="00607A2F"/>
    <w:rsid w:val="00611954"/>
    <w:rsid w:val="006122CE"/>
    <w:rsid w:val="00612404"/>
    <w:rsid w:val="0061269A"/>
    <w:rsid w:val="00614A05"/>
    <w:rsid w:val="006200D9"/>
    <w:rsid w:val="00620839"/>
    <w:rsid w:val="00621DF9"/>
    <w:rsid w:val="00624B0D"/>
    <w:rsid w:val="006261CA"/>
    <w:rsid w:val="0063056D"/>
    <w:rsid w:val="00633506"/>
    <w:rsid w:val="0063730A"/>
    <w:rsid w:val="00637DED"/>
    <w:rsid w:val="00646A25"/>
    <w:rsid w:val="00647A58"/>
    <w:rsid w:val="0065001F"/>
    <w:rsid w:val="00661443"/>
    <w:rsid w:val="00661CF0"/>
    <w:rsid w:val="006647CB"/>
    <w:rsid w:val="00665848"/>
    <w:rsid w:val="00665E01"/>
    <w:rsid w:val="00667183"/>
    <w:rsid w:val="006705CA"/>
    <w:rsid w:val="00674D2F"/>
    <w:rsid w:val="00675BE7"/>
    <w:rsid w:val="006808B4"/>
    <w:rsid w:val="006837CA"/>
    <w:rsid w:val="00683AEC"/>
    <w:rsid w:val="006843D5"/>
    <w:rsid w:val="00691966"/>
    <w:rsid w:val="0069414A"/>
    <w:rsid w:val="00694D87"/>
    <w:rsid w:val="006953C5"/>
    <w:rsid w:val="006A18B9"/>
    <w:rsid w:val="006B00D0"/>
    <w:rsid w:val="006B0D28"/>
    <w:rsid w:val="006B0D2A"/>
    <w:rsid w:val="006B2681"/>
    <w:rsid w:val="006B2983"/>
    <w:rsid w:val="006B337E"/>
    <w:rsid w:val="006B4FCB"/>
    <w:rsid w:val="006B57E9"/>
    <w:rsid w:val="006C26F9"/>
    <w:rsid w:val="006C3DB0"/>
    <w:rsid w:val="006C4778"/>
    <w:rsid w:val="006C53B4"/>
    <w:rsid w:val="006C6AE3"/>
    <w:rsid w:val="006D1862"/>
    <w:rsid w:val="006D1951"/>
    <w:rsid w:val="006D2684"/>
    <w:rsid w:val="006D28DA"/>
    <w:rsid w:val="006D3359"/>
    <w:rsid w:val="006D4C8A"/>
    <w:rsid w:val="006D73AC"/>
    <w:rsid w:val="006E05A0"/>
    <w:rsid w:val="006E3991"/>
    <w:rsid w:val="006E3FB8"/>
    <w:rsid w:val="006E5521"/>
    <w:rsid w:val="006E5994"/>
    <w:rsid w:val="006E6FDB"/>
    <w:rsid w:val="006E790E"/>
    <w:rsid w:val="006F0DF3"/>
    <w:rsid w:val="006F57EA"/>
    <w:rsid w:val="0070249B"/>
    <w:rsid w:val="00702658"/>
    <w:rsid w:val="00703C0E"/>
    <w:rsid w:val="00704463"/>
    <w:rsid w:val="00704846"/>
    <w:rsid w:val="00707496"/>
    <w:rsid w:val="0071026D"/>
    <w:rsid w:val="0071613A"/>
    <w:rsid w:val="00717EB2"/>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63"/>
    <w:rsid w:val="007B0C00"/>
    <w:rsid w:val="007B21B8"/>
    <w:rsid w:val="007B2537"/>
    <w:rsid w:val="007B4845"/>
    <w:rsid w:val="007B534C"/>
    <w:rsid w:val="007C08E6"/>
    <w:rsid w:val="007C423D"/>
    <w:rsid w:val="007C60AE"/>
    <w:rsid w:val="007C668C"/>
    <w:rsid w:val="007D0114"/>
    <w:rsid w:val="007D2517"/>
    <w:rsid w:val="007D2B5E"/>
    <w:rsid w:val="007D6DAC"/>
    <w:rsid w:val="007E2C1D"/>
    <w:rsid w:val="007E3999"/>
    <w:rsid w:val="007E4E35"/>
    <w:rsid w:val="007E5BBB"/>
    <w:rsid w:val="007E6CC4"/>
    <w:rsid w:val="007E76A9"/>
    <w:rsid w:val="007F08C6"/>
    <w:rsid w:val="00800A50"/>
    <w:rsid w:val="00801AF5"/>
    <w:rsid w:val="00802061"/>
    <w:rsid w:val="008038E3"/>
    <w:rsid w:val="008048CE"/>
    <w:rsid w:val="00805F1E"/>
    <w:rsid w:val="00807510"/>
    <w:rsid w:val="0081018C"/>
    <w:rsid w:val="0081060C"/>
    <w:rsid w:val="00810B4C"/>
    <w:rsid w:val="008111ED"/>
    <w:rsid w:val="008116AC"/>
    <w:rsid w:val="00814DCD"/>
    <w:rsid w:val="00816775"/>
    <w:rsid w:val="00823437"/>
    <w:rsid w:val="008317F0"/>
    <w:rsid w:val="00835323"/>
    <w:rsid w:val="00837719"/>
    <w:rsid w:val="00837AE4"/>
    <w:rsid w:val="00841711"/>
    <w:rsid w:val="0084235B"/>
    <w:rsid w:val="00847EAF"/>
    <w:rsid w:val="0085601B"/>
    <w:rsid w:val="00865012"/>
    <w:rsid w:val="008667AC"/>
    <w:rsid w:val="00867746"/>
    <w:rsid w:val="0087212D"/>
    <w:rsid w:val="0087485D"/>
    <w:rsid w:val="0088019D"/>
    <w:rsid w:val="008872B3"/>
    <w:rsid w:val="00887D9A"/>
    <w:rsid w:val="008A593D"/>
    <w:rsid w:val="008A7326"/>
    <w:rsid w:val="008B00F1"/>
    <w:rsid w:val="008B4F79"/>
    <w:rsid w:val="008B5F61"/>
    <w:rsid w:val="008B7422"/>
    <w:rsid w:val="008B746A"/>
    <w:rsid w:val="008B7EDA"/>
    <w:rsid w:val="008C335F"/>
    <w:rsid w:val="008C4435"/>
    <w:rsid w:val="008C76D5"/>
    <w:rsid w:val="008D1208"/>
    <w:rsid w:val="008D1C53"/>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544D"/>
    <w:rsid w:val="00950597"/>
    <w:rsid w:val="009516CC"/>
    <w:rsid w:val="00951DA4"/>
    <w:rsid w:val="009555DD"/>
    <w:rsid w:val="00955F57"/>
    <w:rsid w:val="00957F60"/>
    <w:rsid w:val="0096219A"/>
    <w:rsid w:val="0096326E"/>
    <w:rsid w:val="00971992"/>
    <w:rsid w:val="00973BBA"/>
    <w:rsid w:val="00982E1B"/>
    <w:rsid w:val="009836A2"/>
    <w:rsid w:val="00984C25"/>
    <w:rsid w:val="00984FAD"/>
    <w:rsid w:val="0099183D"/>
    <w:rsid w:val="00992AB8"/>
    <w:rsid w:val="00994A58"/>
    <w:rsid w:val="009953F7"/>
    <w:rsid w:val="00996EE3"/>
    <w:rsid w:val="009A54E5"/>
    <w:rsid w:val="009A6298"/>
    <w:rsid w:val="009A696D"/>
    <w:rsid w:val="009B27DC"/>
    <w:rsid w:val="009C190E"/>
    <w:rsid w:val="009C1D43"/>
    <w:rsid w:val="009C58AE"/>
    <w:rsid w:val="009D33E3"/>
    <w:rsid w:val="009D378A"/>
    <w:rsid w:val="009D4849"/>
    <w:rsid w:val="009E1693"/>
    <w:rsid w:val="009E3D01"/>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6220"/>
    <w:rsid w:val="00A27B2D"/>
    <w:rsid w:val="00A3526A"/>
    <w:rsid w:val="00A377BB"/>
    <w:rsid w:val="00A37BB9"/>
    <w:rsid w:val="00A4606F"/>
    <w:rsid w:val="00A47C35"/>
    <w:rsid w:val="00A51E92"/>
    <w:rsid w:val="00A51F4C"/>
    <w:rsid w:val="00A53916"/>
    <w:rsid w:val="00A53CBA"/>
    <w:rsid w:val="00A62308"/>
    <w:rsid w:val="00A65690"/>
    <w:rsid w:val="00A678EF"/>
    <w:rsid w:val="00A73E03"/>
    <w:rsid w:val="00A83D00"/>
    <w:rsid w:val="00A844CA"/>
    <w:rsid w:val="00A852A3"/>
    <w:rsid w:val="00A87818"/>
    <w:rsid w:val="00A905FE"/>
    <w:rsid w:val="00AA221A"/>
    <w:rsid w:val="00AA51F6"/>
    <w:rsid w:val="00AA7382"/>
    <w:rsid w:val="00AB4D9A"/>
    <w:rsid w:val="00AC1ACF"/>
    <w:rsid w:val="00AC26B2"/>
    <w:rsid w:val="00AD29F5"/>
    <w:rsid w:val="00AD5FCB"/>
    <w:rsid w:val="00AE051F"/>
    <w:rsid w:val="00AE1150"/>
    <w:rsid w:val="00AE178D"/>
    <w:rsid w:val="00AE5622"/>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3AA0"/>
    <w:rsid w:val="00B51626"/>
    <w:rsid w:val="00B54C18"/>
    <w:rsid w:val="00B55BE6"/>
    <w:rsid w:val="00B622FD"/>
    <w:rsid w:val="00B6250F"/>
    <w:rsid w:val="00B63421"/>
    <w:rsid w:val="00B64BBC"/>
    <w:rsid w:val="00B655E3"/>
    <w:rsid w:val="00B72679"/>
    <w:rsid w:val="00B72C2A"/>
    <w:rsid w:val="00B74005"/>
    <w:rsid w:val="00B76A6D"/>
    <w:rsid w:val="00B827F0"/>
    <w:rsid w:val="00B83B66"/>
    <w:rsid w:val="00B8647E"/>
    <w:rsid w:val="00B90A76"/>
    <w:rsid w:val="00B91730"/>
    <w:rsid w:val="00B91DA5"/>
    <w:rsid w:val="00BA0E1D"/>
    <w:rsid w:val="00BA6537"/>
    <w:rsid w:val="00BA661E"/>
    <w:rsid w:val="00BA783E"/>
    <w:rsid w:val="00BA7BA2"/>
    <w:rsid w:val="00BB33B7"/>
    <w:rsid w:val="00BC1090"/>
    <w:rsid w:val="00BC29A6"/>
    <w:rsid w:val="00BC3092"/>
    <w:rsid w:val="00BC6700"/>
    <w:rsid w:val="00BD09E1"/>
    <w:rsid w:val="00BE0CD2"/>
    <w:rsid w:val="00BE250E"/>
    <w:rsid w:val="00BE6AF3"/>
    <w:rsid w:val="00BE6CDD"/>
    <w:rsid w:val="00BF2C5E"/>
    <w:rsid w:val="00BF47E6"/>
    <w:rsid w:val="00BF4C5C"/>
    <w:rsid w:val="00BF5082"/>
    <w:rsid w:val="00BF581B"/>
    <w:rsid w:val="00BF6B51"/>
    <w:rsid w:val="00C0456A"/>
    <w:rsid w:val="00C07A74"/>
    <w:rsid w:val="00C12C0E"/>
    <w:rsid w:val="00C14824"/>
    <w:rsid w:val="00C150F1"/>
    <w:rsid w:val="00C20F35"/>
    <w:rsid w:val="00C2138E"/>
    <w:rsid w:val="00C23452"/>
    <w:rsid w:val="00C25C77"/>
    <w:rsid w:val="00C268CE"/>
    <w:rsid w:val="00C3258A"/>
    <w:rsid w:val="00C37135"/>
    <w:rsid w:val="00C40D95"/>
    <w:rsid w:val="00C40D99"/>
    <w:rsid w:val="00C41DE0"/>
    <w:rsid w:val="00C43866"/>
    <w:rsid w:val="00C4510D"/>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1985"/>
    <w:rsid w:val="00CB296A"/>
    <w:rsid w:val="00CB6324"/>
    <w:rsid w:val="00CC2188"/>
    <w:rsid w:val="00CC2B44"/>
    <w:rsid w:val="00CC404D"/>
    <w:rsid w:val="00CC73FA"/>
    <w:rsid w:val="00CC7904"/>
    <w:rsid w:val="00CD172E"/>
    <w:rsid w:val="00CD2E66"/>
    <w:rsid w:val="00CD4587"/>
    <w:rsid w:val="00CE11D3"/>
    <w:rsid w:val="00CE2254"/>
    <w:rsid w:val="00CF0196"/>
    <w:rsid w:val="00CF0A84"/>
    <w:rsid w:val="00CF26E3"/>
    <w:rsid w:val="00CF2794"/>
    <w:rsid w:val="00CF4E8D"/>
    <w:rsid w:val="00D02921"/>
    <w:rsid w:val="00D079A4"/>
    <w:rsid w:val="00D153A7"/>
    <w:rsid w:val="00D1675D"/>
    <w:rsid w:val="00D17E61"/>
    <w:rsid w:val="00D21516"/>
    <w:rsid w:val="00D245C0"/>
    <w:rsid w:val="00D2555D"/>
    <w:rsid w:val="00D264E0"/>
    <w:rsid w:val="00D265F4"/>
    <w:rsid w:val="00D30E52"/>
    <w:rsid w:val="00D31E8B"/>
    <w:rsid w:val="00D323A8"/>
    <w:rsid w:val="00D36921"/>
    <w:rsid w:val="00D50808"/>
    <w:rsid w:val="00D52483"/>
    <w:rsid w:val="00D57CE0"/>
    <w:rsid w:val="00D62372"/>
    <w:rsid w:val="00D62D66"/>
    <w:rsid w:val="00D63B47"/>
    <w:rsid w:val="00D652C4"/>
    <w:rsid w:val="00D7436A"/>
    <w:rsid w:val="00D7585C"/>
    <w:rsid w:val="00D774C5"/>
    <w:rsid w:val="00D81C71"/>
    <w:rsid w:val="00D8445C"/>
    <w:rsid w:val="00D84EC5"/>
    <w:rsid w:val="00D8741B"/>
    <w:rsid w:val="00D93FCC"/>
    <w:rsid w:val="00D966A7"/>
    <w:rsid w:val="00DA2E8D"/>
    <w:rsid w:val="00DA6786"/>
    <w:rsid w:val="00DB07A7"/>
    <w:rsid w:val="00DB09A5"/>
    <w:rsid w:val="00DB6A53"/>
    <w:rsid w:val="00DC0184"/>
    <w:rsid w:val="00DC3333"/>
    <w:rsid w:val="00DD26C5"/>
    <w:rsid w:val="00DE2B8C"/>
    <w:rsid w:val="00DF0B4A"/>
    <w:rsid w:val="00DF22CE"/>
    <w:rsid w:val="00DF2D91"/>
    <w:rsid w:val="00DF32F7"/>
    <w:rsid w:val="00E01195"/>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41E9F"/>
    <w:rsid w:val="00E43B03"/>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87D34"/>
    <w:rsid w:val="00E9316F"/>
    <w:rsid w:val="00E95A18"/>
    <w:rsid w:val="00E969A4"/>
    <w:rsid w:val="00EA22E5"/>
    <w:rsid w:val="00EA2DF4"/>
    <w:rsid w:val="00EA7FE4"/>
    <w:rsid w:val="00EB0719"/>
    <w:rsid w:val="00EB0999"/>
    <w:rsid w:val="00EB0FA3"/>
    <w:rsid w:val="00EB165C"/>
    <w:rsid w:val="00EC0E4B"/>
    <w:rsid w:val="00EC19F1"/>
    <w:rsid w:val="00EC7D65"/>
    <w:rsid w:val="00ED1B57"/>
    <w:rsid w:val="00ED2CD8"/>
    <w:rsid w:val="00ED3912"/>
    <w:rsid w:val="00EE3077"/>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5576"/>
    <w:rsid w:val="00F26547"/>
    <w:rsid w:val="00F310B3"/>
    <w:rsid w:val="00F35FF2"/>
    <w:rsid w:val="00F377E8"/>
    <w:rsid w:val="00F455C7"/>
    <w:rsid w:val="00F5331F"/>
    <w:rsid w:val="00F63C9A"/>
    <w:rsid w:val="00F63EAA"/>
    <w:rsid w:val="00F65439"/>
    <w:rsid w:val="00F664B3"/>
    <w:rsid w:val="00F73AD9"/>
    <w:rsid w:val="00F76A64"/>
    <w:rsid w:val="00F810E8"/>
    <w:rsid w:val="00F91207"/>
    <w:rsid w:val="00F9206B"/>
    <w:rsid w:val="00F9244B"/>
    <w:rsid w:val="00F92C01"/>
    <w:rsid w:val="00F93882"/>
    <w:rsid w:val="00F945A3"/>
    <w:rsid w:val="00F94E56"/>
    <w:rsid w:val="00FA40B8"/>
    <w:rsid w:val="00FA4391"/>
    <w:rsid w:val="00FA563B"/>
    <w:rsid w:val="00FA6063"/>
    <w:rsid w:val="00FA72F6"/>
    <w:rsid w:val="00FA744F"/>
    <w:rsid w:val="00FA7708"/>
    <w:rsid w:val="00FB0531"/>
    <w:rsid w:val="00FB12FF"/>
    <w:rsid w:val="00FB16C2"/>
    <w:rsid w:val="00FB2055"/>
    <w:rsid w:val="00FB4309"/>
    <w:rsid w:val="00FC060F"/>
    <w:rsid w:val="00FC1048"/>
    <w:rsid w:val="00FC1DFC"/>
    <w:rsid w:val="00FC5E74"/>
    <w:rsid w:val="00FD11C2"/>
    <w:rsid w:val="00FD4006"/>
    <w:rsid w:val="00FD630A"/>
    <w:rsid w:val="00FD70B7"/>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E4057"/>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B83B66"/>
    <w:pPr>
      <w:numPr>
        <w:ilvl w:val="1"/>
        <w:numId w:val="25"/>
      </w:numPr>
      <w:jc w:val="both"/>
    </w:pPr>
    <w:rPr>
      <w:color w:val="000000"/>
      <w:sz w:val="22"/>
      <w:szCs w:val="22"/>
      <w:lang w:val="en-US"/>
    </w:rPr>
  </w:style>
  <w:style w:type="character" w:customStyle="1" w:styleId="Skaiiai2lygisChar">
    <w:name w:val="Skaičiai_2 lygis Char"/>
    <w:basedOn w:val="DefaultParagraphFont"/>
    <w:link w:val="Skaiiai2lygis"/>
    <w:locked/>
    <w:rsid w:val="00B83B66"/>
    <w:rPr>
      <w:rFonts w:ascii="Times New Roman" w:eastAsia="Times New Roman" w:hAnsi="Times New Roman" w:cs="Times New Roman"/>
      <w:color w:val="000000"/>
      <w:lang w:val="en-US"/>
    </w:rPr>
  </w:style>
  <w:style w:type="character" w:styleId="UnresolvedMention">
    <w:name w:val="Unresolved Mention"/>
    <w:basedOn w:val="DefaultParagraphFont"/>
    <w:uiPriority w:val="99"/>
    <w:semiHidden/>
    <w:unhideWhenUsed/>
    <w:rsid w:val="00C45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ebvpd.eviesiejipirkimai.lt/espd-web/i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ika.vaitkeviciute@kaunoklinikos.lt"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F1F59-920B-437E-9FC5-8A318F14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31</Pages>
  <Words>56668</Words>
  <Characters>32301</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269</cp:revision>
  <cp:lastPrinted>2018-06-26T10:45:00Z</cp:lastPrinted>
  <dcterms:created xsi:type="dcterms:W3CDTF">2019-08-28T06:04:00Z</dcterms:created>
  <dcterms:modified xsi:type="dcterms:W3CDTF">2024-12-16T11:26:00Z</dcterms:modified>
</cp:coreProperties>
</file>