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E47287">
        <w:rPr>
          <w:rFonts w:eastAsia="Calibri"/>
          <w:sz w:val="22"/>
          <w:szCs w:val="22"/>
        </w:rPr>
        <w:t>5</w:t>
      </w:r>
      <w:r w:rsidR="00267498">
        <w:rPr>
          <w:rFonts w:eastAsia="Calibri"/>
          <w:sz w:val="22"/>
          <w:szCs w:val="22"/>
        </w:rPr>
        <w:t>-10-03</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267498" w:rsidRPr="00267498">
        <w:rPr>
          <w:sz w:val="22"/>
          <w:szCs w:val="22"/>
        </w:rPr>
        <w:t xml:space="preserve">Aortos </w:t>
      </w:r>
      <w:proofErr w:type="spellStart"/>
      <w:r w:rsidR="00267498" w:rsidRPr="00267498">
        <w:rPr>
          <w:sz w:val="22"/>
          <w:szCs w:val="22"/>
        </w:rPr>
        <w:t>stentavimo</w:t>
      </w:r>
      <w:proofErr w:type="spellEnd"/>
      <w:r w:rsidR="00267498" w:rsidRPr="00267498">
        <w:rPr>
          <w:sz w:val="22"/>
          <w:szCs w:val="22"/>
        </w:rPr>
        <w:t xml:space="preserve"> priemonės kraujagyslių chirurgijai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267498" w:rsidRPr="00267498">
        <w:rPr>
          <w:rFonts w:eastAsia="Calibri"/>
          <w:sz w:val="22"/>
          <w:szCs w:val="22"/>
        </w:rPr>
        <w:t xml:space="preserve">Aortos </w:t>
      </w:r>
      <w:proofErr w:type="spellStart"/>
      <w:r w:rsidR="00267498" w:rsidRPr="00267498">
        <w:rPr>
          <w:rFonts w:eastAsia="Calibri"/>
          <w:sz w:val="22"/>
          <w:szCs w:val="22"/>
        </w:rPr>
        <w:t>stentavimo</w:t>
      </w:r>
      <w:proofErr w:type="spellEnd"/>
      <w:r w:rsidR="00267498" w:rsidRPr="00267498">
        <w:rPr>
          <w:rFonts w:eastAsia="Calibri"/>
          <w:sz w:val="22"/>
          <w:szCs w:val="22"/>
        </w:rPr>
        <w:t xml:space="preserve"> priemonės kraujagyslių chirurgijai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9C6694">
        <w:rPr>
          <w:sz w:val="22"/>
          <w:szCs w:val="22"/>
        </w:rPr>
        <w:t>4</w:t>
      </w:r>
      <w:r w:rsidR="004C14B1">
        <w:rPr>
          <w:sz w:val="22"/>
          <w:szCs w:val="22"/>
        </w:rPr>
        <w:t xml:space="preserve"> </w:t>
      </w:r>
      <w:r w:rsidR="003B023D">
        <w:rPr>
          <w:sz w:val="22"/>
          <w:szCs w:val="22"/>
        </w:rPr>
        <w:t>lap</w:t>
      </w:r>
      <w:r w:rsidR="009C6694">
        <w:rPr>
          <w:sz w:val="22"/>
          <w:szCs w:val="22"/>
        </w:rPr>
        <w:t>ai</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C6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75E84"/>
    <w:rsid w:val="001244EF"/>
    <w:rsid w:val="001E2615"/>
    <w:rsid w:val="00267498"/>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1729</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2025-10-03T13:13:00Z</dcterms:modified>
</cp:coreProperties>
</file>