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588C104D" w:rsidR="00F372C9" w:rsidRPr="00D122C0" w:rsidRDefault="00D122C0" w:rsidP="00F372C9">
            <w:pPr>
              <w:spacing w:line="252" w:lineRule="auto"/>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roofErr w:type="spellStart"/>
            <w:r>
              <w:t>Medicininės</w:t>
            </w:r>
            <w:proofErr w:type="spellEnd"/>
            <w:r>
              <w:t xml:space="preserve"> </w:t>
            </w:r>
            <w:proofErr w:type="spellStart"/>
            <w:r>
              <w:t>organų</w:t>
            </w:r>
            <w:proofErr w:type="spellEnd"/>
            <w:r>
              <w:t xml:space="preserve"> </w:t>
            </w:r>
            <w:proofErr w:type="spellStart"/>
            <w:r>
              <w:t>atvaizdavimo</w:t>
            </w:r>
            <w:proofErr w:type="spellEnd"/>
            <w:r>
              <w:t xml:space="preserve"> (</w:t>
            </w:r>
            <w:proofErr w:type="spellStart"/>
            <w:r>
              <w:t>magnetinio</w:t>
            </w:r>
            <w:proofErr w:type="spellEnd"/>
            <w:r>
              <w:t xml:space="preserve"> </w:t>
            </w:r>
            <w:proofErr w:type="spellStart"/>
            <w:r>
              <w:t>rezonanso</w:t>
            </w:r>
            <w:proofErr w:type="spellEnd"/>
            <w:r>
              <w:t xml:space="preserve">, </w:t>
            </w:r>
            <w:proofErr w:type="spellStart"/>
            <w:r>
              <w:t>kompiuterinės</w:t>
            </w:r>
            <w:proofErr w:type="spellEnd"/>
            <w:r>
              <w:t xml:space="preserve"> </w:t>
            </w:r>
            <w:proofErr w:type="spellStart"/>
            <w:r>
              <w:t>tomogr</w:t>
            </w:r>
            <w:r>
              <w:t>afijos</w:t>
            </w:r>
            <w:proofErr w:type="spellEnd"/>
            <w:r>
              <w:t xml:space="preserve"> </w:t>
            </w:r>
            <w:proofErr w:type="spellStart"/>
            <w:r>
              <w:t>ir</w:t>
            </w:r>
            <w:proofErr w:type="spellEnd"/>
            <w:r>
              <w:t xml:space="preserve"> </w:t>
            </w:r>
            <w:proofErr w:type="spellStart"/>
            <w:r>
              <w:t>akių</w:t>
            </w:r>
            <w:proofErr w:type="spellEnd"/>
            <w:r>
              <w:t xml:space="preserve"> </w:t>
            </w:r>
            <w:proofErr w:type="spellStart"/>
            <w:r>
              <w:t>tyrimų</w:t>
            </w:r>
            <w:proofErr w:type="spellEnd"/>
            <w:r>
              <w:t xml:space="preserve">) </w:t>
            </w:r>
            <w:proofErr w:type="spellStart"/>
            <w:r>
              <w:t>paslaug</w:t>
            </w:r>
            <w:proofErr w:type="spellEnd"/>
            <w:r>
              <w:rPr>
                <w:lang w:val="lt-LT"/>
              </w:rPr>
              <w:t>ų pirkimas (PPR-857)</w:t>
            </w:r>
          </w:p>
        </w:tc>
      </w:tr>
    </w:tbl>
    <w:p w14:paraId="0C811A87" w14:textId="77777777" w:rsidR="00DC06DE" w:rsidRPr="007B004A" w:rsidRDefault="00DC06DE" w:rsidP="00DC06DE">
      <w:pPr>
        <w:spacing w:before="60" w:after="60" w:line="120" w:lineRule="auto"/>
        <w:rPr>
          <w:rFonts w:ascii="Calibri Light" w:hAnsi="Calibri Light" w:cs="Calibri Light"/>
          <w:b/>
          <w:sz w:val="20"/>
          <w:szCs w:val="20"/>
          <w:lang w:val="lt-LT"/>
        </w:rPr>
      </w:pPr>
    </w:p>
    <w:p w14:paraId="57EB7483" w14:textId="77777777" w:rsidR="00F372C9" w:rsidRPr="007B004A" w:rsidRDefault="00F372C9" w:rsidP="00DC06DE">
      <w:pPr>
        <w:spacing w:before="60" w:after="60" w:line="120" w:lineRule="auto"/>
        <w:rPr>
          <w:rFonts w:ascii="Calibri Light" w:hAnsi="Calibri Light" w:cs="Calibri Light"/>
          <w:b/>
          <w:sz w:val="20"/>
          <w:szCs w:val="20"/>
          <w:lang w:val="lt-LT"/>
        </w:rPr>
      </w:pPr>
    </w:p>
    <w:p w14:paraId="5E5A31F2" w14:textId="105A3949" w:rsidR="00D122C0" w:rsidRPr="005C4EB5" w:rsidRDefault="00D122C0" w:rsidP="00D122C0">
      <w:pPr>
        <w:pStyle w:val="prastasis"/>
        <w:numPr>
          <w:ilvl w:val="1"/>
          <w:numId w:val="42"/>
        </w:numPr>
        <w:jc w:val="both"/>
        <w:rPr>
          <w:rFonts w:ascii="Times New Roman" w:hAnsi="Times New Roman"/>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Times New Roman" w:hAnsi="Times New Roman"/>
        </w:rPr>
        <w:t>T</w:t>
      </w:r>
      <w:r>
        <w:rPr>
          <w:rFonts w:ascii="Times New Roman" w:hAnsi="Times New Roman"/>
        </w:rPr>
        <w:t>iekėjas</w:t>
      </w:r>
      <w:r w:rsidRPr="005C4EB5">
        <w:rPr>
          <w:rFonts w:ascii="Times New Roman" w:hAnsi="Times New Roman"/>
        </w:rPr>
        <w:t xml:space="preserve"> įsipareigoja paslaugas (MRT, KT ir akių tyrimus) teikti vadovaujantis Lietuvos Respublikoje galiojančiomis metodikomis ir teisės aktų nustatyta tvarka.</w:t>
      </w:r>
    </w:p>
    <w:p w14:paraId="453B0C8C" w14:textId="77777777" w:rsidR="00D122C0" w:rsidRPr="005C4EB5" w:rsidRDefault="00D122C0" w:rsidP="00D122C0">
      <w:pPr>
        <w:pStyle w:val="prastasis1"/>
        <w:numPr>
          <w:ilvl w:val="1"/>
          <w:numId w:val="41"/>
        </w:numPr>
        <w:tabs>
          <w:tab w:val="left" w:pos="-3459"/>
        </w:tabs>
        <w:spacing w:after="0" w:line="240" w:lineRule="auto"/>
        <w:jc w:val="both"/>
        <w:rPr>
          <w:rFonts w:ascii="Times New Roman" w:eastAsia="Times New Roman" w:hAnsi="Times New Roman"/>
          <w:color w:val="000000"/>
          <w:kern w:val="0"/>
          <w:lang w:eastAsia="lt-LT"/>
        </w:rPr>
      </w:pPr>
      <w:r w:rsidRPr="005C4EB5">
        <w:rPr>
          <w:rFonts w:ascii="Times New Roman" w:eastAsia="Times New Roman" w:hAnsi="Times New Roman"/>
          <w:color w:val="000000"/>
          <w:kern w:val="0"/>
          <w:lang w:eastAsia="lt-LT"/>
        </w:rPr>
        <w:t xml:space="preserve">Perkančiosios organizacijos MRT, KT ir akių tyrimų paslaugų (toliau – paslaugos) pirkimo kiekis yra preliminarus. Perkančioji organizacija paslaugas pirkimo sutarties galiojimo metu planuoja pirkti pagal atskirus užsakymus, atsižvelgdama į perkančiosios organizacijos poreikį, kuris priklauso nuo aplinkybių, neprognozuojamų pirkimo metu (perkamų paslaugų kiekis priklauso nuo pirkimo sutarties vykdymo metu iškylančio poreikio, keičiantis gydymo įstaigos poreikiams, pacientų skaičiui). </w:t>
      </w:r>
    </w:p>
    <w:p w14:paraId="055D2577" w14:textId="77777777" w:rsidR="00D122C0" w:rsidRPr="005C4EB5" w:rsidRDefault="00D122C0" w:rsidP="00D122C0">
      <w:pPr>
        <w:pStyle w:val="prastasis"/>
        <w:numPr>
          <w:ilvl w:val="1"/>
          <w:numId w:val="41"/>
        </w:numPr>
        <w:jc w:val="both"/>
      </w:pPr>
      <w:r w:rsidRPr="00D032AF">
        <w:rPr>
          <w:rStyle w:val="Numatytasispastraiposriftas"/>
          <w:rFonts w:ascii="Times New Roman" w:hAnsi="Times New Roman"/>
          <w:color w:val="000000" w:themeColor="text1"/>
        </w:rPr>
        <w:t xml:space="preserve">Paslaugos teikiamos perkančiosios organizacijos siunčiamiems visiems stacionare gydomiems pacientams ir ambulatoriniams tik vidaus tarnybos sistemos pareigūnams, kuriems atliekamas privalomasis periodinis sveikatos patikrinimas arba specializuotoji medicininė ekspertizė ir turintiems </w:t>
      </w:r>
      <w:r w:rsidRPr="005C4EB5">
        <w:rPr>
          <w:rStyle w:val="Numatytasispastraiposriftas"/>
          <w:rFonts w:ascii="Times New Roman" w:hAnsi="Times New Roman"/>
        </w:rPr>
        <w:t>užpildytą formą Nr. 027/a Medicinos dokumentų išrašą/siuntimą arba laisvos formos siuntimą.</w:t>
      </w:r>
    </w:p>
    <w:p w14:paraId="6172E819" w14:textId="77777777" w:rsidR="00D122C0" w:rsidRPr="005C4EB5" w:rsidRDefault="00D122C0" w:rsidP="00D122C0">
      <w:pPr>
        <w:pStyle w:val="prastasis"/>
        <w:numPr>
          <w:ilvl w:val="1"/>
          <w:numId w:val="41"/>
        </w:numPr>
        <w:jc w:val="both"/>
        <w:rPr>
          <w:rFonts w:ascii="Times New Roman" w:hAnsi="Times New Roman"/>
        </w:rPr>
      </w:pPr>
      <w:r w:rsidRPr="005C4EB5">
        <w:rPr>
          <w:rFonts w:ascii="Times New Roman" w:hAnsi="Times New Roman"/>
        </w:rPr>
        <w:t>Tyrimų atlikimo paslaugos suteikiamos Vilniaus miesto teritorijoje.</w:t>
      </w:r>
    </w:p>
    <w:p w14:paraId="103EE4D2" w14:textId="77777777" w:rsidR="00D122C0" w:rsidRPr="005C4EB5" w:rsidRDefault="00D122C0" w:rsidP="00D122C0">
      <w:pPr>
        <w:pStyle w:val="prastasis"/>
        <w:numPr>
          <w:ilvl w:val="1"/>
          <w:numId w:val="41"/>
        </w:numPr>
        <w:jc w:val="both"/>
        <w:rPr>
          <w:rFonts w:ascii="Times New Roman" w:hAnsi="Times New Roman"/>
        </w:rPr>
      </w:pPr>
      <w:r w:rsidRPr="005C4EB5">
        <w:rPr>
          <w:rFonts w:ascii="Times New Roman" w:hAnsi="Times New Roman"/>
        </w:rPr>
        <w:t>Perkamos tyrimų paslaugos: 1 pirkimo objekto dalis (toliau – 1 POD) - magnetinio rezonanso tomografijos tyrimai, 2 POD - kompiuterinės tomografijos ir 3 POD - akių tyrimai.</w:t>
      </w:r>
    </w:p>
    <w:p w14:paraId="57DD08AE" w14:textId="77777777" w:rsidR="00D122C0" w:rsidRPr="005C4EB5" w:rsidRDefault="00D122C0" w:rsidP="00D122C0">
      <w:pPr>
        <w:pStyle w:val="prastasis"/>
        <w:numPr>
          <w:ilvl w:val="1"/>
          <w:numId w:val="41"/>
        </w:numPr>
        <w:jc w:val="both"/>
        <w:rPr>
          <w:rFonts w:ascii="Times New Roman" w:hAnsi="Times New Roman"/>
        </w:rPr>
      </w:pPr>
      <w:r w:rsidRPr="005C4EB5">
        <w:rPr>
          <w:rFonts w:ascii="Times New Roman" w:hAnsi="Times New Roman"/>
        </w:rPr>
        <w:t xml:space="preserve">Paslaugų suteikimo terminas: 24 mėnesiai nuo Sutarties įsigaliojimo dienos. </w:t>
      </w:r>
    </w:p>
    <w:p w14:paraId="55A2E47C" w14:textId="77777777" w:rsidR="00D122C0" w:rsidRPr="005C4EB5" w:rsidRDefault="00D122C0" w:rsidP="00D122C0">
      <w:pPr>
        <w:pStyle w:val="Sraopastraipa"/>
        <w:numPr>
          <w:ilvl w:val="1"/>
          <w:numId w:val="41"/>
        </w:numPr>
        <w:jc w:val="both"/>
        <w:rPr>
          <w:rFonts w:ascii="Times New Roman" w:hAnsi="Times New Roman"/>
        </w:rPr>
      </w:pPr>
      <w:r w:rsidRPr="005C4EB5">
        <w:rPr>
          <w:rFonts w:ascii="Times New Roman" w:hAnsi="Times New Roman"/>
        </w:rPr>
        <w:t xml:space="preserve">Tiekėjas įsipareigoja priimti </w:t>
      </w:r>
      <w:r>
        <w:rPr>
          <w:rFonts w:ascii="Times New Roman" w:hAnsi="Times New Roman"/>
        </w:rPr>
        <w:t xml:space="preserve">Perkančiosios organizacijos </w:t>
      </w:r>
      <w:r w:rsidRPr="005C4EB5">
        <w:rPr>
          <w:rFonts w:ascii="Times New Roman" w:hAnsi="Times New Roman"/>
        </w:rPr>
        <w:t>siunčiamus pacientus ir atlikti reikalingus tyrimus kaip įmanoma greičiau, bet ne vėliau kaip per 2 darbo dienas nuo paciento registravimo dienos.</w:t>
      </w:r>
    </w:p>
    <w:p w14:paraId="65244AC0" w14:textId="77777777" w:rsidR="00D122C0" w:rsidRPr="005C4EB5" w:rsidRDefault="00D122C0" w:rsidP="00D122C0">
      <w:pPr>
        <w:pStyle w:val="Sraopastraipa"/>
        <w:numPr>
          <w:ilvl w:val="1"/>
          <w:numId w:val="41"/>
        </w:numPr>
        <w:jc w:val="both"/>
      </w:pPr>
      <w:r w:rsidRPr="005C4EB5">
        <w:rPr>
          <w:rStyle w:val="Numatytasispastraiposriftas"/>
          <w:rFonts w:ascii="Times New Roman" w:hAnsi="Times New Roman"/>
        </w:rPr>
        <w:t>Tiekėjas nurodo tel. (</w:t>
      </w:r>
      <w:r w:rsidRPr="005C4EB5">
        <w:rPr>
          <w:rStyle w:val="Numatytasispastraiposriftas"/>
          <w:rFonts w:ascii="Times New Roman" w:hAnsi="Times New Roman"/>
          <w:i/>
          <w:iCs/>
        </w:rPr>
        <w:t>Tiekėjas įrašo telefono numerį</w:t>
      </w:r>
      <w:r w:rsidRPr="005C4EB5">
        <w:rPr>
          <w:rStyle w:val="Numatytasispastraiposriftas"/>
          <w:rFonts w:ascii="Times New Roman" w:hAnsi="Times New Roman"/>
        </w:rPr>
        <w:t>) numerį, kuriuo užtikrinama paciento registracija tyrimų atlikimui.</w:t>
      </w:r>
    </w:p>
    <w:tbl>
      <w:tblPr>
        <w:tblW w:w="14175" w:type="dxa"/>
        <w:tblCellMar>
          <w:left w:w="10" w:type="dxa"/>
          <w:right w:w="10" w:type="dxa"/>
        </w:tblCellMar>
        <w:tblLook w:val="0000" w:firstRow="0" w:lastRow="0" w:firstColumn="0" w:lastColumn="0" w:noHBand="0" w:noVBand="0"/>
      </w:tblPr>
      <w:tblGrid>
        <w:gridCol w:w="14175"/>
      </w:tblGrid>
      <w:tr w:rsidR="00D122C0" w:rsidRPr="00F341F5" w14:paraId="15ED16A0" w14:textId="77777777" w:rsidTr="007E7DE9">
        <w:trPr>
          <w:trHeight w:val="649"/>
        </w:trPr>
        <w:tc>
          <w:tcPr>
            <w:tcW w:w="14175" w:type="dxa"/>
            <w:shd w:val="clear" w:color="auto" w:fill="auto"/>
            <w:tcMar>
              <w:top w:w="0" w:type="dxa"/>
              <w:left w:w="108" w:type="dxa"/>
              <w:bottom w:w="0" w:type="dxa"/>
              <w:right w:w="108" w:type="dxa"/>
            </w:tcMar>
            <w:vAlign w:val="bottom"/>
          </w:tcPr>
          <w:p w14:paraId="3759EBCC" w14:textId="77777777" w:rsidR="00D122C0" w:rsidRPr="00F341F5" w:rsidRDefault="00D122C0" w:rsidP="00D122C0">
            <w:pPr>
              <w:pStyle w:val="Sraopastraipa"/>
              <w:numPr>
                <w:ilvl w:val="1"/>
                <w:numId w:val="41"/>
              </w:numPr>
              <w:ind w:hanging="825"/>
              <w:jc w:val="both"/>
              <w:rPr>
                <w:rFonts w:ascii="Times New Roman" w:hAnsi="Times New Roman"/>
              </w:rPr>
            </w:pPr>
            <w:r w:rsidRPr="00F341F5">
              <w:rPr>
                <w:rFonts w:ascii="Times New Roman" w:hAnsi="Times New Roman"/>
              </w:rPr>
              <w:t>Tiekėjas yra atsakingas už paciento sveikatos būklę tyrimo metu. Tiekėjui atsisakius atlikti tyrimą dėl</w:t>
            </w:r>
          </w:p>
          <w:p w14:paraId="3C54A28F" w14:textId="63297699" w:rsidR="00D122C0" w:rsidRPr="00F341F5" w:rsidRDefault="00D122C0" w:rsidP="00D122C0">
            <w:pPr>
              <w:pStyle w:val="Sraopastraipa"/>
              <w:ind w:left="862"/>
              <w:jc w:val="both"/>
              <w:rPr>
                <w:rFonts w:ascii="Times New Roman" w:hAnsi="Times New Roman"/>
              </w:rPr>
            </w:pPr>
            <w:r w:rsidRPr="00F341F5">
              <w:rPr>
                <w:rFonts w:ascii="Times New Roman" w:hAnsi="Times New Roman"/>
              </w:rPr>
              <w:t xml:space="preserve"> paciento</w:t>
            </w:r>
            <w:r w:rsidRPr="00F341F5">
              <w:rPr>
                <w:rFonts w:ascii="Times New Roman" w:hAnsi="Times New Roman"/>
              </w:rPr>
              <w:t xml:space="preserve"> sveikatos būklės, tiekėjas turi pateikti perkančiajai organizacijai pagrįstą paaiškinimą.</w:t>
            </w:r>
          </w:p>
        </w:tc>
      </w:tr>
      <w:tr w:rsidR="00D122C0" w:rsidRPr="00F341F5" w14:paraId="17B094C5" w14:textId="77777777" w:rsidTr="007E7DE9">
        <w:trPr>
          <w:trHeight w:val="649"/>
        </w:trPr>
        <w:tc>
          <w:tcPr>
            <w:tcW w:w="14175" w:type="dxa"/>
            <w:shd w:val="clear" w:color="auto" w:fill="auto"/>
            <w:tcMar>
              <w:top w:w="0" w:type="dxa"/>
              <w:left w:w="108" w:type="dxa"/>
              <w:bottom w:w="0" w:type="dxa"/>
              <w:right w:w="108" w:type="dxa"/>
            </w:tcMar>
            <w:vAlign w:val="bottom"/>
          </w:tcPr>
          <w:p w14:paraId="48B7A918" w14:textId="77777777" w:rsidR="00D122C0" w:rsidRPr="00F341F5" w:rsidRDefault="00D122C0" w:rsidP="00D122C0">
            <w:pPr>
              <w:pStyle w:val="prastasis"/>
              <w:numPr>
                <w:ilvl w:val="1"/>
                <w:numId w:val="41"/>
              </w:numPr>
              <w:tabs>
                <w:tab w:val="left" w:pos="746"/>
              </w:tabs>
              <w:ind w:left="37" w:firstLine="0"/>
              <w:jc w:val="both"/>
              <w:rPr>
                <w:rFonts w:ascii="Times New Roman" w:hAnsi="Times New Roman"/>
              </w:rPr>
            </w:pPr>
            <w:r w:rsidRPr="00F341F5">
              <w:rPr>
                <w:rFonts w:ascii="Times New Roman" w:hAnsi="Times New Roman"/>
              </w:rPr>
              <w:t>Tiekėjas įsipareigoja į tiekėjo patalpas atvykusius perkančiosios organizacijos atstovus supažindinti su</w:t>
            </w:r>
          </w:p>
          <w:p w14:paraId="4389C753" w14:textId="26346F51" w:rsidR="00D122C0" w:rsidRPr="00F341F5" w:rsidRDefault="00D122C0" w:rsidP="00D122C0">
            <w:pPr>
              <w:pStyle w:val="prastasis"/>
              <w:tabs>
                <w:tab w:val="left" w:pos="746"/>
              </w:tabs>
              <w:ind w:left="37"/>
              <w:jc w:val="both"/>
              <w:rPr>
                <w:rFonts w:ascii="Times New Roman" w:hAnsi="Times New Roman"/>
              </w:rPr>
            </w:pPr>
            <w:r w:rsidRPr="00F341F5">
              <w:rPr>
                <w:rFonts w:ascii="Times New Roman" w:hAnsi="Times New Roman"/>
              </w:rPr>
              <w:t>galimais su tyrimo atlikimu susijusiais rizikos veiksniais.</w:t>
            </w:r>
            <w:bookmarkStart w:id="16" w:name="_GoBack"/>
            <w:bookmarkEnd w:id="16"/>
          </w:p>
        </w:tc>
      </w:tr>
    </w:tbl>
    <w:p w14:paraId="028D3DD7" w14:textId="76107EC3" w:rsidR="00F341F5" w:rsidRPr="00F341F5" w:rsidRDefault="00F341F5" w:rsidP="00D122C0">
      <w:pPr>
        <w:pStyle w:val="Sraopastraipa"/>
        <w:numPr>
          <w:ilvl w:val="1"/>
          <w:numId w:val="41"/>
        </w:numPr>
        <w:jc w:val="both"/>
        <w:rPr>
          <w:rStyle w:val="Numatytasispastraiposriftas"/>
          <w:rFonts w:ascii="Times New Roman" w:hAnsi="Times New Roman"/>
          <w:color w:val="000000" w:themeColor="text1"/>
        </w:rPr>
      </w:pPr>
      <w:r w:rsidRPr="00F341F5">
        <w:rPr>
          <w:rStyle w:val="Numatytasispastraiposriftas"/>
          <w:rFonts w:ascii="Times New Roman" w:hAnsi="Times New Roman"/>
          <w:color w:val="000000" w:themeColor="text1"/>
        </w:rPr>
        <w:t xml:space="preserve">Skubūs tyrimai stacionaro pacientams nuo registracijos tyrimui  momento atliekami tą pačią dieną ir pateikiamas gydytojo radiologo ar okulisto tyrimo rezultatų aprašymas iš karto po atlikto tyrimo. Stacionaro skubius pacientus perkančioji organizacija į tyrimų atlikimo vietą Vilniaus mieste pristato savo transportu. </w:t>
      </w:r>
    </w:p>
    <w:p w14:paraId="2227D0A2" w14:textId="77777777" w:rsidR="00D122C0" w:rsidRPr="005C4EB5" w:rsidRDefault="00D122C0" w:rsidP="00D122C0">
      <w:pPr>
        <w:pStyle w:val="BodyText"/>
        <w:numPr>
          <w:ilvl w:val="1"/>
          <w:numId w:val="41"/>
        </w:numPr>
        <w:spacing w:before="60" w:after="60" w:line="240" w:lineRule="auto"/>
        <w:rPr>
          <w:rFonts w:ascii="Times New Roman" w:hAnsi="Times New Roman"/>
          <w:color w:val="000000" w:themeColor="text1"/>
        </w:rPr>
      </w:pPr>
      <w:proofErr w:type="spellStart"/>
      <w:r w:rsidRPr="005C4EB5">
        <w:rPr>
          <w:rFonts w:ascii="Times New Roman" w:hAnsi="Times New Roman"/>
          <w:color w:val="000000" w:themeColor="text1"/>
          <w:lang w:eastAsia="lt-LT"/>
        </w:rPr>
        <w:t>Perkančioji</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organizacija</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privalo</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užtikrinti</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nuolatinę</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tiek</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atvykstant</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tirtis</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tiek</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Tyrimų</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metu</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ir</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po</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jų</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Paciento</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palydą</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ir</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pagalbą</w:t>
      </w:r>
      <w:proofErr w:type="spellEnd"/>
      <w:r w:rsidRPr="005C4EB5">
        <w:rPr>
          <w:rFonts w:ascii="Times New Roman" w:hAnsi="Times New Roman"/>
          <w:color w:val="000000" w:themeColor="text1"/>
          <w:lang w:eastAsia="lt-LT"/>
        </w:rPr>
        <w:t xml:space="preserve"> jam (</w:t>
      </w:r>
      <w:proofErr w:type="spellStart"/>
      <w:r w:rsidRPr="005C4EB5">
        <w:rPr>
          <w:rFonts w:ascii="Times New Roman" w:hAnsi="Times New Roman"/>
          <w:color w:val="000000" w:themeColor="text1"/>
          <w:lang w:eastAsia="lt-LT"/>
        </w:rPr>
        <w:t>įskaitant</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nuolatinį</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būklės</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stebėjimą</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iCs/>
          <w:color w:val="000000" w:themeColor="text1"/>
          <w:lang w:eastAsia="lt-LT"/>
        </w:rPr>
        <w:t>pirmosios</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pagalbos</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teikimą</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kitų</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būtinų</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asmens</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sveikatos</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priežiūros</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paslaugų</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teikimą</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pagalbą</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Pacientui</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lipant</w:t>
      </w:r>
      <w:proofErr w:type="spellEnd"/>
      <w:r w:rsidRPr="005C4EB5">
        <w:rPr>
          <w:rFonts w:ascii="Times New Roman" w:hAnsi="Times New Roman"/>
          <w:iCs/>
          <w:color w:val="000000" w:themeColor="text1"/>
          <w:lang w:eastAsia="lt-LT"/>
        </w:rPr>
        <w:t>/</w:t>
      </w:r>
      <w:proofErr w:type="spellStart"/>
      <w:r w:rsidRPr="005C4EB5">
        <w:rPr>
          <w:rFonts w:ascii="Times New Roman" w:hAnsi="Times New Roman"/>
          <w:iCs/>
          <w:color w:val="000000" w:themeColor="text1"/>
          <w:lang w:eastAsia="lt-LT"/>
        </w:rPr>
        <w:t>jį</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keliant</w:t>
      </w:r>
      <w:proofErr w:type="spellEnd"/>
      <w:r w:rsidRPr="005C4EB5">
        <w:rPr>
          <w:rFonts w:ascii="Times New Roman" w:hAnsi="Times New Roman"/>
          <w:iCs/>
          <w:color w:val="000000" w:themeColor="text1"/>
          <w:lang w:eastAsia="lt-LT"/>
        </w:rPr>
        <w:t xml:space="preserve"> ant/</w:t>
      </w:r>
      <w:proofErr w:type="spellStart"/>
      <w:r w:rsidRPr="005C4EB5">
        <w:rPr>
          <w:rFonts w:ascii="Times New Roman" w:hAnsi="Times New Roman"/>
          <w:iCs/>
          <w:color w:val="000000" w:themeColor="text1"/>
          <w:lang w:eastAsia="lt-LT"/>
        </w:rPr>
        <w:t>nuo</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procedūrų</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stalo</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ir</w:t>
      </w:r>
      <w:proofErr w:type="spellEnd"/>
      <w:r w:rsidRPr="005C4EB5">
        <w:rPr>
          <w:rFonts w:ascii="Times New Roman" w:hAnsi="Times New Roman"/>
          <w:iCs/>
          <w:color w:val="000000" w:themeColor="text1"/>
          <w:lang w:eastAsia="lt-LT"/>
        </w:rPr>
        <w:t xml:space="preserve"> pan.)</w:t>
      </w:r>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jei</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Pacientas</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priskirtinas</w:t>
      </w:r>
      <w:proofErr w:type="spellEnd"/>
      <w:r w:rsidRPr="005C4EB5">
        <w:rPr>
          <w:rFonts w:ascii="Times New Roman" w:hAnsi="Times New Roman"/>
          <w:color w:val="000000" w:themeColor="text1"/>
          <w:lang w:eastAsia="lt-LT"/>
        </w:rPr>
        <w:t xml:space="preserve"> bent </w:t>
      </w:r>
      <w:proofErr w:type="spellStart"/>
      <w:r w:rsidRPr="005C4EB5">
        <w:rPr>
          <w:rFonts w:ascii="Times New Roman" w:hAnsi="Times New Roman"/>
          <w:color w:val="000000" w:themeColor="text1"/>
          <w:lang w:eastAsia="lt-LT"/>
        </w:rPr>
        <w:t>vienai</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iš</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toliau</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nurodytų</w:t>
      </w:r>
      <w:proofErr w:type="spellEnd"/>
      <w:r w:rsidRPr="005C4EB5">
        <w:rPr>
          <w:rFonts w:ascii="Times New Roman" w:hAnsi="Times New Roman"/>
          <w:color w:val="000000" w:themeColor="text1"/>
          <w:lang w:eastAsia="lt-LT"/>
        </w:rPr>
        <w:t xml:space="preserve"> </w:t>
      </w:r>
      <w:proofErr w:type="spellStart"/>
      <w:r w:rsidRPr="005C4EB5">
        <w:rPr>
          <w:rFonts w:ascii="Times New Roman" w:hAnsi="Times New Roman"/>
          <w:color w:val="000000" w:themeColor="text1"/>
          <w:lang w:eastAsia="lt-LT"/>
        </w:rPr>
        <w:t>grupių</w:t>
      </w:r>
      <w:proofErr w:type="spellEnd"/>
      <w:r w:rsidRPr="005C4EB5">
        <w:rPr>
          <w:rFonts w:ascii="Times New Roman" w:hAnsi="Times New Roman"/>
          <w:color w:val="000000" w:themeColor="text1"/>
          <w:lang w:eastAsia="lt-LT"/>
        </w:rPr>
        <w:t>:</w:t>
      </w:r>
    </w:p>
    <w:p w14:paraId="6C7BA41A" w14:textId="77777777" w:rsidR="00D122C0" w:rsidRPr="005C4EB5" w:rsidRDefault="00D122C0" w:rsidP="00D122C0">
      <w:pPr>
        <w:pStyle w:val="BodyText"/>
        <w:numPr>
          <w:ilvl w:val="2"/>
          <w:numId w:val="41"/>
        </w:numPr>
        <w:spacing w:before="60" w:after="60" w:line="240" w:lineRule="auto"/>
        <w:ind w:left="1276" w:hanging="567"/>
        <w:rPr>
          <w:rFonts w:ascii="Times New Roman" w:hAnsi="Times New Roman"/>
          <w:color w:val="000000" w:themeColor="text1"/>
        </w:rPr>
      </w:pPr>
      <w:proofErr w:type="spellStart"/>
      <w:r w:rsidRPr="005C4EB5">
        <w:rPr>
          <w:rFonts w:ascii="Times New Roman" w:hAnsi="Times New Roman"/>
          <w:color w:val="000000" w:themeColor="text1"/>
          <w:lang w:eastAsia="lt-LT"/>
        </w:rPr>
        <w:t>P</w:t>
      </w:r>
      <w:r w:rsidRPr="005C4EB5">
        <w:rPr>
          <w:rFonts w:ascii="Times New Roman" w:hAnsi="Times New Roman"/>
          <w:iCs/>
          <w:color w:val="000000" w:themeColor="text1"/>
          <w:lang w:eastAsia="lt-LT"/>
        </w:rPr>
        <w:t>acientas</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priskirtinas</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sunkių</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ligonių</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kategorijai</w:t>
      </w:r>
      <w:proofErr w:type="spellEnd"/>
      <w:r w:rsidRPr="005C4EB5">
        <w:rPr>
          <w:rFonts w:ascii="Times New Roman" w:hAnsi="Times New Roman"/>
          <w:iCs/>
          <w:color w:val="000000" w:themeColor="text1"/>
          <w:lang w:eastAsia="lt-LT"/>
        </w:rPr>
        <w:t>;</w:t>
      </w:r>
    </w:p>
    <w:p w14:paraId="5E535DB3" w14:textId="77777777" w:rsidR="00D122C0" w:rsidRPr="005C4EB5" w:rsidRDefault="00D122C0" w:rsidP="00D122C0">
      <w:pPr>
        <w:pStyle w:val="BodyText"/>
        <w:numPr>
          <w:ilvl w:val="2"/>
          <w:numId w:val="41"/>
        </w:numPr>
        <w:spacing w:before="60" w:after="60" w:line="240" w:lineRule="auto"/>
        <w:ind w:left="1276" w:hanging="567"/>
        <w:rPr>
          <w:rFonts w:ascii="Times New Roman" w:hAnsi="Times New Roman"/>
          <w:color w:val="000000" w:themeColor="text1"/>
        </w:rPr>
      </w:pPr>
      <w:proofErr w:type="spellStart"/>
      <w:r w:rsidRPr="005C4EB5">
        <w:rPr>
          <w:rFonts w:ascii="Times New Roman" w:hAnsi="Times New Roman"/>
          <w:iCs/>
          <w:color w:val="000000" w:themeColor="text1"/>
          <w:lang w:eastAsia="lt-LT"/>
        </w:rPr>
        <w:t>Pacientui</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teikiama</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būtinoji</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medicinos</w:t>
      </w:r>
      <w:proofErr w:type="spellEnd"/>
      <w:r w:rsidRPr="005C4EB5">
        <w:rPr>
          <w:rFonts w:ascii="Times New Roman" w:hAnsi="Times New Roman"/>
          <w:iCs/>
          <w:color w:val="000000" w:themeColor="text1"/>
          <w:lang w:eastAsia="lt-LT"/>
        </w:rPr>
        <w:t xml:space="preserve"> pagalba;</w:t>
      </w:r>
    </w:p>
    <w:p w14:paraId="3F3E775E" w14:textId="77777777" w:rsidR="00D122C0" w:rsidRPr="005C4EB5" w:rsidRDefault="00D122C0" w:rsidP="00D122C0">
      <w:pPr>
        <w:pStyle w:val="BodyText"/>
        <w:numPr>
          <w:ilvl w:val="2"/>
          <w:numId w:val="41"/>
        </w:numPr>
        <w:spacing w:before="60" w:after="60" w:line="240" w:lineRule="auto"/>
        <w:ind w:left="1276" w:hanging="567"/>
        <w:rPr>
          <w:rFonts w:ascii="Times New Roman" w:hAnsi="Times New Roman"/>
          <w:b/>
          <w:color w:val="000000" w:themeColor="text1"/>
        </w:rPr>
      </w:pPr>
      <w:proofErr w:type="spellStart"/>
      <w:r w:rsidRPr="005C4EB5">
        <w:rPr>
          <w:rFonts w:ascii="Times New Roman" w:hAnsi="Times New Roman"/>
          <w:iCs/>
          <w:color w:val="000000" w:themeColor="text1"/>
          <w:lang w:eastAsia="lt-LT"/>
        </w:rPr>
        <w:t>Pacientas</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nejudantis</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dalinai</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nejudantis</w:t>
      </w:r>
      <w:proofErr w:type="spellEnd"/>
      <w:r w:rsidRPr="005C4EB5">
        <w:rPr>
          <w:rFonts w:ascii="Times New Roman" w:hAnsi="Times New Roman"/>
          <w:iCs/>
          <w:color w:val="000000" w:themeColor="text1"/>
          <w:lang w:eastAsia="lt-LT"/>
        </w:rPr>
        <w:t>);</w:t>
      </w:r>
    </w:p>
    <w:p w14:paraId="5A7614BC" w14:textId="77777777" w:rsidR="00D122C0" w:rsidRPr="005C4EB5" w:rsidRDefault="00D122C0" w:rsidP="00D122C0">
      <w:pPr>
        <w:pStyle w:val="BodyText"/>
        <w:tabs>
          <w:tab w:val="left" w:pos="0"/>
        </w:tabs>
        <w:suppressAutoHyphens/>
        <w:overflowPunct w:val="0"/>
        <w:spacing w:before="60" w:after="60"/>
        <w:ind w:left="709"/>
        <w:rPr>
          <w:rStyle w:val="normal-h"/>
          <w:color w:val="000000" w:themeColor="text1"/>
        </w:rPr>
      </w:pPr>
      <w:r w:rsidRPr="005C4EB5">
        <w:rPr>
          <w:rFonts w:ascii="Times New Roman" w:hAnsi="Times New Roman"/>
          <w:iCs/>
          <w:color w:val="000000" w:themeColor="text1"/>
          <w:lang w:eastAsia="lt-LT"/>
        </w:rPr>
        <w:t>1.1</w:t>
      </w:r>
      <w:r>
        <w:rPr>
          <w:rFonts w:ascii="Times New Roman" w:hAnsi="Times New Roman"/>
          <w:iCs/>
          <w:color w:val="000000" w:themeColor="text1"/>
          <w:lang w:eastAsia="lt-LT"/>
        </w:rPr>
        <w:t>2</w:t>
      </w:r>
      <w:r w:rsidRPr="005C4EB5">
        <w:rPr>
          <w:rFonts w:ascii="Times New Roman" w:hAnsi="Times New Roman"/>
          <w:iCs/>
          <w:color w:val="000000" w:themeColor="text1"/>
          <w:lang w:eastAsia="lt-LT"/>
        </w:rPr>
        <w:t xml:space="preserve">.4. </w:t>
      </w:r>
      <w:proofErr w:type="spellStart"/>
      <w:r w:rsidRPr="005C4EB5">
        <w:rPr>
          <w:rFonts w:ascii="Times New Roman" w:hAnsi="Times New Roman"/>
          <w:iCs/>
          <w:color w:val="000000" w:themeColor="text1"/>
          <w:lang w:eastAsia="lt-LT"/>
        </w:rPr>
        <w:t>Pacientas</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visiškai</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ar</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iš</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dalies</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negali</w:t>
      </w:r>
      <w:proofErr w:type="spellEnd"/>
      <w:r w:rsidRPr="005C4EB5">
        <w:rPr>
          <w:rFonts w:ascii="Times New Roman" w:hAnsi="Times New Roman"/>
          <w:iCs/>
          <w:color w:val="000000" w:themeColor="text1"/>
          <w:lang w:eastAsia="lt-LT"/>
        </w:rPr>
        <w:t xml:space="preserve"> </w:t>
      </w:r>
      <w:proofErr w:type="spellStart"/>
      <w:r w:rsidRPr="005C4EB5">
        <w:rPr>
          <w:rStyle w:val="normal-h"/>
          <w:color w:val="000000" w:themeColor="text1"/>
        </w:rPr>
        <w:t>suprasti</w:t>
      </w:r>
      <w:proofErr w:type="spellEnd"/>
      <w:r w:rsidRPr="005C4EB5">
        <w:rPr>
          <w:rStyle w:val="normal-h"/>
          <w:color w:val="000000" w:themeColor="text1"/>
        </w:rPr>
        <w:t xml:space="preserve"> </w:t>
      </w:r>
      <w:proofErr w:type="spellStart"/>
      <w:r w:rsidRPr="005C4EB5">
        <w:rPr>
          <w:rStyle w:val="normal-h"/>
          <w:color w:val="000000" w:themeColor="text1"/>
        </w:rPr>
        <w:t>visų</w:t>
      </w:r>
      <w:proofErr w:type="spellEnd"/>
      <w:r w:rsidRPr="005C4EB5">
        <w:rPr>
          <w:rStyle w:val="normal-h"/>
          <w:color w:val="000000" w:themeColor="text1"/>
        </w:rPr>
        <w:t xml:space="preserve"> </w:t>
      </w:r>
      <w:proofErr w:type="spellStart"/>
      <w:r w:rsidRPr="005C4EB5">
        <w:rPr>
          <w:rStyle w:val="normal-h"/>
          <w:color w:val="000000" w:themeColor="text1"/>
        </w:rPr>
        <w:t>ar</w:t>
      </w:r>
      <w:proofErr w:type="spellEnd"/>
      <w:r w:rsidRPr="005C4EB5">
        <w:rPr>
          <w:rStyle w:val="normal-h"/>
          <w:color w:val="000000" w:themeColor="text1"/>
        </w:rPr>
        <w:t xml:space="preserve"> </w:t>
      </w:r>
      <w:proofErr w:type="spellStart"/>
      <w:r w:rsidRPr="005C4EB5">
        <w:rPr>
          <w:rStyle w:val="normal-h"/>
          <w:color w:val="000000" w:themeColor="text1"/>
        </w:rPr>
        <w:t>dalies</w:t>
      </w:r>
      <w:proofErr w:type="spellEnd"/>
      <w:r w:rsidRPr="005C4EB5">
        <w:rPr>
          <w:rStyle w:val="normal-h"/>
          <w:color w:val="000000" w:themeColor="text1"/>
        </w:rPr>
        <w:t xml:space="preserve"> </w:t>
      </w:r>
      <w:proofErr w:type="spellStart"/>
      <w:r w:rsidRPr="005C4EB5">
        <w:rPr>
          <w:rStyle w:val="normal-h"/>
          <w:color w:val="000000" w:themeColor="text1"/>
        </w:rPr>
        <w:t>savo</w:t>
      </w:r>
      <w:proofErr w:type="spellEnd"/>
      <w:r w:rsidRPr="005C4EB5">
        <w:rPr>
          <w:rStyle w:val="normal-h"/>
          <w:color w:val="000000" w:themeColor="text1"/>
        </w:rPr>
        <w:t xml:space="preserve"> </w:t>
      </w:r>
      <w:proofErr w:type="spellStart"/>
      <w:r w:rsidRPr="005C4EB5">
        <w:rPr>
          <w:rStyle w:val="normal-h"/>
          <w:color w:val="000000" w:themeColor="text1"/>
        </w:rPr>
        <w:t>veiksmų</w:t>
      </w:r>
      <w:proofErr w:type="spellEnd"/>
      <w:r w:rsidRPr="005C4EB5">
        <w:rPr>
          <w:rStyle w:val="normal-h"/>
          <w:color w:val="000000" w:themeColor="text1"/>
        </w:rPr>
        <w:t xml:space="preserve"> </w:t>
      </w:r>
      <w:proofErr w:type="spellStart"/>
      <w:r w:rsidRPr="005C4EB5">
        <w:rPr>
          <w:rStyle w:val="normal-h"/>
          <w:color w:val="000000" w:themeColor="text1"/>
        </w:rPr>
        <w:t>reikšmės</w:t>
      </w:r>
      <w:proofErr w:type="spellEnd"/>
      <w:r w:rsidRPr="005C4EB5">
        <w:rPr>
          <w:rStyle w:val="normal-h"/>
          <w:color w:val="000000" w:themeColor="text1"/>
        </w:rPr>
        <w:t xml:space="preserve"> </w:t>
      </w:r>
      <w:proofErr w:type="spellStart"/>
      <w:r w:rsidRPr="005C4EB5">
        <w:rPr>
          <w:rStyle w:val="normal-h"/>
          <w:color w:val="000000" w:themeColor="text1"/>
        </w:rPr>
        <w:t>ar</w:t>
      </w:r>
      <w:proofErr w:type="spellEnd"/>
      <w:r w:rsidRPr="005C4EB5">
        <w:rPr>
          <w:rStyle w:val="normal-h"/>
          <w:color w:val="000000" w:themeColor="text1"/>
        </w:rPr>
        <w:t xml:space="preserve"> </w:t>
      </w:r>
      <w:proofErr w:type="spellStart"/>
      <w:r w:rsidRPr="005C4EB5">
        <w:rPr>
          <w:rStyle w:val="normal-h"/>
          <w:color w:val="000000" w:themeColor="text1"/>
        </w:rPr>
        <w:t>jų</w:t>
      </w:r>
      <w:proofErr w:type="spellEnd"/>
      <w:r w:rsidRPr="005C4EB5">
        <w:rPr>
          <w:rStyle w:val="normal-h"/>
          <w:color w:val="000000" w:themeColor="text1"/>
        </w:rPr>
        <w:t xml:space="preserve"> </w:t>
      </w:r>
      <w:proofErr w:type="spellStart"/>
      <w:r w:rsidRPr="005C4EB5">
        <w:rPr>
          <w:rStyle w:val="normal-h"/>
          <w:color w:val="000000" w:themeColor="text1"/>
        </w:rPr>
        <w:t>valdyti</w:t>
      </w:r>
      <w:proofErr w:type="spellEnd"/>
      <w:r w:rsidRPr="005C4EB5">
        <w:rPr>
          <w:rStyle w:val="normal-h"/>
          <w:color w:val="000000" w:themeColor="text1"/>
        </w:rPr>
        <w:t>;</w:t>
      </w:r>
    </w:p>
    <w:p w14:paraId="7F0643FD" w14:textId="77777777" w:rsidR="00D122C0" w:rsidRPr="005C4EB5" w:rsidRDefault="00D122C0" w:rsidP="00D122C0">
      <w:pPr>
        <w:pStyle w:val="BodyText"/>
        <w:spacing w:before="60" w:after="60"/>
        <w:rPr>
          <w:rFonts w:ascii="Times New Roman" w:hAnsi="Times New Roman"/>
          <w:b/>
          <w:color w:val="000000" w:themeColor="text1"/>
        </w:rPr>
      </w:pPr>
      <w:r w:rsidRPr="005C4EB5">
        <w:rPr>
          <w:rFonts w:ascii="Times New Roman" w:hAnsi="Times New Roman"/>
          <w:iCs/>
          <w:color w:val="000000" w:themeColor="text1"/>
          <w:lang w:eastAsia="lt-LT"/>
        </w:rPr>
        <w:t xml:space="preserve">             1.1</w:t>
      </w:r>
      <w:r>
        <w:rPr>
          <w:rFonts w:ascii="Times New Roman" w:hAnsi="Times New Roman"/>
          <w:iCs/>
          <w:color w:val="000000" w:themeColor="text1"/>
          <w:lang w:eastAsia="lt-LT"/>
        </w:rPr>
        <w:t>2</w:t>
      </w:r>
      <w:r w:rsidRPr="005C4EB5">
        <w:rPr>
          <w:rFonts w:ascii="Times New Roman" w:hAnsi="Times New Roman"/>
          <w:iCs/>
          <w:color w:val="000000" w:themeColor="text1"/>
          <w:lang w:eastAsia="lt-LT"/>
        </w:rPr>
        <w:t xml:space="preserve">.5. </w:t>
      </w:r>
      <w:proofErr w:type="spellStart"/>
      <w:r w:rsidRPr="005C4EB5">
        <w:rPr>
          <w:rFonts w:ascii="Times New Roman" w:hAnsi="Times New Roman"/>
          <w:iCs/>
          <w:color w:val="000000" w:themeColor="text1"/>
          <w:lang w:eastAsia="lt-LT"/>
        </w:rPr>
        <w:t>Pacientas</w:t>
      </w:r>
      <w:proofErr w:type="spellEnd"/>
      <w:r w:rsidRPr="005C4EB5">
        <w:rPr>
          <w:rFonts w:ascii="Times New Roman" w:hAnsi="Times New Roman"/>
          <w:iCs/>
          <w:color w:val="000000" w:themeColor="text1"/>
          <w:lang w:eastAsia="lt-LT"/>
        </w:rPr>
        <w:t xml:space="preserve"> </w:t>
      </w:r>
      <w:proofErr w:type="spellStart"/>
      <w:r w:rsidRPr="005C4EB5">
        <w:rPr>
          <w:rFonts w:ascii="Times New Roman" w:hAnsi="Times New Roman"/>
          <w:iCs/>
          <w:color w:val="000000" w:themeColor="text1"/>
          <w:lang w:eastAsia="lt-LT"/>
        </w:rPr>
        <w:t>nesąmoningas</w:t>
      </w:r>
      <w:proofErr w:type="spellEnd"/>
      <w:r w:rsidRPr="005C4EB5">
        <w:rPr>
          <w:rFonts w:ascii="Times New Roman" w:hAnsi="Times New Roman"/>
          <w:iCs/>
          <w:color w:val="000000" w:themeColor="text1"/>
          <w:lang w:eastAsia="lt-LT"/>
        </w:rPr>
        <w:t>;</w:t>
      </w:r>
    </w:p>
    <w:p w14:paraId="2E6B3CFE" w14:textId="77777777" w:rsidR="00D122C0" w:rsidRPr="00BD3F6F" w:rsidRDefault="00D122C0" w:rsidP="00D122C0">
      <w:pPr>
        <w:pStyle w:val="ListParagraph"/>
        <w:numPr>
          <w:ilvl w:val="2"/>
          <w:numId w:val="44"/>
        </w:numPr>
        <w:tabs>
          <w:tab w:val="left" w:pos="0"/>
        </w:tabs>
        <w:suppressAutoHyphens/>
        <w:overflowPunct w:val="0"/>
        <w:spacing w:before="60" w:after="60" w:line="240" w:lineRule="auto"/>
        <w:jc w:val="left"/>
        <w:rPr>
          <w:color w:val="000000" w:themeColor="text1"/>
          <w:lang w:val="lt-LT"/>
        </w:rPr>
      </w:pPr>
      <w:r w:rsidRPr="00BD3F6F">
        <w:rPr>
          <w:color w:val="000000" w:themeColor="text1"/>
          <w:lang w:val="lt-LT"/>
        </w:rPr>
        <w:t>Pacientas serga ar galimai serga užkrečiama liga (užkrečiamomis ligomis) (esant perkančiosios organizacijos prašymui).</w:t>
      </w:r>
    </w:p>
    <w:p w14:paraId="630FAE51" w14:textId="77777777" w:rsidR="00D122C0" w:rsidRPr="005C4EB5" w:rsidRDefault="00D122C0" w:rsidP="00D122C0">
      <w:pPr>
        <w:tabs>
          <w:tab w:val="left" w:pos="0"/>
        </w:tabs>
        <w:suppressAutoHyphens/>
        <w:overflowPunct w:val="0"/>
        <w:spacing w:before="60" w:after="60"/>
        <w:ind w:left="709"/>
        <w:rPr>
          <w:rFonts w:ascii="Times New Roman" w:hAnsi="Times New Roman"/>
          <w:color w:val="000000" w:themeColor="text1"/>
        </w:rPr>
      </w:pPr>
      <w:proofErr w:type="spellStart"/>
      <w:r w:rsidRPr="005C4EB5">
        <w:rPr>
          <w:rFonts w:ascii="Times New Roman" w:hAnsi="Times New Roman"/>
          <w:color w:val="000000" w:themeColor="text1"/>
        </w:rPr>
        <w:t>Jei</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Pacientas</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priklauso</w:t>
      </w:r>
      <w:proofErr w:type="spellEnd"/>
      <w:r w:rsidRPr="005C4EB5">
        <w:rPr>
          <w:rFonts w:ascii="Times New Roman" w:hAnsi="Times New Roman"/>
          <w:color w:val="000000" w:themeColor="text1"/>
        </w:rPr>
        <w:t xml:space="preserve"> bet </w:t>
      </w:r>
      <w:proofErr w:type="spellStart"/>
      <w:r w:rsidRPr="005C4EB5">
        <w:rPr>
          <w:rFonts w:ascii="Times New Roman" w:hAnsi="Times New Roman"/>
          <w:color w:val="000000" w:themeColor="text1"/>
        </w:rPr>
        <w:t>kuriai</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aukščiau</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nurodytai</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grupei</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apie</w:t>
      </w:r>
      <w:proofErr w:type="spellEnd"/>
      <w:r w:rsidRPr="005C4EB5">
        <w:rPr>
          <w:rFonts w:ascii="Times New Roman" w:hAnsi="Times New Roman"/>
          <w:color w:val="000000" w:themeColor="text1"/>
        </w:rPr>
        <w:t xml:space="preserve"> </w:t>
      </w:r>
      <w:proofErr w:type="gramStart"/>
      <w:r w:rsidRPr="005C4EB5">
        <w:rPr>
          <w:rFonts w:ascii="Times New Roman" w:hAnsi="Times New Roman"/>
          <w:color w:val="000000" w:themeColor="text1"/>
        </w:rPr>
        <w:t>tai</w:t>
      </w:r>
      <w:proofErr w:type="gramEnd"/>
      <w:r w:rsidRPr="005C4EB5">
        <w:rPr>
          <w:rFonts w:ascii="Times New Roman" w:hAnsi="Times New Roman"/>
          <w:color w:val="000000" w:themeColor="text1"/>
        </w:rPr>
        <w:t xml:space="preserve"> </w:t>
      </w:r>
      <w:proofErr w:type="spellStart"/>
      <w:r>
        <w:rPr>
          <w:rFonts w:ascii="Times New Roman" w:hAnsi="Times New Roman"/>
          <w:color w:val="000000" w:themeColor="text1"/>
        </w:rPr>
        <w:t>perkančioji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organizacija</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turi</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informuoti</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registracijos</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metu</w:t>
      </w:r>
      <w:proofErr w:type="spellEnd"/>
      <w:r w:rsidRPr="005C4EB5">
        <w:rPr>
          <w:rFonts w:ascii="Times New Roman" w:hAnsi="Times New Roman"/>
          <w:color w:val="000000" w:themeColor="text1"/>
        </w:rPr>
        <w:t xml:space="preserve">. Be to, </w:t>
      </w:r>
      <w:proofErr w:type="spellStart"/>
      <w:r>
        <w:rPr>
          <w:rFonts w:ascii="Times New Roman" w:hAnsi="Times New Roman"/>
          <w:color w:val="000000" w:themeColor="text1"/>
        </w:rPr>
        <w:t>perkančioji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organizacija</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turi</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užtikrinti</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kad</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Pacientas</w:t>
      </w:r>
      <w:proofErr w:type="spellEnd"/>
      <w:r w:rsidRPr="005C4EB5">
        <w:rPr>
          <w:rFonts w:ascii="Times New Roman" w:hAnsi="Times New Roman"/>
          <w:color w:val="000000" w:themeColor="text1"/>
        </w:rPr>
        <w:t xml:space="preserve"> į </w:t>
      </w:r>
      <w:proofErr w:type="spellStart"/>
      <w:r w:rsidRPr="005C4EB5">
        <w:rPr>
          <w:rFonts w:ascii="Times New Roman" w:hAnsi="Times New Roman"/>
          <w:color w:val="000000" w:themeColor="text1"/>
        </w:rPr>
        <w:t>Tyrimo</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atlikimo</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vietą</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atvyktų</w:t>
      </w:r>
      <w:proofErr w:type="spellEnd"/>
      <w:r w:rsidRPr="005C4EB5">
        <w:rPr>
          <w:rFonts w:ascii="Times New Roman" w:hAnsi="Times New Roman"/>
          <w:color w:val="000000" w:themeColor="text1"/>
        </w:rPr>
        <w:t xml:space="preserve"> ne </w:t>
      </w:r>
      <w:proofErr w:type="spellStart"/>
      <w:r w:rsidRPr="005C4EB5">
        <w:rPr>
          <w:rFonts w:ascii="Times New Roman" w:hAnsi="Times New Roman"/>
          <w:color w:val="000000" w:themeColor="text1"/>
        </w:rPr>
        <w:t>anksčiau</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kaip</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likus</w:t>
      </w:r>
      <w:proofErr w:type="spellEnd"/>
      <w:r w:rsidRPr="005C4EB5">
        <w:rPr>
          <w:rFonts w:ascii="Times New Roman" w:hAnsi="Times New Roman"/>
          <w:color w:val="000000" w:themeColor="text1"/>
        </w:rPr>
        <w:t xml:space="preserve"> 10 </w:t>
      </w:r>
      <w:proofErr w:type="spellStart"/>
      <w:r w:rsidRPr="005C4EB5">
        <w:rPr>
          <w:rFonts w:ascii="Times New Roman" w:hAnsi="Times New Roman"/>
          <w:color w:val="000000" w:themeColor="text1"/>
        </w:rPr>
        <w:t>minučių</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iki</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paskirto</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Tyrimo</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laiko</w:t>
      </w:r>
      <w:proofErr w:type="spellEnd"/>
      <w:r w:rsidRPr="005C4EB5">
        <w:rPr>
          <w:rFonts w:ascii="Times New Roman" w:hAnsi="Times New Roman"/>
          <w:color w:val="000000" w:themeColor="text1"/>
        </w:rPr>
        <w:t xml:space="preserve">, o </w:t>
      </w:r>
      <w:proofErr w:type="spellStart"/>
      <w:r w:rsidRPr="005C4EB5">
        <w:rPr>
          <w:rFonts w:ascii="Times New Roman" w:hAnsi="Times New Roman"/>
          <w:color w:val="000000" w:themeColor="text1"/>
        </w:rPr>
        <w:t>atlikus</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Tyrimą</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nedelsiant</w:t>
      </w:r>
      <w:proofErr w:type="spellEnd"/>
      <w:r w:rsidRPr="005C4EB5">
        <w:rPr>
          <w:rFonts w:ascii="Times New Roman" w:hAnsi="Times New Roman"/>
          <w:color w:val="000000" w:themeColor="text1"/>
        </w:rPr>
        <w:t xml:space="preserve">, bet ne </w:t>
      </w:r>
      <w:proofErr w:type="spellStart"/>
      <w:r w:rsidRPr="005C4EB5">
        <w:rPr>
          <w:rFonts w:ascii="Times New Roman" w:hAnsi="Times New Roman"/>
          <w:color w:val="000000" w:themeColor="text1"/>
        </w:rPr>
        <w:t>vėliau</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kaip</w:t>
      </w:r>
      <w:proofErr w:type="spellEnd"/>
      <w:r w:rsidRPr="005C4EB5">
        <w:rPr>
          <w:rFonts w:ascii="Times New Roman" w:hAnsi="Times New Roman"/>
          <w:color w:val="000000" w:themeColor="text1"/>
        </w:rPr>
        <w:t xml:space="preserve"> per 5 minutes </w:t>
      </w:r>
      <w:proofErr w:type="spellStart"/>
      <w:r w:rsidRPr="005C4EB5">
        <w:rPr>
          <w:rFonts w:ascii="Times New Roman" w:hAnsi="Times New Roman"/>
          <w:color w:val="000000" w:themeColor="text1"/>
        </w:rPr>
        <w:t>po</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Tyrimo</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pabaigos</w:t>
      </w:r>
      <w:proofErr w:type="spellEnd"/>
      <w:r w:rsidRPr="005C4EB5">
        <w:rPr>
          <w:rFonts w:ascii="Times New Roman" w:hAnsi="Times New Roman"/>
          <w:color w:val="000000" w:themeColor="text1"/>
        </w:rPr>
        <w:t xml:space="preserve">, </w:t>
      </w:r>
      <w:proofErr w:type="spellStart"/>
      <w:r w:rsidRPr="005C4EB5">
        <w:rPr>
          <w:rFonts w:ascii="Times New Roman" w:hAnsi="Times New Roman"/>
          <w:color w:val="000000" w:themeColor="text1"/>
        </w:rPr>
        <w:t>išvyktų</w:t>
      </w:r>
      <w:proofErr w:type="spellEnd"/>
      <w:r w:rsidRPr="005C4EB5">
        <w:rPr>
          <w:rFonts w:ascii="Times New Roman" w:hAnsi="Times New Roman"/>
          <w:color w:val="000000" w:themeColor="text1"/>
        </w:rPr>
        <w:t>.</w:t>
      </w:r>
    </w:p>
    <w:p w14:paraId="6B9F55A8" w14:textId="77777777" w:rsidR="00D122C0" w:rsidRPr="005C4EB5" w:rsidRDefault="00D122C0" w:rsidP="00D122C0">
      <w:pPr>
        <w:pStyle w:val="Sraopastraipa"/>
        <w:numPr>
          <w:ilvl w:val="1"/>
          <w:numId w:val="43"/>
        </w:numPr>
        <w:jc w:val="both"/>
        <w:rPr>
          <w:color w:val="000000" w:themeColor="text1"/>
        </w:rPr>
      </w:pPr>
      <w:r w:rsidRPr="005C4EB5">
        <w:rPr>
          <w:rStyle w:val="Numatytasispastraiposriftas"/>
          <w:rFonts w:ascii="Times New Roman" w:hAnsi="Times New Roman"/>
          <w:color w:val="000000" w:themeColor="text1"/>
        </w:rPr>
        <w:t xml:space="preserve">Tiekėjas įsipareigoja leisti perkančiosios organizacijos atstovams užtikrinti bendrosios nejautros ir gyvybinių funkcijų palaikymą stacionare gydomiems pacientams, kuriems paslaugų teikimo metu tokia procedūra reikalinga. Apie tai perkančioji organizacija informuoja </w:t>
      </w:r>
      <w:r>
        <w:rPr>
          <w:rStyle w:val="Numatytasispastraiposriftas"/>
          <w:rFonts w:ascii="Times New Roman" w:hAnsi="Times New Roman"/>
          <w:color w:val="000000" w:themeColor="text1"/>
        </w:rPr>
        <w:t>Tiekėją</w:t>
      </w:r>
      <w:r w:rsidRPr="005C4EB5">
        <w:rPr>
          <w:rStyle w:val="Numatytasispastraiposriftas"/>
          <w:rFonts w:ascii="Times New Roman" w:hAnsi="Times New Roman"/>
          <w:color w:val="000000" w:themeColor="text1"/>
        </w:rPr>
        <w:t xml:space="preserve"> iš anksto. Bendrosios nejautros ir gyvybinių funkcijų palaikymą perkančiosios organizacijos atstovai organizuoja ir teikia savo jėgomis.</w:t>
      </w:r>
    </w:p>
    <w:p w14:paraId="5AA5EE03" w14:textId="77777777" w:rsidR="00D122C0" w:rsidRPr="005C4EB5" w:rsidRDefault="00D122C0" w:rsidP="00D122C0">
      <w:pPr>
        <w:pStyle w:val="Sraopastraipa"/>
        <w:numPr>
          <w:ilvl w:val="1"/>
          <w:numId w:val="43"/>
        </w:numPr>
        <w:jc w:val="both"/>
        <w:rPr>
          <w:rFonts w:ascii="Times New Roman" w:hAnsi="Times New Roman"/>
        </w:rPr>
      </w:pPr>
      <w:r w:rsidRPr="005C4EB5">
        <w:rPr>
          <w:rFonts w:ascii="Times New Roman" w:hAnsi="Times New Roman"/>
        </w:rPr>
        <w:lastRenderedPageBreak/>
        <w:t xml:space="preserve">Tiekėjas turi pateikti atliktų tyrimų – Magnetinio rezonanso tomografijos ir kompiuterinės tomografijos – gydytojo radiologo aprašymus.  Tyrimų atsakymai elektroninėje formoje gali būti siunčiami </w:t>
      </w:r>
      <w:r>
        <w:rPr>
          <w:rFonts w:ascii="Times New Roman" w:hAnsi="Times New Roman"/>
        </w:rPr>
        <w:t xml:space="preserve">perkančiajai organizacijai </w:t>
      </w:r>
      <w:r w:rsidRPr="005C4EB5">
        <w:rPr>
          <w:rFonts w:ascii="Times New Roman" w:hAnsi="Times New Roman"/>
        </w:rPr>
        <w:t>el. paštu, tačiau tokiu atveju atsakymai užšifruojami. Tyrimo aprašymas turi būti įkeltas į SVEIDRĄ bei pateikiamas tiriamajam USB laikmenoje.</w:t>
      </w:r>
    </w:p>
    <w:p w14:paraId="2AA8DD28" w14:textId="77777777" w:rsidR="00D122C0" w:rsidRPr="005C4EB5" w:rsidRDefault="00D122C0" w:rsidP="00D122C0">
      <w:pPr>
        <w:pStyle w:val="Sraopastraipa"/>
        <w:numPr>
          <w:ilvl w:val="1"/>
          <w:numId w:val="43"/>
        </w:numPr>
        <w:jc w:val="both"/>
        <w:rPr>
          <w:rFonts w:ascii="Times New Roman" w:hAnsi="Times New Roman"/>
        </w:rPr>
      </w:pPr>
      <w:r w:rsidRPr="005C4EB5">
        <w:rPr>
          <w:rFonts w:ascii="Times New Roman" w:hAnsi="Times New Roman"/>
        </w:rPr>
        <w:t>Tiekėjas privalo užtikrinti perduotų radiologinių vaizdų konfidencialumą, įstatymų numatyta tvarka. Perduoti radiologiniai vaizdai gali būti naudojami tik jų aprašymui, joks kitas jų panaudojimas ar perdavimas tretiesiems asmenims be raštiško paciento sutikimo yra neteisėtas. Lietuvos Respublikos įstatymų numatyta tvarka, radiologinių vaizdų ir aprašymų kopijos gali būti perduodamos tik teisėsaugos institucijoms pagal raštišką teisėtą jų reikalavimą. Šis konfidencialumo įsipareigojimas galioja neterminuotai, t. y. ir pasibaigus Sutarčiai.</w:t>
      </w:r>
    </w:p>
    <w:p w14:paraId="2B3908DF" w14:textId="77777777" w:rsidR="00D122C0" w:rsidRPr="005C4EB5" w:rsidRDefault="00D122C0" w:rsidP="00D122C0">
      <w:pPr>
        <w:pStyle w:val="prastasis"/>
        <w:ind w:left="142"/>
        <w:jc w:val="both"/>
        <w:rPr>
          <w:rFonts w:ascii="Times New Roman" w:hAnsi="Times New Roman"/>
        </w:rPr>
      </w:pPr>
      <w:r w:rsidRPr="005C4EB5">
        <w:rPr>
          <w:rFonts w:ascii="Times New Roman" w:hAnsi="Times New Roman"/>
        </w:rPr>
        <w:t>1.1</w:t>
      </w:r>
      <w:r>
        <w:rPr>
          <w:rFonts w:ascii="Times New Roman" w:hAnsi="Times New Roman"/>
        </w:rPr>
        <w:t>6</w:t>
      </w:r>
      <w:r w:rsidRPr="005C4EB5">
        <w:rPr>
          <w:rFonts w:ascii="Times New Roman" w:hAnsi="Times New Roman"/>
        </w:rPr>
        <w:t>.    Tiekėjas privalo užtikrinti gydytojo radiologo tyrimų aprašymą ESI (elektroninėje sveikatos istorijoje).</w:t>
      </w:r>
    </w:p>
    <w:p w14:paraId="46161579" w14:textId="77777777" w:rsidR="00D122C0" w:rsidRDefault="00D122C0" w:rsidP="00D122C0">
      <w:pPr>
        <w:pStyle w:val="prastasis"/>
        <w:ind w:left="851" w:hanging="709"/>
        <w:jc w:val="both"/>
        <w:rPr>
          <w:rFonts w:ascii="Times New Roman" w:hAnsi="Times New Roman"/>
        </w:rPr>
      </w:pPr>
      <w:r w:rsidRPr="005C4EB5">
        <w:rPr>
          <w:rFonts w:ascii="Times New Roman" w:hAnsi="Times New Roman"/>
        </w:rPr>
        <w:t>1.1</w:t>
      </w:r>
      <w:r>
        <w:rPr>
          <w:rFonts w:ascii="Times New Roman" w:hAnsi="Times New Roman"/>
        </w:rPr>
        <w:t>7</w:t>
      </w:r>
      <w:r w:rsidRPr="005C4EB5">
        <w:rPr>
          <w:rFonts w:ascii="Times New Roman" w:hAnsi="Times New Roman"/>
        </w:rPr>
        <w:t xml:space="preserve">.    Tiekėjas atsako už teikiamų paslaugų kokybę. Teikiamų paslaugų kokybė turi atitikti Lietuvos Respublikos sveikatos apsaugos ministro 2012 m. spalio 19 d. įsakyme Nr. V-944, 2017 m. liepos 20 d. įsakyme V-890  „Dėl </w:t>
      </w:r>
      <w:proofErr w:type="spellStart"/>
      <w:r w:rsidRPr="005C4EB5">
        <w:rPr>
          <w:rFonts w:ascii="Times New Roman" w:hAnsi="Times New Roman"/>
        </w:rPr>
        <w:t>Teleradiologijos</w:t>
      </w:r>
      <w:proofErr w:type="spellEnd"/>
      <w:r w:rsidRPr="005C4EB5">
        <w:rPr>
          <w:rFonts w:ascii="Times New Roman" w:hAnsi="Times New Roman"/>
        </w:rPr>
        <w:t xml:space="preserve"> paslaugų teikimo ir jų išlaidų apmokėjimo Privalomojo sveikatos draudimo fondo biudžeto lėšomis tvarkos aprašo patvirtinimo“ (toliau – Įsakymas) bei kituose teisės aktuose nustatytus reikalavimus. Tiekėjas privalo užtikrinti atitiktį Įsakymo bei Lietuvos Respublikos sveikatos apsaugos ministro 2004 m. gegužės 14 d. įsakyme Nr. V-364 „Dėl licencijuojamų asmens sveikatos priežiūros paslaugų sąrašų patvirtinimo“ nustatytiems kriterijams.</w:t>
      </w:r>
    </w:p>
    <w:p w14:paraId="5842A137" w14:textId="77777777" w:rsidR="00D122C0" w:rsidRDefault="00D122C0" w:rsidP="00D122C0">
      <w:pPr>
        <w:pStyle w:val="prastasis"/>
        <w:ind w:left="142"/>
        <w:jc w:val="both"/>
        <w:rPr>
          <w:rFonts w:ascii="Times New Roman" w:hAnsi="Times New Roman"/>
        </w:rPr>
      </w:pPr>
    </w:p>
    <w:p w14:paraId="0F2FA827" w14:textId="77777777" w:rsidR="00D122C0" w:rsidRDefault="00D122C0" w:rsidP="00D122C0">
      <w:pPr>
        <w:pStyle w:val="prastasis"/>
        <w:ind w:left="-709"/>
        <w:jc w:val="both"/>
        <w:rPr>
          <w:rFonts w:ascii="Times New Roman" w:hAnsi="Times New Roman"/>
        </w:rPr>
      </w:pPr>
    </w:p>
    <w:p w14:paraId="3B9CFFAB" w14:textId="25B13F39" w:rsidR="0018021B" w:rsidRPr="007B004A" w:rsidRDefault="0018021B" w:rsidP="00D91AF8">
      <w:pPr>
        <w:spacing w:before="60" w:after="60" w:line="240" w:lineRule="auto"/>
        <w:rPr>
          <w:rFonts w:ascii="Calibri Light" w:hAnsi="Calibri Light" w:cs="Calibri Light"/>
          <w:b/>
          <w:sz w:val="20"/>
          <w:szCs w:val="20"/>
          <w:lang w:val="lt-LT"/>
        </w:rPr>
      </w:pPr>
    </w:p>
    <w:sectPr w:rsidR="0018021B" w:rsidRPr="007B004A" w:rsidSect="008A4860">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C5016" w14:textId="77777777" w:rsidR="00DF4C49" w:rsidRDefault="00DF4C49">
      <w:pPr>
        <w:spacing w:after="0" w:line="240" w:lineRule="auto"/>
      </w:pPr>
      <w:r>
        <w:separator/>
      </w:r>
    </w:p>
  </w:endnote>
  <w:endnote w:type="continuationSeparator" w:id="0">
    <w:p w14:paraId="3152562A" w14:textId="77777777" w:rsidR="00DF4C49" w:rsidRDefault="00DF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7D262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7D262F">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00E13" w14:textId="77777777" w:rsidR="00DF4C49" w:rsidRDefault="00DF4C49">
      <w:pPr>
        <w:spacing w:after="0" w:line="240" w:lineRule="auto"/>
      </w:pPr>
      <w:r>
        <w:separator/>
      </w:r>
    </w:p>
  </w:footnote>
  <w:footnote w:type="continuationSeparator" w:id="0">
    <w:p w14:paraId="77027759" w14:textId="77777777" w:rsidR="00DF4C49" w:rsidRDefault="00DF4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0403914B" w:rsidR="00CC5562" w:rsidRPr="00F946E3" w:rsidRDefault="005B5436"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00CC5562"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9923D6C"/>
    <w:multiLevelType w:val="multilevel"/>
    <w:tmpl w:val="4D1CA344"/>
    <w:lvl w:ilvl="0">
      <w:start w:val="1"/>
      <w:numFmt w:val="decimal"/>
      <w:lvlText w:val="%1."/>
      <w:lvlJc w:val="left"/>
      <w:pPr>
        <w:ind w:left="620" w:hanging="620"/>
      </w:pPr>
      <w:rPr>
        <w:rFonts w:hint="default"/>
      </w:rPr>
    </w:lvl>
    <w:lvl w:ilvl="1">
      <w:start w:val="12"/>
      <w:numFmt w:val="decimal"/>
      <w:lvlText w:val="%1.%2."/>
      <w:lvlJc w:val="left"/>
      <w:pPr>
        <w:ind w:left="970" w:hanging="620"/>
      </w:pPr>
      <w:rPr>
        <w:rFonts w:hint="default"/>
      </w:rPr>
    </w:lvl>
    <w:lvl w:ilvl="2">
      <w:start w:val="6"/>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2886B0C"/>
    <w:multiLevelType w:val="multilevel"/>
    <w:tmpl w:val="187EF25E"/>
    <w:lvl w:ilvl="0">
      <w:start w:val="1"/>
      <w:numFmt w:val="decimal"/>
      <w:lvlText w:val="%1."/>
      <w:lvlJc w:val="left"/>
      <w:pPr>
        <w:ind w:left="550" w:hanging="550"/>
      </w:pPr>
      <w:rPr>
        <w:rFonts w:hint="default"/>
      </w:rPr>
    </w:lvl>
    <w:lvl w:ilvl="1">
      <w:start w:val="13"/>
      <w:numFmt w:val="decimal"/>
      <w:lvlText w:val="%1.%2."/>
      <w:lvlJc w:val="left"/>
      <w:pPr>
        <w:ind w:left="900" w:hanging="550"/>
      </w:pPr>
      <w:rPr>
        <w:rFonts w:hint="default"/>
      </w:rPr>
    </w:lvl>
    <w:lvl w:ilvl="2">
      <w:start w:val="6"/>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180" w:hanging="108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240" w:hanging="1440"/>
      </w:pPr>
      <w:rPr>
        <w:rFont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EF2B04"/>
    <w:multiLevelType w:val="multilevel"/>
    <w:tmpl w:val="C3CE4566"/>
    <w:lvl w:ilvl="0">
      <w:start w:val="1"/>
      <w:numFmt w:val="decimal"/>
      <w:lvlText w:val="%1."/>
      <w:lvlJc w:val="left"/>
      <w:pPr>
        <w:ind w:left="405" w:hanging="405"/>
      </w:pPr>
    </w:lvl>
    <w:lvl w:ilvl="1">
      <w:start w:val="1"/>
      <w:numFmt w:val="decimal"/>
      <w:lvlText w:val="%1.%2."/>
      <w:lvlJc w:val="left"/>
      <w:pPr>
        <w:ind w:left="86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22"/>
  </w:num>
  <w:num w:numId="8">
    <w:abstractNumId w:val="18"/>
  </w:num>
  <w:num w:numId="9">
    <w:abstractNumId w:val="24"/>
  </w:num>
  <w:num w:numId="10">
    <w:abstractNumId w:val="9"/>
  </w:num>
  <w:num w:numId="11">
    <w:abstractNumId w:val="28"/>
  </w:num>
  <w:num w:numId="12">
    <w:abstractNumId w:val="10"/>
  </w:num>
  <w:num w:numId="13">
    <w:abstractNumId w:val="35"/>
  </w:num>
  <w:num w:numId="14">
    <w:abstractNumId w:val="19"/>
  </w:num>
  <w:num w:numId="15">
    <w:abstractNumId w:val="41"/>
  </w:num>
  <w:num w:numId="16">
    <w:abstractNumId w:val="15"/>
  </w:num>
  <w:num w:numId="17">
    <w:abstractNumId w:val="32"/>
  </w:num>
  <w:num w:numId="18">
    <w:abstractNumId w:val="25"/>
  </w:num>
  <w:num w:numId="19">
    <w:abstractNumId w:val="21"/>
  </w:num>
  <w:num w:numId="20">
    <w:abstractNumId w:val="27"/>
  </w:num>
  <w:num w:numId="21">
    <w:abstractNumId w:val="36"/>
  </w:num>
  <w:num w:numId="22">
    <w:abstractNumId w:val="39"/>
  </w:num>
  <w:num w:numId="23">
    <w:abstractNumId w:val="11"/>
  </w:num>
  <w:num w:numId="24">
    <w:abstractNumId w:val="34"/>
  </w:num>
  <w:num w:numId="25">
    <w:abstractNumId w:val="12"/>
  </w:num>
  <w:num w:numId="26">
    <w:abstractNumId w:val="29"/>
  </w:num>
  <w:num w:numId="27">
    <w:abstractNumId w:val="42"/>
  </w:num>
  <w:num w:numId="28">
    <w:abstractNumId w:val="8"/>
  </w:num>
  <w:num w:numId="29">
    <w:abstractNumId w:val="20"/>
  </w:num>
  <w:num w:numId="30">
    <w:abstractNumId w:val="43"/>
  </w:num>
  <w:num w:numId="31">
    <w:abstractNumId w:val="30"/>
  </w:num>
  <w:num w:numId="32">
    <w:abstractNumId w:val="6"/>
  </w:num>
  <w:num w:numId="33">
    <w:abstractNumId w:val="37"/>
  </w:num>
  <w:num w:numId="34">
    <w:abstractNumId w:val="7"/>
  </w:num>
  <w:num w:numId="35">
    <w:abstractNumId w:val="26"/>
  </w:num>
  <w:num w:numId="36">
    <w:abstractNumId w:val="40"/>
  </w:num>
  <w:num w:numId="37">
    <w:abstractNumId w:val="17"/>
  </w:num>
  <w:num w:numId="38">
    <w:abstractNumId w:val="31"/>
  </w:num>
  <w:num w:numId="39">
    <w:abstractNumId w:val="23"/>
  </w:num>
  <w:num w:numId="40">
    <w:abstractNumId w:val="38"/>
  </w:num>
  <w:num w:numId="41">
    <w:abstractNumId w:val="33"/>
  </w:num>
  <w:num w:numId="42">
    <w:abstractNumId w:val="33"/>
    <w:lvlOverride w:ilvl="0">
      <w:startOverride w:val="1"/>
    </w:lvlOverride>
    <w:lvlOverride w:ilvl="1">
      <w:startOverride w:val="1"/>
    </w:lvlOverride>
  </w:num>
  <w:num w:numId="43">
    <w:abstractNumId w:val="16"/>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A76D6"/>
    <w:rsid w:val="000B0A6A"/>
    <w:rsid w:val="000C1A17"/>
    <w:rsid w:val="000D5A99"/>
    <w:rsid w:val="000F554D"/>
    <w:rsid w:val="00107D65"/>
    <w:rsid w:val="00137432"/>
    <w:rsid w:val="0014465A"/>
    <w:rsid w:val="0015224A"/>
    <w:rsid w:val="00153F22"/>
    <w:rsid w:val="001555AC"/>
    <w:rsid w:val="001565FD"/>
    <w:rsid w:val="0016225E"/>
    <w:rsid w:val="0016304D"/>
    <w:rsid w:val="00165468"/>
    <w:rsid w:val="00165519"/>
    <w:rsid w:val="00171C82"/>
    <w:rsid w:val="0018021B"/>
    <w:rsid w:val="001C29D9"/>
    <w:rsid w:val="001E035E"/>
    <w:rsid w:val="001E72B5"/>
    <w:rsid w:val="001F3F23"/>
    <w:rsid w:val="0020401E"/>
    <w:rsid w:val="002101D9"/>
    <w:rsid w:val="00216CC3"/>
    <w:rsid w:val="002304E4"/>
    <w:rsid w:val="00230C9A"/>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D4D03"/>
    <w:rsid w:val="002F1836"/>
    <w:rsid w:val="003150D0"/>
    <w:rsid w:val="003236D0"/>
    <w:rsid w:val="00323BBA"/>
    <w:rsid w:val="00334A5F"/>
    <w:rsid w:val="00341C69"/>
    <w:rsid w:val="00355850"/>
    <w:rsid w:val="00355B56"/>
    <w:rsid w:val="00356312"/>
    <w:rsid w:val="00357BD5"/>
    <w:rsid w:val="003673D6"/>
    <w:rsid w:val="00385616"/>
    <w:rsid w:val="0039787C"/>
    <w:rsid w:val="003B0B81"/>
    <w:rsid w:val="003B7395"/>
    <w:rsid w:val="003C2849"/>
    <w:rsid w:val="003C3626"/>
    <w:rsid w:val="003D0DA8"/>
    <w:rsid w:val="003D3BE3"/>
    <w:rsid w:val="003D5439"/>
    <w:rsid w:val="003E3438"/>
    <w:rsid w:val="003F2E3F"/>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84613"/>
    <w:rsid w:val="004A2E21"/>
    <w:rsid w:val="004A2F52"/>
    <w:rsid w:val="004B7CF6"/>
    <w:rsid w:val="004C1BD0"/>
    <w:rsid w:val="004D238B"/>
    <w:rsid w:val="004E2DBF"/>
    <w:rsid w:val="004E5655"/>
    <w:rsid w:val="004F1729"/>
    <w:rsid w:val="004F4B43"/>
    <w:rsid w:val="004F690D"/>
    <w:rsid w:val="004F7C2A"/>
    <w:rsid w:val="0050743B"/>
    <w:rsid w:val="0051322B"/>
    <w:rsid w:val="005238FE"/>
    <w:rsid w:val="00547246"/>
    <w:rsid w:val="00586FA3"/>
    <w:rsid w:val="005907B7"/>
    <w:rsid w:val="005A210F"/>
    <w:rsid w:val="005B5436"/>
    <w:rsid w:val="005B681B"/>
    <w:rsid w:val="005C2621"/>
    <w:rsid w:val="005C3338"/>
    <w:rsid w:val="005C5732"/>
    <w:rsid w:val="005D6336"/>
    <w:rsid w:val="005F5F35"/>
    <w:rsid w:val="006040B7"/>
    <w:rsid w:val="006171F1"/>
    <w:rsid w:val="0062594A"/>
    <w:rsid w:val="0062688A"/>
    <w:rsid w:val="0063093F"/>
    <w:rsid w:val="00671C08"/>
    <w:rsid w:val="006932F3"/>
    <w:rsid w:val="006A2DF1"/>
    <w:rsid w:val="006B2576"/>
    <w:rsid w:val="006B5389"/>
    <w:rsid w:val="006C070D"/>
    <w:rsid w:val="006C5749"/>
    <w:rsid w:val="006D305F"/>
    <w:rsid w:val="006E0547"/>
    <w:rsid w:val="006F599E"/>
    <w:rsid w:val="00711888"/>
    <w:rsid w:val="00733BB8"/>
    <w:rsid w:val="00755EFD"/>
    <w:rsid w:val="007607FF"/>
    <w:rsid w:val="007651CB"/>
    <w:rsid w:val="0078742F"/>
    <w:rsid w:val="00791CCE"/>
    <w:rsid w:val="00795452"/>
    <w:rsid w:val="007B004A"/>
    <w:rsid w:val="007B2144"/>
    <w:rsid w:val="007C1EB6"/>
    <w:rsid w:val="007C63FE"/>
    <w:rsid w:val="007C6AE7"/>
    <w:rsid w:val="007D262F"/>
    <w:rsid w:val="007D484D"/>
    <w:rsid w:val="007E19FD"/>
    <w:rsid w:val="007E41FC"/>
    <w:rsid w:val="007F5C74"/>
    <w:rsid w:val="00801195"/>
    <w:rsid w:val="00820FF6"/>
    <w:rsid w:val="008329FD"/>
    <w:rsid w:val="00834941"/>
    <w:rsid w:val="008430BA"/>
    <w:rsid w:val="00861471"/>
    <w:rsid w:val="00862EA0"/>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9003E6"/>
    <w:rsid w:val="009123C2"/>
    <w:rsid w:val="0095386F"/>
    <w:rsid w:val="00957A69"/>
    <w:rsid w:val="00966D81"/>
    <w:rsid w:val="00974023"/>
    <w:rsid w:val="0098678C"/>
    <w:rsid w:val="0099199E"/>
    <w:rsid w:val="0099266F"/>
    <w:rsid w:val="00993F3E"/>
    <w:rsid w:val="009B26D3"/>
    <w:rsid w:val="009C1CD8"/>
    <w:rsid w:val="009C3BD8"/>
    <w:rsid w:val="009D0B8C"/>
    <w:rsid w:val="009E042E"/>
    <w:rsid w:val="009F47E6"/>
    <w:rsid w:val="009F6EAF"/>
    <w:rsid w:val="00A1109D"/>
    <w:rsid w:val="00A12041"/>
    <w:rsid w:val="00A122D6"/>
    <w:rsid w:val="00A25093"/>
    <w:rsid w:val="00A33D41"/>
    <w:rsid w:val="00A34BF3"/>
    <w:rsid w:val="00A37389"/>
    <w:rsid w:val="00A5617A"/>
    <w:rsid w:val="00A660A0"/>
    <w:rsid w:val="00A72069"/>
    <w:rsid w:val="00A76407"/>
    <w:rsid w:val="00A90AB3"/>
    <w:rsid w:val="00A91815"/>
    <w:rsid w:val="00A9338B"/>
    <w:rsid w:val="00AA01C0"/>
    <w:rsid w:val="00AB2361"/>
    <w:rsid w:val="00AB30EB"/>
    <w:rsid w:val="00AD0B84"/>
    <w:rsid w:val="00AF70F0"/>
    <w:rsid w:val="00B00BCD"/>
    <w:rsid w:val="00B065CB"/>
    <w:rsid w:val="00B1115A"/>
    <w:rsid w:val="00B20BFE"/>
    <w:rsid w:val="00B2421F"/>
    <w:rsid w:val="00B31DA4"/>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765C9"/>
    <w:rsid w:val="00C80BC3"/>
    <w:rsid w:val="00C810E9"/>
    <w:rsid w:val="00C86FB6"/>
    <w:rsid w:val="00C92CAA"/>
    <w:rsid w:val="00C9514E"/>
    <w:rsid w:val="00CA0892"/>
    <w:rsid w:val="00CB4069"/>
    <w:rsid w:val="00CC0F45"/>
    <w:rsid w:val="00CC5562"/>
    <w:rsid w:val="00CD0DE0"/>
    <w:rsid w:val="00CD0E31"/>
    <w:rsid w:val="00CD184D"/>
    <w:rsid w:val="00CD4779"/>
    <w:rsid w:val="00D0377C"/>
    <w:rsid w:val="00D04F42"/>
    <w:rsid w:val="00D122C0"/>
    <w:rsid w:val="00D1317D"/>
    <w:rsid w:val="00D162B5"/>
    <w:rsid w:val="00D2233A"/>
    <w:rsid w:val="00D23D84"/>
    <w:rsid w:val="00D25C2F"/>
    <w:rsid w:val="00D36319"/>
    <w:rsid w:val="00D42EEC"/>
    <w:rsid w:val="00D62C94"/>
    <w:rsid w:val="00D91AF8"/>
    <w:rsid w:val="00D92A1E"/>
    <w:rsid w:val="00DA4674"/>
    <w:rsid w:val="00DB087F"/>
    <w:rsid w:val="00DB2CC7"/>
    <w:rsid w:val="00DB6CBD"/>
    <w:rsid w:val="00DB76BF"/>
    <w:rsid w:val="00DB7DFF"/>
    <w:rsid w:val="00DC06DE"/>
    <w:rsid w:val="00DC157F"/>
    <w:rsid w:val="00DC4FBD"/>
    <w:rsid w:val="00DD2695"/>
    <w:rsid w:val="00DF2B47"/>
    <w:rsid w:val="00DF4C49"/>
    <w:rsid w:val="00E05259"/>
    <w:rsid w:val="00E066C9"/>
    <w:rsid w:val="00E14620"/>
    <w:rsid w:val="00E20E5D"/>
    <w:rsid w:val="00E241BC"/>
    <w:rsid w:val="00E2482E"/>
    <w:rsid w:val="00E25BB1"/>
    <w:rsid w:val="00E322C4"/>
    <w:rsid w:val="00E35014"/>
    <w:rsid w:val="00E37313"/>
    <w:rsid w:val="00E81687"/>
    <w:rsid w:val="00E83E6A"/>
    <w:rsid w:val="00EA0899"/>
    <w:rsid w:val="00ED039A"/>
    <w:rsid w:val="00ED793B"/>
    <w:rsid w:val="00EE5536"/>
    <w:rsid w:val="00EF116A"/>
    <w:rsid w:val="00EF3813"/>
    <w:rsid w:val="00F048F2"/>
    <w:rsid w:val="00F13CD3"/>
    <w:rsid w:val="00F22BDF"/>
    <w:rsid w:val="00F268B6"/>
    <w:rsid w:val="00F341F5"/>
    <w:rsid w:val="00F372C9"/>
    <w:rsid w:val="00F377FE"/>
    <w:rsid w:val="00F4255E"/>
    <w:rsid w:val="00F467F9"/>
    <w:rsid w:val="00F5081D"/>
    <w:rsid w:val="00F57DDF"/>
    <w:rsid w:val="00F63E39"/>
    <w:rsid w:val="00F64268"/>
    <w:rsid w:val="00F676C2"/>
    <w:rsid w:val="00F946E3"/>
    <w:rsid w:val="00FA44AF"/>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prastasis">
    <w:name w:val="Įprastasis"/>
    <w:rsid w:val="00D122C0"/>
    <w:pPr>
      <w:suppressAutoHyphens/>
      <w:autoSpaceDN w:val="0"/>
      <w:spacing w:line="240" w:lineRule="auto"/>
      <w:jc w:val="left"/>
      <w:textAlignment w:val="baseline"/>
    </w:pPr>
    <w:rPr>
      <w:rFonts w:ascii="Calibri" w:eastAsia="Calibri" w:hAnsi="Calibri" w:cs="Times New Roman"/>
      <w:kern w:val="3"/>
      <w:lang w:val="lt-LT"/>
    </w:rPr>
  </w:style>
  <w:style w:type="character" w:customStyle="1" w:styleId="Numatytasispastraiposriftas">
    <w:name w:val="Numatytasis pastraipos šriftas"/>
    <w:rsid w:val="00D122C0"/>
  </w:style>
  <w:style w:type="paragraph" w:customStyle="1" w:styleId="Sraopastraipa">
    <w:name w:val="Sąrašo pastraipa"/>
    <w:basedOn w:val="prastasis"/>
    <w:rsid w:val="00D122C0"/>
    <w:pPr>
      <w:ind w:left="720"/>
    </w:pPr>
  </w:style>
  <w:style w:type="paragraph" w:customStyle="1" w:styleId="prastasis1">
    <w:name w:val="Įprastasis1"/>
    <w:rsid w:val="00D122C0"/>
    <w:pPr>
      <w:suppressAutoHyphens/>
      <w:autoSpaceDN w:val="0"/>
      <w:spacing w:line="244" w:lineRule="auto"/>
      <w:jc w:val="left"/>
      <w:textAlignment w:val="baseline"/>
    </w:pPr>
    <w:rPr>
      <w:rFonts w:ascii="Calibri" w:eastAsia="Calibri" w:hAnsi="Calibri" w:cs="Times New Roman"/>
      <w:kern w:val="3"/>
      <w:lang w:val="lt-LT"/>
    </w:rPr>
  </w:style>
  <w:style w:type="character" w:customStyle="1" w:styleId="normal-h">
    <w:name w:val="normal-h"/>
    <w:uiPriority w:val="99"/>
    <w:rsid w:val="00D122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E0D5390D-F285-4FEF-AD9B-C2A50B09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274</TotalTime>
  <Pages>1</Pages>
  <Words>3694</Words>
  <Characters>2106</Characters>
  <Application>Microsoft Office Word</Application>
  <DocSecurity>0</DocSecurity>
  <Lines>17</Lines>
  <Paragraphs>11</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Dalia Vienažindytė</cp:lastModifiedBy>
  <cp:revision>39</cp:revision>
  <cp:lastPrinted>2021-01-19T12:06:00Z</cp:lastPrinted>
  <dcterms:created xsi:type="dcterms:W3CDTF">2023-01-03T07:26:00Z</dcterms:created>
  <dcterms:modified xsi:type="dcterms:W3CDTF">2025-10-03T15:21:00Z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