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FBB99" w14:textId="12E7CB90" w:rsidR="00EF6A87" w:rsidRPr="005E2F09" w:rsidRDefault="002057CD" w:rsidP="00EF6A87">
      <w:pPr>
        <w:spacing w:line="240" w:lineRule="auto"/>
        <w:jc w:val="center"/>
        <w:outlineLvl w:val="8"/>
        <w:rPr>
          <w:rFonts w:eastAsia="Times New Roman" w:cs="Tahoma"/>
          <w:b/>
        </w:rPr>
      </w:pPr>
      <w:r>
        <w:rPr>
          <w:rFonts w:eastAsia="Times New Roman" w:cs="Tahoma"/>
          <w:b/>
        </w:rPr>
        <w:t xml:space="preserve">MEDICININIŲ VAIZDŲ </w:t>
      </w:r>
      <w:r w:rsidR="00EF6A87" w:rsidRPr="005E2F09">
        <w:rPr>
          <w:rFonts w:eastAsia="Times New Roman" w:cs="Tahoma"/>
          <w:b/>
        </w:rPr>
        <w:t>DUOMENŲ SAUGYKL</w:t>
      </w:r>
      <w:r w:rsidR="00744038">
        <w:rPr>
          <w:rFonts w:eastAsia="Times New Roman" w:cs="Tahoma"/>
          <w:b/>
        </w:rPr>
        <w:t xml:space="preserve">Ų </w:t>
      </w:r>
      <w:r w:rsidR="003863EA">
        <w:rPr>
          <w:rFonts w:eastAsia="Times New Roman" w:cs="Tahoma"/>
          <w:b/>
        </w:rPr>
        <w:t xml:space="preserve">PIRKIMO </w:t>
      </w:r>
      <w:r w:rsidR="003863EA" w:rsidRPr="36D06DE9">
        <w:rPr>
          <w:rFonts w:cs="Tahoma"/>
          <w:b/>
          <w:bCs/>
        </w:rPr>
        <w:t>TECHNINĖ SPECIFIKACIJA</w:t>
      </w:r>
      <w:r w:rsidR="003863EA" w:rsidRPr="005E2F09" w:rsidDel="00744038">
        <w:rPr>
          <w:rFonts w:eastAsia="Times New Roman" w:cs="Tahoma"/>
          <w:b/>
        </w:rPr>
        <w:t xml:space="preserve"> </w:t>
      </w:r>
    </w:p>
    <w:p w14:paraId="4D6CA9AF" w14:textId="77777777" w:rsidR="00EF6A87" w:rsidRPr="005E2F09" w:rsidRDefault="00EF6A87" w:rsidP="00EF6A87">
      <w:pPr>
        <w:jc w:val="center"/>
        <w:rPr>
          <w:rFonts w:cs="Tahoma"/>
        </w:rPr>
      </w:pPr>
    </w:p>
    <w:p w14:paraId="5CB674E4" w14:textId="77777777" w:rsidR="00EF6A87" w:rsidRPr="005E2F09" w:rsidRDefault="00EF6A87" w:rsidP="00EF6A87">
      <w:pPr>
        <w:keepNext/>
        <w:numPr>
          <w:ilvl w:val="0"/>
          <w:numId w:val="1"/>
        </w:numPr>
        <w:tabs>
          <w:tab w:val="left" w:pos="709"/>
        </w:tabs>
        <w:spacing w:line="240" w:lineRule="auto"/>
        <w:contextualSpacing/>
        <w:jc w:val="center"/>
        <w:outlineLvl w:val="7"/>
        <w:rPr>
          <w:rFonts w:cs="Tahoma"/>
          <w:b/>
          <w:bCs/>
        </w:rPr>
      </w:pPr>
      <w:r w:rsidRPr="005E2F09">
        <w:rPr>
          <w:rFonts w:cs="Tahoma"/>
          <w:b/>
          <w:bCs/>
        </w:rPr>
        <w:t>BENDRIEJI REIKALAVIMAI</w:t>
      </w:r>
    </w:p>
    <w:p w14:paraId="5EAF3242" w14:textId="77777777" w:rsidR="00EF6A87" w:rsidRPr="005E2F09" w:rsidRDefault="00EF6A87" w:rsidP="00EF6A87">
      <w:pPr>
        <w:spacing w:line="240" w:lineRule="auto"/>
        <w:rPr>
          <w:rFonts w:cs="Tahoma"/>
        </w:rPr>
      </w:pPr>
    </w:p>
    <w:p w14:paraId="0227E93E" w14:textId="6272D79E" w:rsidR="00EF6A87" w:rsidRPr="005E2F09" w:rsidRDefault="00EF6A87" w:rsidP="00EF6A87">
      <w:pPr>
        <w:pStyle w:val="ListParagraph"/>
        <w:numPr>
          <w:ilvl w:val="0"/>
          <w:numId w:val="2"/>
        </w:numPr>
        <w:spacing w:line="240" w:lineRule="auto"/>
        <w:ind w:left="0" w:firstLine="709"/>
        <w:jc w:val="both"/>
        <w:rPr>
          <w:rFonts w:cs="Tahoma"/>
        </w:rPr>
      </w:pPr>
      <w:r w:rsidRPr="005E2F09">
        <w:rPr>
          <w:rFonts w:cs="Tahoma"/>
        </w:rPr>
        <w:t>Valstybės įmonė Registrų centras (toliau – perkančioji organizacija) numato pirkti</w:t>
      </w:r>
      <w:r w:rsidRPr="005E2F09">
        <w:rPr>
          <w:rFonts w:cs="Tahoma"/>
        </w:rPr>
        <w:br/>
      </w:r>
      <w:r w:rsidRPr="005E2F09">
        <w:rPr>
          <w:rFonts w:cs="Tahoma"/>
          <w:b/>
          <w:bCs/>
        </w:rPr>
        <w:t>2</w:t>
      </w:r>
      <w:r w:rsidRPr="005E2F09">
        <w:rPr>
          <w:rFonts w:cs="Tahoma"/>
        </w:rPr>
        <w:t xml:space="preserve"> (dvi) unifikuotas (objektines ir NAS)</w:t>
      </w:r>
      <w:r w:rsidR="00FC2EB6" w:rsidRPr="005E2F09">
        <w:rPr>
          <w:rFonts w:cs="Tahoma"/>
        </w:rPr>
        <w:t xml:space="preserve"> hibridines (su skirtingų tipų/greitaveikos diskais)</w:t>
      </w:r>
      <w:r w:rsidRPr="005E2F09">
        <w:rPr>
          <w:rFonts w:cs="Tahoma"/>
        </w:rPr>
        <w:t xml:space="preserve"> duomenų saugyklas į 2 (du) duomenų centrus ir jų konfigūravimo paslaugas su </w:t>
      </w:r>
      <w:r w:rsidRPr="005E2F09">
        <w:rPr>
          <w:rFonts w:cs="Tahoma"/>
          <w:b/>
          <w:bCs/>
        </w:rPr>
        <w:t>5</w:t>
      </w:r>
      <w:r w:rsidRPr="005E2F09">
        <w:rPr>
          <w:rFonts w:cs="Tahoma"/>
        </w:rPr>
        <w:t xml:space="preserve"> metų garantine technine priežiūra (toliau – </w:t>
      </w:r>
      <w:r w:rsidR="00EE51BA" w:rsidRPr="005E2F09">
        <w:rPr>
          <w:rFonts w:cs="Tahoma"/>
        </w:rPr>
        <w:t>Unifikuotos hibridinės duomenų saugyklos</w:t>
      </w:r>
      <w:r w:rsidR="00C8644F" w:rsidRPr="005E2F09">
        <w:rPr>
          <w:rFonts w:cs="Tahoma"/>
        </w:rPr>
        <w:t xml:space="preserve"> </w:t>
      </w:r>
      <w:r w:rsidRPr="005E2F09">
        <w:rPr>
          <w:rFonts w:cs="Tahoma"/>
        </w:rPr>
        <w:t xml:space="preserve">ir su </w:t>
      </w:r>
      <w:r w:rsidR="00C8644F" w:rsidRPr="005E2F09">
        <w:rPr>
          <w:rFonts w:cs="Tahoma"/>
        </w:rPr>
        <w:t>j</w:t>
      </w:r>
      <w:r w:rsidR="00C8644F">
        <w:rPr>
          <w:rFonts w:cs="Tahoma"/>
        </w:rPr>
        <w:t>omis</w:t>
      </w:r>
      <w:r w:rsidR="00C8644F" w:rsidRPr="005E2F09">
        <w:rPr>
          <w:rFonts w:cs="Tahoma"/>
        </w:rPr>
        <w:t xml:space="preserve"> </w:t>
      </w:r>
      <w:r w:rsidRPr="005E2F09">
        <w:rPr>
          <w:rFonts w:cs="Tahoma"/>
        </w:rPr>
        <w:t>susijusios paslaugos).</w:t>
      </w:r>
    </w:p>
    <w:p w14:paraId="502BAC24" w14:textId="23C68CDE" w:rsidR="00EF6A87" w:rsidRPr="005E2F09" w:rsidRDefault="00EF6A87" w:rsidP="00EF6A87">
      <w:pPr>
        <w:pStyle w:val="ListParagraph"/>
        <w:numPr>
          <w:ilvl w:val="0"/>
          <w:numId w:val="2"/>
        </w:numPr>
        <w:spacing w:line="240" w:lineRule="auto"/>
        <w:ind w:left="0" w:firstLine="709"/>
        <w:jc w:val="both"/>
        <w:rPr>
          <w:rFonts w:cs="Tahoma"/>
        </w:rPr>
      </w:pPr>
      <w:r w:rsidRPr="39EBFBCC">
        <w:rPr>
          <w:rFonts w:cs="Tahoma"/>
        </w:rPr>
        <w:t xml:space="preserve">Unifikuotos </w:t>
      </w:r>
      <w:r w:rsidR="00FC2EB6" w:rsidRPr="39EBFBCC">
        <w:rPr>
          <w:rFonts w:cs="Tahoma"/>
        </w:rPr>
        <w:t xml:space="preserve">hibridinės </w:t>
      </w:r>
      <w:r w:rsidRPr="39EBFBCC">
        <w:rPr>
          <w:rFonts w:cs="Tahoma"/>
        </w:rPr>
        <w:t xml:space="preserve">duomenų saugyklos kiekvienam duomenų centrui turi būti pateiktos kartu su visa reikalinga įranga: montavimo į serverines spintas komponentais, jungiamaisiais laidais ir kitais komponentais, kurie sudarytų vientisą sprendimą ir užtikrintų unifikuotų duomenų saugyklų architektūrinę atitiktį gamintojo reikalavimams (toliau – Sprendimas). </w:t>
      </w:r>
    </w:p>
    <w:p w14:paraId="3677B8E6" w14:textId="6A15D17E" w:rsidR="00EF6A87" w:rsidRPr="005E2F09" w:rsidRDefault="00EF6A87" w:rsidP="00EF6A87">
      <w:pPr>
        <w:jc w:val="both"/>
        <w:rPr>
          <w:rFonts w:cs="Tahoma"/>
        </w:rPr>
      </w:pPr>
      <w:r w:rsidRPr="39EBFBCC">
        <w:rPr>
          <w:rFonts w:cs="Tahoma"/>
          <w:b/>
          <w:bCs/>
        </w:rPr>
        <w:t>Pastaba.</w:t>
      </w:r>
      <w:r w:rsidRPr="39EBFBCC">
        <w:rPr>
          <w:rFonts w:cs="Tahoma"/>
        </w:rPr>
        <w:t xml:space="preserve"> Jei siūlomam Sprendimui reikalingi balansavimo įrenginiai, tinklo komutatoriai ar kiti komponentai, jie turi būti pateikti su tokia pačia garantija ir tokiais pačiais įsipareigojimais kaip ir siūlomas Sprendimas. Siūloma įranga turi būti įskaičiuota į pasiūlymo kainą ir turi užtikrinti suderinamumą su perkančios organizacijos</w:t>
      </w:r>
      <w:r w:rsidR="004C13AF">
        <w:rPr>
          <w:rFonts w:cs="Tahoma"/>
        </w:rPr>
        <w:t xml:space="preserve"> 25 </w:t>
      </w:r>
      <w:proofErr w:type="spellStart"/>
      <w:r w:rsidR="004C13AF">
        <w:rPr>
          <w:rFonts w:cs="Tahoma"/>
        </w:rPr>
        <w:t>Gbps</w:t>
      </w:r>
      <w:proofErr w:type="spellEnd"/>
      <w:r w:rsidR="00262222">
        <w:rPr>
          <w:rFonts w:cs="Tahoma"/>
        </w:rPr>
        <w:t xml:space="preserve"> gre</w:t>
      </w:r>
      <w:r w:rsidR="00DE55D7">
        <w:rPr>
          <w:rFonts w:cs="Tahoma"/>
        </w:rPr>
        <w:t>i</w:t>
      </w:r>
      <w:r w:rsidR="00262222">
        <w:rPr>
          <w:rFonts w:cs="Tahoma"/>
        </w:rPr>
        <w:t>taveikos</w:t>
      </w:r>
      <w:r w:rsidRPr="39EBFBCC">
        <w:rPr>
          <w:rFonts w:cs="Tahoma"/>
        </w:rPr>
        <w:t xml:space="preserve"> kompiuterių tinklu. Pateiktas Sprendimas ir jo komponentai turi užtikrinti tinkamą prijungimą prie perkančiosios organizacijos kompiuterių tinklo.</w:t>
      </w:r>
    </w:p>
    <w:p w14:paraId="29FD158A" w14:textId="6111526B" w:rsidR="00EF6A87" w:rsidRPr="005E2F09" w:rsidRDefault="00EF6A87" w:rsidP="00EF6A87">
      <w:pPr>
        <w:pStyle w:val="ListParagraph"/>
        <w:numPr>
          <w:ilvl w:val="0"/>
          <w:numId w:val="2"/>
        </w:numPr>
        <w:tabs>
          <w:tab w:val="left" w:pos="1276"/>
          <w:tab w:val="left" w:pos="2070"/>
        </w:tabs>
        <w:spacing w:line="240" w:lineRule="auto"/>
        <w:ind w:left="0" w:firstLine="709"/>
        <w:jc w:val="both"/>
        <w:rPr>
          <w:rFonts w:cs="Tahoma"/>
        </w:rPr>
      </w:pPr>
      <w:r w:rsidRPr="39EBFBCC">
        <w:rPr>
          <w:rFonts w:cs="Tahoma"/>
        </w:rPr>
        <w:t xml:space="preserve">Sprendimas turi būti pristatytas ir sumontuotos per </w:t>
      </w:r>
      <w:r w:rsidRPr="39EBFBCC">
        <w:rPr>
          <w:rFonts w:cs="Tahoma"/>
          <w:b/>
          <w:bCs/>
        </w:rPr>
        <w:t>90</w:t>
      </w:r>
      <w:r w:rsidRPr="39EBFBCC">
        <w:rPr>
          <w:rFonts w:cs="Tahoma"/>
        </w:rPr>
        <w:t xml:space="preserve"> (devyniasdešimt) kalendorinių dienų nuo </w:t>
      </w:r>
      <w:r w:rsidR="4F0DD636" w:rsidRPr="39EBFBCC">
        <w:rPr>
          <w:rFonts w:cs="Tahoma"/>
        </w:rPr>
        <w:t>Paslaugų pirkimo-pardavimo sutarties (toliau – Sutartis)</w:t>
      </w:r>
      <w:r w:rsidRPr="39EBFBCC">
        <w:rPr>
          <w:rFonts w:cs="Tahoma"/>
        </w:rPr>
        <w:t xml:space="preserve"> įsigaliojimo dienos. Šiame punkte nustatytas terminas gali būti pratęstas ne ilgesniam nei </w:t>
      </w:r>
      <w:r w:rsidRPr="39EBFBCC">
        <w:rPr>
          <w:rFonts w:cs="Tahoma"/>
          <w:b/>
          <w:bCs/>
        </w:rPr>
        <w:t xml:space="preserve">60 </w:t>
      </w:r>
      <w:r w:rsidRPr="39EBFBCC">
        <w:rPr>
          <w:rFonts w:cs="Tahoma"/>
        </w:rPr>
        <w:t>(šešiasdešimt) kalendorinių dienų laikotarpiui, esant aplinkybėms nurodytoms Sutartyje.</w:t>
      </w:r>
    </w:p>
    <w:p w14:paraId="6D301BA2" w14:textId="77777777" w:rsidR="00EF6A87" w:rsidRPr="005E2F09" w:rsidRDefault="00EF6A87" w:rsidP="00EF6A87">
      <w:pPr>
        <w:pStyle w:val="ListParagraph"/>
        <w:numPr>
          <w:ilvl w:val="0"/>
          <w:numId w:val="2"/>
        </w:numPr>
        <w:tabs>
          <w:tab w:val="left" w:pos="1276"/>
          <w:tab w:val="left" w:pos="2070"/>
        </w:tabs>
        <w:spacing w:line="240" w:lineRule="auto"/>
        <w:ind w:left="0" w:firstLine="709"/>
        <w:jc w:val="both"/>
        <w:rPr>
          <w:rFonts w:cs="Tahoma"/>
        </w:rPr>
      </w:pPr>
      <w:bookmarkStart w:id="0" w:name="_Hlk201571678"/>
      <w:r w:rsidRPr="005E2F09">
        <w:rPr>
          <w:rFonts w:cs="Tahoma"/>
        </w:rPr>
        <w:t xml:space="preserve">Sprendimas per </w:t>
      </w:r>
      <w:r w:rsidRPr="005E2F09">
        <w:rPr>
          <w:rFonts w:cs="Tahoma"/>
          <w:b/>
          <w:bCs/>
        </w:rPr>
        <w:t>28</w:t>
      </w:r>
      <w:r w:rsidRPr="005E2F09">
        <w:rPr>
          <w:rFonts w:cs="Tahoma"/>
        </w:rPr>
        <w:t xml:space="preserve"> (dvidešimt aštuonias) kalendorines dienas nuo pristatymo ir sumontavimo turi būti sukonfigūruotas, ištestuotas pagal techninės specifikacijos </w:t>
      </w:r>
      <w:r w:rsidRPr="005E2F09">
        <w:rPr>
          <w:rFonts w:cs="Tahoma"/>
          <w:b/>
          <w:bCs/>
        </w:rPr>
        <w:t>3</w:t>
      </w:r>
      <w:r w:rsidRPr="005E2F09">
        <w:rPr>
          <w:rFonts w:cs="Tahoma"/>
        </w:rPr>
        <w:t xml:space="preserve"> lentelės </w:t>
      </w:r>
      <w:r w:rsidRPr="005E2F09">
        <w:rPr>
          <w:rFonts w:cs="Tahoma"/>
          <w:b/>
          <w:bCs/>
        </w:rPr>
        <w:t>12</w:t>
      </w:r>
      <w:r w:rsidRPr="005E2F09">
        <w:rPr>
          <w:rFonts w:cs="Tahoma"/>
        </w:rPr>
        <w:t xml:space="preserve"> eilutėje nustatytus reikalavimus ir parengtas eksploatacijai.</w:t>
      </w:r>
    </w:p>
    <w:bookmarkEnd w:id="0"/>
    <w:p w14:paraId="69A10126" w14:textId="77777777" w:rsidR="00EF6A87" w:rsidRPr="005E2F09" w:rsidRDefault="00EF6A87" w:rsidP="00EF6A87">
      <w:pPr>
        <w:pStyle w:val="ListParagraph"/>
        <w:numPr>
          <w:ilvl w:val="0"/>
          <w:numId w:val="2"/>
        </w:numPr>
        <w:tabs>
          <w:tab w:val="left" w:pos="1276"/>
          <w:tab w:val="left" w:pos="2070"/>
        </w:tabs>
        <w:spacing w:line="240" w:lineRule="auto"/>
        <w:ind w:left="0" w:firstLine="709"/>
        <w:jc w:val="both"/>
        <w:rPr>
          <w:rFonts w:cs="Tahoma"/>
        </w:rPr>
      </w:pPr>
      <w:r w:rsidRPr="005E2F09">
        <w:rPr>
          <w:rFonts w:cs="Tahoma"/>
        </w:rPr>
        <w:t xml:space="preserve">Darbui su Sprendimu turi būti apmokyti ne mažiau kaip 4 (keturi) perkančiosios organizacijos darbuotojai. Mokymai turi būti atlikti gamintojo arba gamintojo autorizuoto mokymo centro. Mokymai turi būti pravesti per </w:t>
      </w:r>
      <w:r w:rsidRPr="005E2F09">
        <w:rPr>
          <w:rFonts w:cs="Tahoma"/>
          <w:b/>
          <w:bCs/>
        </w:rPr>
        <w:t>30</w:t>
      </w:r>
      <w:r w:rsidRPr="005E2F09">
        <w:rPr>
          <w:rFonts w:cs="Tahoma"/>
        </w:rPr>
        <w:t xml:space="preserve"> (trisdešimt) kalendorinių dienų po Sprendimo įdiegimo. Mokymai turi būti pravedami ne perkančiosios organizacijos patalpose arba nuotoliniu būdu arba perkančiosios organizacijos patalpose. Mokymų kalba – lietuvių arba anglų. Mokymų dalyviams turi būti išduotas kursų baigimo pažymėjimas, patvirtinantis, kad dalyviai yra susipažinę su įrangos veikimo ir administravimo pagrindiniais principais ir geba atlikti detales ekspertinių žinių nereikalaujančias objektinių saugyklų administravimo ir konfigūravimo užduotis.</w:t>
      </w:r>
    </w:p>
    <w:p w14:paraId="60B5ECD7" w14:textId="6D248A7A" w:rsidR="00EF6A87" w:rsidRPr="005E2F09" w:rsidRDefault="00EF6A87" w:rsidP="00EF6A87">
      <w:pPr>
        <w:pStyle w:val="ListParagraph"/>
        <w:numPr>
          <w:ilvl w:val="0"/>
          <w:numId w:val="2"/>
        </w:numPr>
        <w:tabs>
          <w:tab w:val="left" w:pos="1440"/>
          <w:tab w:val="left" w:pos="2070"/>
        </w:tabs>
        <w:spacing w:line="240" w:lineRule="auto"/>
        <w:ind w:left="0" w:firstLine="709"/>
        <w:jc w:val="both"/>
        <w:rPr>
          <w:rFonts w:cs="Tahoma"/>
        </w:rPr>
      </w:pPr>
      <w:r w:rsidRPr="39EBFBCC">
        <w:rPr>
          <w:rFonts w:cs="Tahoma"/>
        </w:rPr>
        <w:t>Sprendimo pristatymo vieta – Valstybės įmonė Registrų centras Vilniuje, Studentų g. 39. Pristatymo vieta gali būti keičiama Vilniaus miesto ribose bei bus patikslinta</w:t>
      </w:r>
      <w:r w:rsidR="1AC129B2" w:rsidRPr="39EBFBCC">
        <w:rPr>
          <w:rFonts w:cs="Tahoma"/>
        </w:rPr>
        <w:t xml:space="preserve"> (nu</w:t>
      </w:r>
      <w:r w:rsidR="004740EB">
        <w:rPr>
          <w:rFonts w:cs="Tahoma"/>
        </w:rPr>
        <w:t>r</w:t>
      </w:r>
      <w:r w:rsidR="1AC129B2" w:rsidRPr="39EBFBCC">
        <w:rPr>
          <w:rFonts w:cs="Tahoma"/>
        </w:rPr>
        <w:t>o</w:t>
      </w:r>
      <w:r w:rsidR="004740EB">
        <w:rPr>
          <w:rFonts w:cs="Tahoma"/>
        </w:rPr>
        <w:t>d</w:t>
      </w:r>
      <w:r w:rsidR="1AC129B2" w:rsidRPr="39EBFBCC">
        <w:rPr>
          <w:rFonts w:cs="Tahoma"/>
        </w:rPr>
        <w:t>ytas abiejų duomenų centrų adresas)</w:t>
      </w:r>
      <w:r w:rsidRPr="39EBFBCC">
        <w:rPr>
          <w:rFonts w:cs="Tahoma"/>
        </w:rPr>
        <w:t xml:space="preserve"> iki pirkimo-pardavimo sutarties pasirašymo.</w:t>
      </w:r>
    </w:p>
    <w:p w14:paraId="3E4BCC5F" w14:textId="2DE14E0D" w:rsidR="00EF6A87" w:rsidRPr="005E2F09" w:rsidRDefault="00EF6A87" w:rsidP="00EF6A87">
      <w:pPr>
        <w:pStyle w:val="ListParagraph"/>
        <w:numPr>
          <w:ilvl w:val="0"/>
          <w:numId w:val="2"/>
        </w:numPr>
        <w:tabs>
          <w:tab w:val="left" w:pos="1440"/>
          <w:tab w:val="left" w:pos="2070"/>
        </w:tabs>
        <w:spacing w:line="240" w:lineRule="auto"/>
        <w:ind w:left="0" w:firstLine="709"/>
        <w:jc w:val="both"/>
        <w:rPr>
          <w:rFonts w:cs="Tahoma"/>
        </w:rPr>
      </w:pPr>
      <w:r w:rsidRPr="39EBFBCC">
        <w:rPr>
          <w:rFonts w:cs="Tahoma"/>
        </w:rPr>
        <w:t xml:space="preserve">Visos kartu su Sprendimu pateikiamos programinės įrangos licencijos turi galioti visu Sutarties laikotarpiu (ne trumpiau nei </w:t>
      </w:r>
      <w:r w:rsidRPr="39EBFBCC">
        <w:rPr>
          <w:rFonts w:cs="Tahoma"/>
          <w:b/>
          <w:bCs/>
        </w:rPr>
        <w:t>5</w:t>
      </w:r>
      <w:r w:rsidRPr="39EBFBCC">
        <w:rPr>
          <w:rFonts w:cs="Tahoma"/>
        </w:rPr>
        <w:t xml:space="preserve"> metus nuo priėmimo</w:t>
      </w:r>
      <w:r w:rsidR="1254802B" w:rsidRPr="39EBFBCC">
        <w:rPr>
          <w:rFonts w:cs="Tahoma"/>
        </w:rPr>
        <w:t>-</w:t>
      </w:r>
      <w:r w:rsidRPr="39EBFBCC">
        <w:rPr>
          <w:rFonts w:cs="Tahoma"/>
        </w:rPr>
        <w:t>perdavimo akto pasirašymo) nepriklausomai nuo licencijavimo tipo.</w:t>
      </w:r>
    </w:p>
    <w:p w14:paraId="7CEC314C" w14:textId="2EEDCF81" w:rsidR="00EF6A87" w:rsidRPr="005E2F09" w:rsidRDefault="00EF6A87" w:rsidP="00EF6A87">
      <w:pPr>
        <w:pStyle w:val="ListParagraph"/>
        <w:numPr>
          <w:ilvl w:val="0"/>
          <w:numId w:val="2"/>
        </w:numPr>
        <w:tabs>
          <w:tab w:val="left" w:pos="1440"/>
          <w:tab w:val="left" w:pos="2070"/>
        </w:tabs>
        <w:spacing w:line="240" w:lineRule="auto"/>
        <w:ind w:left="0" w:firstLine="709"/>
        <w:jc w:val="both"/>
        <w:rPr>
          <w:rFonts w:cs="Tahoma"/>
        </w:rPr>
      </w:pPr>
      <w:bookmarkStart w:id="1" w:name="_Hlk201571691"/>
      <w:r w:rsidRPr="39EBFBCC">
        <w:rPr>
          <w:rFonts w:cs="Tahoma"/>
        </w:rPr>
        <w:t xml:space="preserve">Sprendimą sukonfigūravus, ištestavus ir parengus eksploatacijai turi būti pateikta  </w:t>
      </w:r>
      <w:r w:rsidR="72BC61D4" w:rsidRPr="39EBFBCC">
        <w:rPr>
          <w:rFonts w:cs="Tahoma"/>
        </w:rPr>
        <w:t xml:space="preserve">sukonfigūruoto </w:t>
      </w:r>
      <w:r w:rsidRPr="39EBFBCC">
        <w:rPr>
          <w:rFonts w:cs="Tahoma"/>
        </w:rPr>
        <w:t xml:space="preserve">Sprendimo dokumentacija per </w:t>
      </w:r>
      <w:r w:rsidRPr="39EBFBCC">
        <w:rPr>
          <w:rFonts w:cs="Tahoma"/>
          <w:b/>
          <w:bCs/>
        </w:rPr>
        <w:t>20 d. d</w:t>
      </w:r>
      <w:r w:rsidRPr="39EBFBCC">
        <w:rPr>
          <w:rFonts w:cs="Tahoma"/>
        </w:rPr>
        <w:t>. Tiekėjas turi parengti dokumentaciją, kurioje turi būti nurodyti įrangos išjungimo/įjungimo žingsniai, pagrindiniai administravimo ir monitoringo veiksmai, naujos duomenų saugojimo srities sukūrimas ir sukonfigūravimas. Sprendimo diegimo dokumentacijos (konfigūracija, IP adresai, prisijungimo nuorodos ir t. t.)  imtis yra derinama</w:t>
      </w:r>
      <w:r w:rsidR="15B95716" w:rsidRPr="39EBFBCC">
        <w:rPr>
          <w:rFonts w:cs="Tahoma"/>
        </w:rPr>
        <w:t xml:space="preserve"> el. paštu</w:t>
      </w:r>
      <w:r w:rsidRPr="39EBFBCC">
        <w:rPr>
          <w:rFonts w:cs="Tahoma"/>
        </w:rPr>
        <w:t xml:space="preserve"> po </w:t>
      </w:r>
      <w:r w:rsidR="492E98F2" w:rsidRPr="39EBFBCC">
        <w:rPr>
          <w:rFonts w:cs="Tahoma"/>
        </w:rPr>
        <w:t>S</w:t>
      </w:r>
      <w:r w:rsidRPr="39EBFBCC">
        <w:rPr>
          <w:rFonts w:cs="Tahoma"/>
        </w:rPr>
        <w:t>utarties pasirašymo. Ji turi būti parengta lietuvių arba anglų kalba. Diegiant Sprendimo plėtinius diegimo dokumentacija turi būti atnaujinta.</w:t>
      </w:r>
    </w:p>
    <w:bookmarkEnd w:id="1"/>
    <w:p w14:paraId="0C2C3A2E" w14:textId="7E3F51C3" w:rsidR="00EF6A87" w:rsidRPr="005E2F09" w:rsidRDefault="00EF6A87" w:rsidP="00EF6A87">
      <w:pPr>
        <w:pStyle w:val="ListParagraph"/>
        <w:numPr>
          <w:ilvl w:val="0"/>
          <w:numId w:val="2"/>
        </w:numPr>
        <w:tabs>
          <w:tab w:val="left" w:pos="1440"/>
          <w:tab w:val="left" w:pos="2070"/>
        </w:tabs>
        <w:spacing w:line="240" w:lineRule="auto"/>
        <w:ind w:left="0" w:firstLine="709"/>
        <w:jc w:val="both"/>
        <w:rPr>
          <w:rFonts w:cs="Tahoma"/>
        </w:rPr>
      </w:pPr>
      <w:r w:rsidRPr="005E2F09">
        <w:rPr>
          <w:rFonts w:cs="Tahoma"/>
        </w:rPr>
        <w:t xml:space="preserve">Tiekėjas </w:t>
      </w:r>
      <w:r w:rsidRPr="005E2F09">
        <w:rPr>
          <w:rFonts w:cs="Tahoma"/>
          <w:b/>
          <w:bCs/>
        </w:rPr>
        <w:t>kartu su pasiūlymu turi pateikti</w:t>
      </w:r>
      <w:r w:rsidRPr="005E2F09">
        <w:rPr>
          <w:rFonts w:cs="Tahoma"/>
        </w:rPr>
        <w:t xml:space="preserve"> siūlomos įrangos gamintojo ar jo oficialaus atstovo pažymą, patvirtinančią, kad gamintojas nereikalaus sugedusių diskų grąžinimo arba užtikrins duomenų ištrynimą sugedusiuose grąžintuose diskuose. Kita įranga, kurioje gali būti įrenginio konfigūracijos informacijos, prieš siunčiant ją taisyti, turi būti iš naujo nustatyta į numatytuosius nustatymus arba komponentai, kuriuose saugoma konfigūracija, turi būti pašalinti.</w:t>
      </w:r>
    </w:p>
    <w:p w14:paraId="17C0BD12" w14:textId="77777777" w:rsidR="00EF6A87" w:rsidRPr="005E2F09" w:rsidRDefault="00EF6A87" w:rsidP="00EF6A87">
      <w:pPr>
        <w:pStyle w:val="ListParagraph"/>
        <w:numPr>
          <w:ilvl w:val="0"/>
          <w:numId w:val="2"/>
        </w:numPr>
        <w:tabs>
          <w:tab w:val="left" w:pos="1440"/>
          <w:tab w:val="left" w:pos="2070"/>
        </w:tabs>
        <w:spacing w:line="240" w:lineRule="auto"/>
        <w:ind w:left="0" w:firstLine="709"/>
        <w:jc w:val="both"/>
        <w:rPr>
          <w:rFonts w:cs="Tahoma"/>
        </w:rPr>
      </w:pPr>
      <w:r w:rsidRPr="005E2F09">
        <w:rPr>
          <w:rFonts w:cs="Tahoma"/>
        </w:rPr>
        <w:t xml:space="preserve">Tiekėjas </w:t>
      </w:r>
      <w:r w:rsidRPr="005E2F09">
        <w:rPr>
          <w:rFonts w:cs="Tahoma"/>
          <w:b/>
          <w:bCs/>
        </w:rPr>
        <w:t>kartu su pasiūlymu turi pateikti</w:t>
      </w:r>
      <w:r w:rsidRPr="005E2F09">
        <w:rPr>
          <w:rFonts w:cs="Tahoma"/>
        </w:rPr>
        <w:t xml:space="preserve"> siūlomos įrangos gamintojo ar jo oficialaus atstovo pažymą, patvirtinančią, kad tiekėjo siūlomas Sprendimas atitinka perkančiosios organizacijos nustatytus techninius reikalavimus.</w:t>
      </w:r>
    </w:p>
    <w:p w14:paraId="30DFD902" w14:textId="77777777" w:rsidR="00EF6A87" w:rsidRPr="005E2F09" w:rsidRDefault="00EF6A87" w:rsidP="00EF6A87">
      <w:pPr>
        <w:pStyle w:val="ListParagraph"/>
        <w:numPr>
          <w:ilvl w:val="0"/>
          <w:numId w:val="2"/>
        </w:numPr>
        <w:tabs>
          <w:tab w:val="left" w:pos="1440"/>
          <w:tab w:val="left" w:pos="2070"/>
        </w:tabs>
        <w:spacing w:line="240" w:lineRule="auto"/>
        <w:ind w:left="0" w:firstLine="709"/>
        <w:jc w:val="both"/>
        <w:rPr>
          <w:rFonts w:cs="Tahoma"/>
        </w:rPr>
      </w:pPr>
      <w:r w:rsidRPr="005E2F09">
        <w:rPr>
          <w:rFonts w:cs="Tahoma"/>
        </w:rPr>
        <w:lastRenderedPageBreak/>
        <w:t xml:space="preserve">Tiekėjas </w:t>
      </w:r>
      <w:r w:rsidRPr="005E2F09">
        <w:rPr>
          <w:rFonts w:cs="Tahoma"/>
          <w:b/>
          <w:bCs/>
        </w:rPr>
        <w:t>kartu su pasiūlymu  turi pateikti</w:t>
      </w:r>
      <w:r w:rsidRPr="005E2F09">
        <w:rPr>
          <w:rFonts w:cs="Tahoma"/>
        </w:rPr>
        <w:t xml:space="preserve"> nuorodą į viešai prieinamą informaciją gamintojo interneto svetainėje, kurioje pateikiama informacija apie siūlomos įrangos charakteristikas.</w:t>
      </w:r>
    </w:p>
    <w:p w14:paraId="169501A3" w14:textId="30D2EE8D" w:rsidR="00EF6A87" w:rsidRPr="005E2F09" w:rsidRDefault="00EF6A87" w:rsidP="00EF6A87">
      <w:pPr>
        <w:pStyle w:val="ListParagraph"/>
        <w:numPr>
          <w:ilvl w:val="0"/>
          <w:numId w:val="2"/>
        </w:numPr>
        <w:tabs>
          <w:tab w:val="left" w:pos="1440"/>
          <w:tab w:val="left" w:pos="2070"/>
        </w:tabs>
        <w:spacing w:line="240" w:lineRule="auto"/>
        <w:ind w:left="0" w:firstLine="709"/>
        <w:jc w:val="both"/>
        <w:rPr>
          <w:rFonts w:cs="Tahoma"/>
        </w:rPr>
      </w:pPr>
      <w:r w:rsidRPr="008D1B2E">
        <w:rPr>
          <w:rFonts w:cs="Tahoma"/>
          <w:b/>
          <w:bCs/>
        </w:rPr>
        <w:t>Kartu su pasiūlymu</w:t>
      </w:r>
      <w:r w:rsidRPr="008D1B2E">
        <w:rPr>
          <w:rFonts w:cs="Tahoma"/>
        </w:rPr>
        <w:t xml:space="preserve"> atskirame dokumente turi būti pateiktas pilnas </w:t>
      </w:r>
      <w:r w:rsidR="001933AA" w:rsidRPr="008D1B2E">
        <w:rPr>
          <w:rFonts w:cs="Tahoma"/>
        </w:rPr>
        <w:t>Sprendimą</w:t>
      </w:r>
      <w:r w:rsidR="001933AA">
        <w:rPr>
          <w:rFonts w:cs="Tahoma"/>
        </w:rPr>
        <w:t xml:space="preserve"> </w:t>
      </w:r>
      <w:r w:rsidRPr="39EBFBCC">
        <w:rPr>
          <w:rFonts w:cs="Tahoma"/>
        </w:rPr>
        <w:t>komplektuojamų komponentų sąrašas su gamintojo kodais, kiekiais ir pavadinimais.</w:t>
      </w:r>
    </w:p>
    <w:p w14:paraId="6CB6EBC7" w14:textId="6326252C" w:rsidR="00EF6A87" w:rsidRPr="005F40A9" w:rsidRDefault="00EF6A87" w:rsidP="005F40A9">
      <w:pPr>
        <w:pStyle w:val="ListParagraph"/>
        <w:numPr>
          <w:ilvl w:val="0"/>
          <w:numId w:val="2"/>
        </w:numPr>
        <w:tabs>
          <w:tab w:val="left" w:pos="1440"/>
          <w:tab w:val="left" w:pos="2070"/>
        </w:tabs>
        <w:spacing w:line="240" w:lineRule="auto"/>
        <w:ind w:left="0" w:firstLine="709"/>
        <w:jc w:val="both"/>
        <w:rPr>
          <w:rFonts w:cs="Tahoma"/>
        </w:rPr>
      </w:pPr>
      <w:r w:rsidRPr="39EBFBCC">
        <w:rPr>
          <w:rFonts w:cs="Tahoma"/>
        </w:rPr>
        <w:t>Sprendimo montavimo ir konfigūravimo darbai turės būti atliekami siūlomos įrangos gamintojo sertifikuoto specialisto</w:t>
      </w:r>
      <w:r w:rsidR="006E008A" w:rsidRPr="39EBFBCC">
        <w:rPr>
          <w:rFonts w:cs="Tahoma"/>
        </w:rPr>
        <w:t xml:space="preserve"> (</w:t>
      </w:r>
      <w:r w:rsidR="006E008A" w:rsidRPr="39EBFBCC">
        <w:rPr>
          <w:rFonts w:cs="Tahoma"/>
          <w:b/>
          <w:bCs/>
        </w:rPr>
        <w:t>Pastaba</w:t>
      </w:r>
      <w:r w:rsidR="006E008A" w:rsidRPr="39EBFBCC">
        <w:rPr>
          <w:rFonts w:cs="Tahoma"/>
        </w:rPr>
        <w:t>. Sertifikatas turi būti galiojantis)</w:t>
      </w:r>
      <w:r w:rsidR="0587C004" w:rsidRPr="39EBFBCC">
        <w:rPr>
          <w:rFonts w:cs="Tahoma"/>
        </w:rPr>
        <w:t xml:space="preserve"> ir</w:t>
      </w:r>
      <w:r w:rsidRPr="39EBFBCC">
        <w:rPr>
          <w:rFonts w:cs="Tahoma"/>
        </w:rPr>
        <w:t xml:space="preserve"> atlieka</w:t>
      </w:r>
      <w:r w:rsidR="38BC6C5D" w:rsidRPr="39EBFBCC">
        <w:rPr>
          <w:rFonts w:cs="Tahoma"/>
        </w:rPr>
        <w:t>mi</w:t>
      </w:r>
      <w:r w:rsidRPr="39EBFBCC">
        <w:rPr>
          <w:rFonts w:cs="Tahoma"/>
        </w:rPr>
        <w:t xml:space="preserve"> pagal </w:t>
      </w:r>
      <w:r w:rsidRPr="008D1B2E">
        <w:rPr>
          <w:rFonts w:cs="Tahoma"/>
        </w:rPr>
        <w:t>gamintojo reikalavimus.</w:t>
      </w:r>
      <w:r w:rsidRPr="008D1B2E">
        <w:rPr>
          <w:rFonts w:eastAsia="TimesNewRomanPSMT" w:cs="Tahoma"/>
          <w:lang w:eastAsia="lt-LT"/>
        </w:rPr>
        <w:t xml:space="preserve"> </w:t>
      </w:r>
      <w:r w:rsidRPr="008D1B2E">
        <w:rPr>
          <w:rFonts w:cs="Tahoma"/>
        </w:rPr>
        <w:t xml:space="preserve">Tiekėjas </w:t>
      </w:r>
      <w:r w:rsidRPr="008D1B2E">
        <w:rPr>
          <w:rFonts w:cs="Tahoma"/>
          <w:b/>
          <w:bCs/>
        </w:rPr>
        <w:t>kartu su pasiūlymu turi pateikti</w:t>
      </w:r>
      <w:r w:rsidRPr="008D1B2E">
        <w:rPr>
          <w:rFonts w:cs="Tahoma"/>
        </w:rPr>
        <w:t xml:space="preserve"> gamintojo ar jo oficialios atstovybės/padalinio/filialo laisvos formos patvirtinimą, pasirašytą vadovo ar vadovo įgalioto asmens </w:t>
      </w:r>
      <w:r w:rsidRPr="008D1B2E">
        <w:rPr>
          <w:rFonts w:cs="Tahoma"/>
          <w:i/>
          <w:iCs/>
        </w:rPr>
        <w:t xml:space="preserve">(Gamintojo partnerių (tiekėjų) gamintojo įgaliotų parduoti ar/ir aptarnauti siūlomą įrangą patvirtinimai nebus laikomi tinkamais). </w:t>
      </w:r>
    </w:p>
    <w:p w14:paraId="53D2138B" w14:textId="744A8A66" w:rsidR="004231E3" w:rsidRPr="005F40A9" w:rsidRDefault="009836F6" w:rsidP="005F40A9">
      <w:pPr>
        <w:pStyle w:val="ListParagraph"/>
        <w:numPr>
          <w:ilvl w:val="0"/>
          <w:numId w:val="2"/>
        </w:numPr>
        <w:tabs>
          <w:tab w:val="left" w:pos="1134"/>
        </w:tabs>
        <w:spacing w:line="276" w:lineRule="auto"/>
        <w:ind w:left="0" w:firstLine="810"/>
        <w:jc w:val="both"/>
        <w:rPr>
          <w:rFonts w:cs="Tahoma"/>
          <w:iCs/>
        </w:rPr>
      </w:pPr>
      <w:r w:rsidRPr="008D1B2E">
        <w:rPr>
          <w:rFonts w:cs="Tahoma"/>
        </w:rPr>
        <w:t xml:space="preserve"> </w:t>
      </w:r>
      <w:r w:rsidR="00E969BD" w:rsidRPr="008D1B2E">
        <w:rPr>
          <w:rFonts w:cs="Tahoma"/>
        </w:rPr>
        <w:t>Jeigu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Lietuvos Respublikos viešųjų pirkimų įstatymo 37 straipsnio 9 dalis netaikoma</w:t>
      </w:r>
      <w:r w:rsidR="00EF6A87" w:rsidRPr="008D1B2E">
        <w:rPr>
          <w:rFonts w:cs="Tahoma"/>
        </w:rPr>
        <w:t>.</w:t>
      </w:r>
    </w:p>
    <w:p w14:paraId="1C713AFD" w14:textId="11DCC23F" w:rsidR="003335C2" w:rsidRDefault="003335C2" w:rsidP="005F40A9">
      <w:pPr>
        <w:pStyle w:val="ListParagraph"/>
        <w:numPr>
          <w:ilvl w:val="0"/>
          <w:numId w:val="2"/>
        </w:numPr>
        <w:tabs>
          <w:tab w:val="left" w:pos="1134"/>
        </w:tabs>
        <w:spacing w:line="276" w:lineRule="auto"/>
        <w:ind w:left="0" w:firstLine="810"/>
        <w:jc w:val="both"/>
        <w:rPr>
          <w:rFonts w:cs="Tahoma"/>
        </w:rPr>
      </w:pPr>
      <w:r w:rsidRPr="008D1B2E">
        <w:rPr>
          <w:rFonts w:cs="Tahoma"/>
        </w:rPr>
        <w:t xml:space="preserve">Tiekėjas turi užtikrinti, kad </w:t>
      </w:r>
      <w:r w:rsidR="005C3504" w:rsidRPr="008D1B2E">
        <w:rPr>
          <w:rFonts w:cs="Tahoma"/>
        </w:rPr>
        <w:t>Sprendimas</w:t>
      </w:r>
      <w:r w:rsidRPr="008D1B2E">
        <w:rPr>
          <w:rFonts w:cs="Tahoma"/>
        </w:rPr>
        <w:t xml:space="preserve"> atitiktų Organizacinių ir techninių kibernetinio saugumo reikalavimų, taikomų kibernetinio saugumo subjektams, apraše, patvirtintame Lietuvos Respublikos Vyriausybės 2018 m. rugpjūčio 13 d. nutarimu Nr. 818 „Dėl Lietuvos Respublikos </w:t>
      </w:r>
      <w:r w:rsidRPr="005F40A9">
        <w:rPr>
          <w:rFonts w:cs="Tahoma"/>
        </w:rPr>
        <w:t>kibernetinio saugumo įstatymo įgyvendinimo“, nurodytus reikalavimus.</w:t>
      </w:r>
    </w:p>
    <w:p w14:paraId="06446F3E" w14:textId="49DB7745" w:rsidR="005F40A9" w:rsidRDefault="005F40A9" w:rsidP="005F40A9">
      <w:pPr>
        <w:pStyle w:val="ListParagraph"/>
        <w:numPr>
          <w:ilvl w:val="0"/>
          <w:numId w:val="2"/>
        </w:numPr>
        <w:tabs>
          <w:tab w:val="left" w:pos="1134"/>
        </w:tabs>
        <w:spacing w:line="276" w:lineRule="auto"/>
        <w:ind w:left="0" w:firstLine="810"/>
        <w:jc w:val="both"/>
        <w:rPr>
          <w:rFonts w:cs="Tahoma"/>
        </w:rPr>
      </w:pPr>
      <w:r>
        <w:rPr>
          <w:rFonts w:cs="Tahoma"/>
        </w:rPr>
        <w:t xml:space="preserve">Perkančioji </w:t>
      </w:r>
      <w:r w:rsidRPr="005F40A9">
        <w:rPr>
          <w:rFonts w:cs="Tahoma"/>
        </w:rPr>
        <w:t>organizacija, Nacionaliniam saugumui užtikrinti svarbių objektų apsaugos įstatyme nustatyta tvarka,  kreipsis į Nacionaliniam saugumui užtikrinti svarbių objektų apsaugos koordinavimo komisiją</w:t>
      </w:r>
      <w:r w:rsidRPr="008D1B2E">
        <w:rPr>
          <w:rFonts w:cs="Tahoma"/>
        </w:rPr>
        <w:t xml:space="preserve"> (toliau – Komisija) dėl ketinamo sudaryti sandorio atitikties nacionalinio saugumo interesams patikros ir tuo atveju, jeigu Komisija pareikalaus pateikti papildomus dokumentus tiekėjas, tiekėjų grupės partneriai, ir</w:t>
      </w:r>
      <w:r w:rsidRPr="00322642">
        <w:rPr>
          <w:rFonts w:cs="Tahoma"/>
        </w:rPr>
        <w:t xml:space="preserve"> jų pasitelkiami subtiekėjai privalės juos pateikti.</w:t>
      </w:r>
    </w:p>
    <w:p w14:paraId="7FD404C0" w14:textId="77777777" w:rsidR="00EF6A87" w:rsidRPr="005E2F09" w:rsidRDefault="00EF6A87" w:rsidP="005F40A9">
      <w:pPr>
        <w:pStyle w:val="ListParagraph"/>
        <w:numPr>
          <w:ilvl w:val="0"/>
          <w:numId w:val="2"/>
        </w:numPr>
        <w:tabs>
          <w:tab w:val="left" w:pos="1134"/>
        </w:tabs>
        <w:spacing w:line="240" w:lineRule="auto"/>
        <w:ind w:left="0" w:firstLine="851"/>
        <w:jc w:val="both"/>
        <w:rPr>
          <w:rFonts w:cs="Tahoma"/>
          <w:iCs/>
        </w:rPr>
      </w:pPr>
      <w:r w:rsidRPr="00E67E96">
        <w:rPr>
          <w:rFonts w:cs="Tahoma"/>
          <w:iCs/>
          <w:u w:val="single"/>
        </w:rPr>
        <w:t>Aplinkos apsaugos reikalavimas:</w:t>
      </w:r>
      <w:r w:rsidRPr="00641E6B">
        <w:rPr>
          <w:rFonts w:cs="Tahoma"/>
          <w:iCs/>
        </w:rPr>
        <w:t xml:space="preserve"> Tiekėjas</w:t>
      </w:r>
      <w:r w:rsidRPr="005E2F09">
        <w:rPr>
          <w:rFonts w:cs="Tahoma"/>
          <w:iCs/>
        </w:rPr>
        <w:t xml:space="preserve"> turi surinkti visas prekių pristatymo pakuotes ir jas utilizuoti.</w:t>
      </w:r>
    </w:p>
    <w:p w14:paraId="03C73935" w14:textId="77777777" w:rsidR="00EF6A87" w:rsidRPr="005E2F09" w:rsidRDefault="00EF6A87" w:rsidP="00EF6A87">
      <w:pPr>
        <w:pStyle w:val="ListParagraph"/>
        <w:tabs>
          <w:tab w:val="left" w:pos="1440"/>
          <w:tab w:val="left" w:pos="2070"/>
        </w:tabs>
        <w:ind w:left="709"/>
        <w:rPr>
          <w:rFonts w:cs="Tahoma"/>
          <w:iCs/>
        </w:rPr>
      </w:pPr>
    </w:p>
    <w:p w14:paraId="0CEA58AF" w14:textId="77777777" w:rsidR="00EF6A87" w:rsidRPr="005E2F09" w:rsidRDefault="00EF6A87" w:rsidP="00EF6A87">
      <w:pPr>
        <w:pStyle w:val="ListParagraph"/>
        <w:numPr>
          <w:ilvl w:val="0"/>
          <w:numId w:val="3"/>
        </w:numPr>
        <w:spacing w:line="240" w:lineRule="auto"/>
        <w:ind w:left="1985" w:right="1841" w:hanging="414"/>
        <w:jc w:val="center"/>
        <w:rPr>
          <w:rFonts w:cs="Tahoma"/>
          <w:b/>
        </w:rPr>
      </w:pPr>
      <w:r w:rsidRPr="005E2F09">
        <w:rPr>
          <w:rFonts w:cs="Tahoma"/>
          <w:b/>
        </w:rPr>
        <w:t>TECHNINIAI REIKALAVIMAI</w:t>
      </w:r>
    </w:p>
    <w:p w14:paraId="1558EE6B" w14:textId="77777777" w:rsidR="00EF6A87" w:rsidRPr="005E2F09" w:rsidRDefault="00EF6A87" w:rsidP="00EF6A87">
      <w:pPr>
        <w:pStyle w:val="ListParagraph"/>
        <w:tabs>
          <w:tab w:val="left" w:pos="1440"/>
          <w:tab w:val="left" w:pos="2070"/>
        </w:tabs>
        <w:ind w:left="2291"/>
        <w:jc w:val="right"/>
        <w:rPr>
          <w:rFonts w:cs="Tahoma"/>
          <w:iCs/>
        </w:rPr>
      </w:pPr>
    </w:p>
    <w:p w14:paraId="0FBF453B" w14:textId="77777777" w:rsidR="00EF6A87" w:rsidRPr="005E2F09" w:rsidRDefault="00EF6A87" w:rsidP="00EF6A87">
      <w:pPr>
        <w:pStyle w:val="ListParagraph"/>
        <w:tabs>
          <w:tab w:val="left" w:pos="1440"/>
          <w:tab w:val="left" w:pos="2070"/>
        </w:tabs>
        <w:ind w:left="2291"/>
        <w:jc w:val="right"/>
        <w:rPr>
          <w:rFonts w:cs="Tahoma"/>
          <w:iCs/>
        </w:rPr>
      </w:pPr>
      <w:r w:rsidRPr="005E2F09">
        <w:rPr>
          <w:rFonts w:cs="Tahoma"/>
          <w:iCs/>
        </w:rPr>
        <w:t>3 lentelė</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9"/>
        <w:gridCol w:w="1766"/>
        <w:gridCol w:w="7223"/>
      </w:tblGrid>
      <w:tr w:rsidR="00EF6A87" w:rsidRPr="005E2F09" w14:paraId="3EA23958" w14:textId="77777777" w:rsidTr="00DD6904">
        <w:tc>
          <w:tcPr>
            <w:tcW w:w="332" w:type="pct"/>
          </w:tcPr>
          <w:p w14:paraId="37CFB16A" w14:textId="77777777" w:rsidR="00EF6A87" w:rsidRPr="00E67E96" w:rsidRDefault="00EF6A87" w:rsidP="00DD6904">
            <w:pPr>
              <w:pStyle w:val="Tableheader"/>
              <w:keepNext w:val="0"/>
              <w:tabs>
                <w:tab w:val="left" w:pos="556"/>
                <w:tab w:val="left" w:pos="822"/>
              </w:tabs>
              <w:jc w:val="center"/>
              <w:rPr>
                <w:rFonts w:ascii="Tahoma" w:hAnsi="Tahoma" w:cs="Tahoma"/>
                <w:color w:val="auto"/>
                <w:sz w:val="22"/>
              </w:rPr>
            </w:pPr>
            <w:r w:rsidRPr="00E67E96">
              <w:rPr>
                <w:rFonts w:ascii="Tahoma" w:hAnsi="Tahoma" w:cs="Tahoma"/>
                <w:color w:val="auto"/>
                <w:sz w:val="22"/>
              </w:rPr>
              <w:t>Nr.</w:t>
            </w:r>
          </w:p>
        </w:tc>
        <w:tc>
          <w:tcPr>
            <w:tcW w:w="917" w:type="pct"/>
          </w:tcPr>
          <w:p w14:paraId="35D60633" w14:textId="77777777" w:rsidR="00EF6A87" w:rsidRPr="00E67E96" w:rsidRDefault="00EF6A87" w:rsidP="00DD6904">
            <w:pPr>
              <w:pStyle w:val="Tableheader"/>
              <w:keepNext w:val="0"/>
              <w:tabs>
                <w:tab w:val="left" w:pos="556"/>
                <w:tab w:val="left" w:pos="822"/>
              </w:tabs>
              <w:jc w:val="center"/>
              <w:rPr>
                <w:rFonts w:ascii="Tahoma" w:hAnsi="Tahoma" w:cs="Tahoma"/>
                <w:color w:val="auto"/>
                <w:sz w:val="22"/>
              </w:rPr>
            </w:pPr>
            <w:r w:rsidRPr="00E67E96">
              <w:rPr>
                <w:rFonts w:ascii="Tahoma" w:hAnsi="Tahoma" w:cs="Tahoma"/>
                <w:color w:val="auto"/>
                <w:sz w:val="22"/>
              </w:rPr>
              <w:t>Parametras</w:t>
            </w:r>
          </w:p>
        </w:tc>
        <w:tc>
          <w:tcPr>
            <w:tcW w:w="3751" w:type="pct"/>
          </w:tcPr>
          <w:p w14:paraId="6EB8B26F" w14:textId="05E1A6F8" w:rsidR="00EF6A87" w:rsidRPr="00E67E96" w:rsidRDefault="00EF6A87" w:rsidP="00DD6904">
            <w:pPr>
              <w:pStyle w:val="Tableheader"/>
              <w:keepNext w:val="0"/>
              <w:tabs>
                <w:tab w:val="left" w:pos="556"/>
                <w:tab w:val="left" w:pos="822"/>
              </w:tabs>
              <w:jc w:val="center"/>
              <w:rPr>
                <w:rFonts w:ascii="Tahoma" w:hAnsi="Tahoma" w:cs="Tahoma"/>
                <w:color w:val="auto"/>
                <w:sz w:val="22"/>
              </w:rPr>
            </w:pPr>
            <w:r w:rsidRPr="00E67E96">
              <w:rPr>
                <w:rFonts w:ascii="Tahoma" w:hAnsi="Tahoma" w:cs="Tahoma"/>
                <w:color w:val="auto"/>
                <w:sz w:val="22"/>
              </w:rPr>
              <w:t xml:space="preserve">Reikalaujama charakteristika vienai unifikuotai </w:t>
            </w:r>
            <w:r w:rsidR="009836F6" w:rsidRPr="00E67E96">
              <w:rPr>
                <w:rFonts w:ascii="Tahoma" w:hAnsi="Tahoma" w:cs="Tahoma"/>
                <w:color w:val="auto"/>
                <w:sz w:val="22"/>
              </w:rPr>
              <w:t xml:space="preserve">hibridinei </w:t>
            </w:r>
            <w:r w:rsidRPr="00E67E96">
              <w:rPr>
                <w:rFonts w:ascii="Tahoma" w:hAnsi="Tahoma" w:cs="Tahoma"/>
                <w:color w:val="auto"/>
                <w:sz w:val="22"/>
              </w:rPr>
              <w:t>duomenų saugyklai</w:t>
            </w:r>
          </w:p>
        </w:tc>
      </w:tr>
      <w:tr w:rsidR="00EF6A87" w:rsidRPr="005E2F09" w14:paraId="14E11747" w14:textId="77777777" w:rsidTr="00DD6904">
        <w:trPr>
          <w:tblHeader/>
        </w:trPr>
        <w:tc>
          <w:tcPr>
            <w:tcW w:w="332" w:type="pct"/>
          </w:tcPr>
          <w:p w14:paraId="707EC9E5" w14:textId="77777777" w:rsidR="00EF6A87" w:rsidRPr="005E2F09" w:rsidRDefault="00EF6A87" w:rsidP="00DD6904">
            <w:pPr>
              <w:pStyle w:val="Lentelsturinys"/>
              <w:framePr w:hSpace="0" w:wrap="auto" w:vAnchor="margin" w:xAlign="left" w:yAlign="inline"/>
              <w:suppressOverlap w:val="0"/>
              <w:rPr>
                <w:rFonts w:cs="Tahoma"/>
              </w:rPr>
            </w:pPr>
            <w:bookmarkStart w:id="2" w:name="_Hlk202778655"/>
            <w:r w:rsidRPr="005E2F09">
              <w:rPr>
                <w:rFonts w:cs="Tahoma"/>
              </w:rPr>
              <w:t>1.</w:t>
            </w:r>
          </w:p>
        </w:tc>
        <w:tc>
          <w:tcPr>
            <w:tcW w:w="917" w:type="pct"/>
          </w:tcPr>
          <w:p w14:paraId="4B1449BB"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Duomenų saugyklos tipas</w:t>
            </w:r>
          </w:p>
        </w:tc>
        <w:tc>
          <w:tcPr>
            <w:tcW w:w="3751" w:type="pct"/>
          </w:tcPr>
          <w:p w14:paraId="645D685E"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Objektinė ir NAS duomenų saugykla, aiškiai apibrėžta kaip tokia, gamintojo viešojoje svetainėje.</w:t>
            </w:r>
          </w:p>
          <w:p w14:paraId="6E79CB64"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Saugykla turi būti sudaryta iš atskirų mazgų duomenų apdorojimui ir saugojimui arba vieningų mazgų duomenų apdorojimui ir saugojimui.</w:t>
            </w:r>
          </w:p>
          <w:p w14:paraId="517CB516"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Tiekėjo siūlomo sprendimo komponentai turi užtikrinti duomenų saugojimo talpą, duomenų apdorojimo galimybes, duomenų paslaugas, ryšių sąsajas (vadinamas "</w:t>
            </w:r>
            <w:proofErr w:type="spellStart"/>
            <w:r w:rsidRPr="005E2F09">
              <w:rPr>
                <w:rFonts w:cs="Tahoma"/>
              </w:rPr>
              <w:t>back-end</w:t>
            </w:r>
            <w:proofErr w:type="spellEnd"/>
            <w:r w:rsidRPr="005E2F09">
              <w:rPr>
                <w:rFonts w:cs="Tahoma"/>
              </w:rPr>
              <w:t>") ir duomenų prieigos sąsajas (vadinamas "</w:t>
            </w:r>
            <w:proofErr w:type="spellStart"/>
            <w:r w:rsidRPr="005E2F09">
              <w:rPr>
                <w:rFonts w:cs="Tahoma"/>
              </w:rPr>
              <w:t>front-end</w:t>
            </w:r>
            <w:proofErr w:type="spellEnd"/>
            <w:r w:rsidRPr="005E2F09">
              <w:rPr>
                <w:rFonts w:cs="Tahoma"/>
              </w:rPr>
              <w:t>").</w:t>
            </w:r>
          </w:p>
          <w:p w14:paraId="383BED47"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Objektinė ir NAS duomenų saugojimo architektūra turi leisti plėtimą, netrikdant sistemos, pridedant komponentų, kad būtų pagerintas našumas arba naudinga talpa.</w:t>
            </w:r>
          </w:p>
          <w:p w14:paraId="6E0A7FED"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Objektinė ir NAS saugyklos architektūra turi palaikyti geografiškai paskirstytus klasterius, kuriuose saugojimo mazgai yra bent dviejuose vienas nuo kito nutolusiuose duomenų centruose.</w:t>
            </w:r>
          </w:p>
          <w:p w14:paraId="23DA9DB6"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b/>
                <w:bCs/>
              </w:rPr>
              <w:t>Pastaba</w:t>
            </w:r>
            <w:r w:rsidRPr="005E2F09">
              <w:rPr>
                <w:rFonts w:cs="Tahoma"/>
              </w:rPr>
              <w:t xml:space="preserve">. Perkančioji organizacija prašo kartu su pasiūlymu pateikti visus įrodančius dokumentus </w:t>
            </w:r>
            <w:proofErr w:type="spellStart"/>
            <w:r w:rsidRPr="005E2F09">
              <w:rPr>
                <w:rFonts w:cs="Tahoma"/>
              </w:rPr>
              <w:t>pdf</w:t>
            </w:r>
            <w:proofErr w:type="spellEnd"/>
            <w:r w:rsidRPr="005E2F09">
              <w:rPr>
                <w:rFonts w:cs="Tahoma"/>
              </w:rPr>
              <w:t xml:space="preserve"> formatu.</w:t>
            </w:r>
          </w:p>
        </w:tc>
      </w:tr>
      <w:bookmarkEnd w:id="2"/>
      <w:tr w:rsidR="00EF6A87" w:rsidRPr="005E2F09" w14:paraId="387AC6A3" w14:textId="77777777" w:rsidTr="00DD6904">
        <w:trPr>
          <w:tblHeader/>
        </w:trPr>
        <w:tc>
          <w:tcPr>
            <w:tcW w:w="332" w:type="pct"/>
          </w:tcPr>
          <w:p w14:paraId="1A46AF33" w14:textId="77777777" w:rsidR="00EF6A87" w:rsidRPr="005E2F09" w:rsidRDefault="00EF6A87" w:rsidP="00DD6904">
            <w:pPr>
              <w:pStyle w:val="Lentelsturinys"/>
              <w:framePr w:hSpace="0" w:wrap="auto" w:vAnchor="margin" w:xAlign="left" w:yAlign="inline"/>
              <w:suppressOverlap w:val="0"/>
              <w:rPr>
                <w:rFonts w:cs="Tahoma"/>
              </w:rPr>
            </w:pPr>
            <w:r w:rsidRPr="005E2F09">
              <w:rPr>
                <w:rFonts w:cs="Tahoma"/>
              </w:rPr>
              <w:t>2.</w:t>
            </w:r>
          </w:p>
        </w:tc>
        <w:tc>
          <w:tcPr>
            <w:tcW w:w="917" w:type="pct"/>
          </w:tcPr>
          <w:p w14:paraId="24BBF80B"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 xml:space="preserve">Protokolų palaikymas ir </w:t>
            </w:r>
            <w:r w:rsidRPr="005E2F09">
              <w:rPr>
                <w:rFonts w:cs="Tahoma"/>
              </w:rPr>
              <w:lastRenderedPageBreak/>
              <w:t>duomenų valdymas</w:t>
            </w:r>
          </w:p>
        </w:tc>
        <w:tc>
          <w:tcPr>
            <w:tcW w:w="3751" w:type="pct"/>
          </w:tcPr>
          <w:p w14:paraId="5A278088" w14:textId="0579EDA8" w:rsidR="00EF6A87" w:rsidRPr="005E2F09" w:rsidRDefault="00EF6A87" w:rsidP="006E008A">
            <w:pPr>
              <w:pStyle w:val="Lentelsturinys"/>
              <w:framePr w:hSpace="0" w:wrap="auto" w:vAnchor="margin" w:xAlign="left" w:yAlign="inline"/>
              <w:suppressOverlap w:val="0"/>
              <w:jc w:val="both"/>
              <w:rPr>
                <w:rFonts w:cs="Tahoma"/>
              </w:rPr>
            </w:pPr>
            <w:r w:rsidRPr="005E2F09">
              <w:rPr>
                <w:rFonts w:cs="Tahoma"/>
              </w:rPr>
              <w:lastRenderedPageBreak/>
              <w:t>Objektinė ir NAS duomenų saugykla turi palaikyti NFS V3 ir V4.1</w:t>
            </w:r>
            <w:r w:rsidR="009836F6" w:rsidRPr="005E2F09">
              <w:rPr>
                <w:rFonts w:cs="Tahoma"/>
              </w:rPr>
              <w:t xml:space="preserve"> </w:t>
            </w:r>
            <w:r w:rsidRPr="005E2F09">
              <w:rPr>
                <w:rFonts w:cs="Tahoma"/>
              </w:rPr>
              <w:t xml:space="preserve">ir S3 duomenų perdavimo protokolus arba lygiaverčius. Duomenys, </w:t>
            </w:r>
            <w:r w:rsidRPr="005E2F09">
              <w:rPr>
                <w:rFonts w:cs="Tahoma"/>
              </w:rPr>
              <w:lastRenderedPageBreak/>
              <w:t>naudojantys šiuos protokolus, turi būti prieinami iš kiekvieno objektų saugojimo klasterio mazgo be papildomos šliuzo įrangos. Visi saugomi failai turi būti prieinami per visus palaikomus protokolus vienu metu. Jei siūlomas sprendimas to nepalaiko, leidžiama pasiūlyti 50 % didesnės talpos sprendimą, nes kai kurie saugomi failai bus dubliuojami tarp skirtingų protokolų.</w:t>
            </w:r>
            <w:r w:rsidR="006E008A" w:rsidRPr="005E2F09">
              <w:rPr>
                <w:rFonts w:cs="Tahoma"/>
              </w:rPr>
              <w:t xml:space="preserve"> Dubliavimas neturi įtakoti našumo.</w:t>
            </w:r>
          </w:p>
        </w:tc>
      </w:tr>
      <w:tr w:rsidR="00EF6A87" w:rsidRPr="005E2F09" w14:paraId="202B0EFA" w14:textId="77777777" w:rsidTr="00DD6904">
        <w:trPr>
          <w:tblHeader/>
        </w:trPr>
        <w:tc>
          <w:tcPr>
            <w:tcW w:w="332" w:type="pct"/>
          </w:tcPr>
          <w:p w14:paraId="59231DE6" w14:textId="77777777" w:rsidR="00EF6A87" w:rsidRPr="005E2F09" w:rsidRDefault="00EF6A87" w:rsidP="00DD6904">
            <w:pPr>
              <w:pStyle w:val="Lentelsturinys"/>
              <w:framePr w:hSpace="0" w:wrap="auto" w:vAnchor="margin" w:xAlign="left" w:yAlign="inline"/>
              <w:suppressOverlap w:val="0"/>
              <w:rPr>
                <w:rFonts w:cs="Tahoma"/>
              </w:rPr>
            </w:pPr>
            <w:r w:rsidRPr="005E2F09">
              <w:rPr>
                <w:rFonts w:cs="Tahoma"/>
              </w:rPr>
              <w:lastRenderedPageBreak/>
              <w:t>3.</w:t>
            </w:r>
          </w:p>
        </w:tc>
        <w:tc>
          <w:tcPr>
            <w:tcW w:w="917" w:type="pct"/>
          </w:tcPr>
          <w:p w14:paraId="333EF3B8"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Duomenų saugojimo talpa</w:t>
            </w:r>
          </w:p>
        </w:tc>
        <w:tc>
          <w:tcPr>
            <w:tcW w:w="3751" w:type="pct"/>
          </w:tcPr>
          <w:p w14:paraId="313EE2DB" w14:textId="714D1436" w:rsidR="006E008A" w:rsidRPr="005E2F09" w:rsidRDefault="00EF6A87" w:rsidP="006E008A">
            <w:pPr>
              <w:pStyle w:val="Lentelsturinys"/>
              <w:framePr w:hSpace="0" w:wrap="auto" w:vAnchor="margin" w:xAlign="left" w:yAlign="inline"/>
              <w:suppressOverlap w:val="0"/>
              <w:jc w:val="both"/>
              <w:rPr>
                <w:rFonts w:cs="Tahoma"/>
              </w:rPr>
            </w:pPr>
            <w:r w:rsidRPr="005E2F09">
              <w:rPr>
                <w:rFonts w:cs="Tahoma"/>
              </w:rPr>
              <w:t xml:space="preserve">Įsigyjamos dvi </w:t>
            </w:r>
            <w:r w:rsidR="00084AFF" w:rsidRPr="005E2F09">
              <w:rPr>
                <w:rFonts w:cs="Tahoma"/>
              </w:rPr>
              <w:t xml:space="preserve">unifikuotos hibridinės duomenų </w:t>
            </w:r>
            <w:r w:rsidRPr="005E2F09">
              <w:rPr>
                <w:rFonts w:cs="Tahoma"/>
              </w:rPr>
              <w:t>saugyklos, talpinamos dviejuose skirtinguose perkančiosios organizacijos duomenų centruose, kurių kiekvienos minimali naudingoji talpa yra 1,6 PB.</w:t>
            </w:r>
            <w:r w:rsidR="006E008A" w:rsidRPr="005E2F09">
              <w:rPr>
                <w:rFonts w:cs="Tahoma"/>
              </w:rPr>
              <w:t xml:space="preserve"> Skaičiavimai neatsižvelgia į suspaudimą/</w:t>
            </w:r>
            <w:proofErr w:type="spellStart"/>
            <w:r w:rsidR="006E008A" w:rsidRPr="005E2F09">
              <w:rPr>
                <w:rFonts w:cs="Tahoma"/>
              </w:rPr>
              <w:t>dedublikaciją</w:t>
            </w:r>
            <w:proofErr w:type="spellEnd"/>
            <w:r w:rsidR="006E008A" w:rsidRPr="005E2F09">
              <w:rPr>
                <w:rFonts w:cs="Tahoma"/>
              </w:rPr>
              <w:t>.</w:t>
            </w:r>
          </w:p>
          <w:p w14:paraId="1118BAA7" w14:textId="5491B330"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 xml:space="preserve"> Jei duomenys bus dubliuojami tarp abiejų duomenų centrų, bendra talpa vis tiek turi leisti saugoti 1,6 PB unikalių duomenų (vienos duomenų saugyklos talpa naudojama kitos duomenų saugyklos duomenims dubliuoti).</w:t>
            </w:r>
          </w:p>
          <w:p w14:paraId="7CBD6637" w14:textId="68290AEE"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 xml:space="preserve">Ši naudinga talpa turi būti pasiekta neviršijant objektinės ir NAS duomenų saugyklos naudingos talpos. Jei gamintojo geriausia praktika rekomenduoja užpildyti sistemą mažiau nei 100 %, kad būtų išlaikytas optimalus veikimas, atitinkamai turi būti numatyta papildoma naudinga talpa. Pavyzdžiui, jei geriausia praktika rekomenduoja užpildyti sistemą ne daugiau kaip 80 %, Sprendimas turi suteikti </w:t>
            </w:r>
            <w:r w:rsidR="00084AFF" w:rsidRPr="005E2F09">
              <w:rPr>
                <w:rFonts w:cs="Tahoma"/>
              </w:rPr>
              <w:t>2</w:t>
            </w:r>
            <w:r w:rsidRPr="005E2F09">
              <w:rPr>
                <w:rFonts w:cs="Tahoma"/>
              </w:rPr>
              <w:t xml:space="preserve"> PB / 0,8 = 1,</w:t>
            </w:r>
            <w:r w:rsidR="00084AFF" w:rsidRPr="005E2F09">
              <w:rPr>
                <w:rFonts w:cs="Tahoma"/>
              </w:rPr>
              <w:t>6</w:t>
            </w:r>
            <w:r w:rsidRPr="005E2F09">
              <w:rPr>
                <w:rFonts w:cs="Tahoma"/>
              </w:rPr>
              <w:t xml:space="preserve"> PB naudingos talpos.</w:t>
            </w:r>
          </w:p>
          <w:p w14:paraId="09074C1D" w14:textId="3FAF409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 xml:space="preserve">Turi būti </w:t>
            </w:r>
            <w:r w:rsidRPr="005E2F09">
              <w:rPr>
                <w:rFonts w:cs="Tahoma"/>
                <w:b/>
                <w:bCs/>
              </w:rPr>
              <w:t>kartu su pasiūlymu pateikta</w:t>
            </w:r>
            <w:r w:rsidRPr="005E2F09">
              <w:rPr>
                <w:rFonts w:cs="Tahoma"/>
              </w:rPr>
              <w:t xml:space="preserve"> nuoroda į atitinkamo gamintojo geriausios praktikos dokumentą arba viešai prieinamą gamintojo svetainės puslapį, kuriame šie metodai aprašyti. Perkančioji organizacija prašo pateikti </w:t>
            </w:r>
            <w:proofErr w:type="spellStart"/>
            <w:r w:rsidRPr="005E2F09">
              <w:rPr>
                <w:rFonts w:cs="Tahoma"/>
              </w:rPr>
              <w:t>pdf</w:t>
            </w:r>
            <w:proofErr w:type="spellEnd"/>
            <w:r w:rsidRPr="005E2F09">
              <w:rPr>
                <w:rFonts w:cs="Tahoma"/>
              </w:rPr>
              <w:t xml:space="preserve"> dokumentą.</w:t>
            </w:r>
          </w:p>
          <w:p w14:paraId="77FF9906"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b/>
                <w:bCs/>
              </w:rPr>
              <w:t>Pastaba</w:t>
            </w:r>
            <w:r w:rsidRPr="005E2F09">
              <w:rPr>
                <w:rFonts w:cs="Tahoma"/>
              </w:rPr>
              <w:t>. Skaičiuojant talpą daroma prielaida, kad 1 TB = 2</w:t>
            </w:r>
            <w:r w:rsidRPr="005E2F09">
              <w:rPr>
                <w:rFonts w:cs="Tahoma"/>
                <w:vertAlign w:val="superscript"/>
              </w:rPr>
              <w:t>40</w:t>
            </w:r>
            <w:r w:rsidRPr="005E2F09">
              <w:rPr>
                <w:rFonts w:cs="Tahoma"/>
              </w:rPr>
              <w:t xml:space="preserve"> baitų.</w:t>
            </w:r>
          </w:p>
          <w:p w14:paraId="239E66A1"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Nepriklausomos duomenų kopijos turi būti saugomos ne mažiau kaip dviejuose perkančiosios organizacijos duomenų centruose. Objektinės saugyklos naudingoji talpa turi būti pakankama, kad būtų galima išsaugoti visus duomenis, jei prarandamas vienas duomenų centras. Talpa, reikalinga paslaugų duomenims, neįtraukiama į naudingąją talpą.</w:t>
            </w:r>
          </w:p>
          <w:p w14:paraId="0ED3F440"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Visa reikalinga objektinės ir NAS duomenų saugyklos talpa turi būti prieinama naudotojams per bet kurį objektinės saugyklos klasterio mazgą ir turi būti pateikta kaip vieninga talpa su viena vardų sritimi turinio prieigai. Taip pat turi būti įmanoma sukonfigūruoti saugyklą, kad būtų galima naudoti kelias vardų sritis.</w:t>
            </w:r>
          </w:p>
          <w:p w14:paraId="6D6A4020" w14:textId="155EB692"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 xml:space="preserve">Sprendimo talpos skaičiavimai turi būti atliekami neatsižvelgiant į duomenų dubliavimo ir suspaudimo teikiamą naudą. Naudojami pajėgumai negali būti naudojami duomenų apsaugai (dubliavimui ar kitoms duomenų apsaugos technologijoms, pvz. "ištrynimo kodavimo" (angl. </w:t>
            </w:r>
            <w:r w:rsidRPr="005E2F09">
              <w:rPr>
                <w:rFonts w:eastAsiaTheme="minorHAnsi" w:cs="Tahoma"/>
                <w:color w:val="000000"/>
                <w:bdr w:val="none" w:sz="0" w:space="0" w:color="auto" w:frame="1"/>
              </w:rPr>
              <w:t xml:space="preserve"> </w:t>
            </w:r>
            <w:proofErr w:type="spellStart"/>
            <w:r w:rsidRPr="005E2F09">
              <w:rPr>
                <w:rFonts w:cs="Tahoma"/>
              </w:rPr>
              <w:t>Erasure</w:t>
            </w:r>
            <w:proofErr w:type="spellEnd"/>
            <w:r w:rsidRPr="005E2F09">
              <w:rPr>
                <w:rFonts w:cs="Tahoma"/>
              </w:rPr>
              <w:t xml:space="preserve"> </w:t>
            </w:r>
            <w:proofErr w:type="spellStart"/>
            <w:r w:rsidRPr="005E2F09">
              <w:rPr>
                <w:rFonts w:cs="Tahoma"/>
              </w:rPr>
              <w:t>Coding</w:t>
            </w:r>
            <w:proofErr w:type="spellEnd"/>
            <w:r w:rsidRPr="005E2F09">
              <w:rPr>
                <w:rFonts w:cs="Tahoma"/>
              </w:rPr>
              <w:t>). Objektų, saugomų objektinėje duomenų saugykloje, skaičiaus negali riboti programinės įrangos kodas, neatsižvelgiant į naudojamą API.</w:t>
            </w:r>
          </w:p>
        </w:tc>
      </w:tr>
      <w:tr w:rsidR="00EF6A87" w:rsidRPr="005E2F09" w14:paraId="09C5678D" w14:textId="77777777" w:rsidTr="00DD6904">
        <w:trPr>
          <w:tblHeader/>
        </w:trPr>
        <w:tc>
          <w:tcPr>
            <w:tcW w:w="332" w:type="pct"/>
          </w:tcPr>
          <w:p w14:paraId="2EEA5055" w14:textId="77777777" w:rsidR="00EF6A87" w:rsidRPr="005E2F09" w:rsidRDefault="00EF6A87" w:rsidP="00DD6904">
            <w:pPr>
              <w:pStyle w:val="Lentelsturinys"/>
              <w:framePr w:hSpace="0" w:wrap="auto" w:vAnchor="margin" w:xAlign="left" w:yAlign="inline"/>
              <w:suppressOverlap w:val="0"/>
              <w:rPr>
                <w:rFonts w:cs="Tahoma"/>
              </w:rPr>
            </w:pPr>
            <w:r w:rsidRPr="005E2F09">
              <w:rPr>
                <w:rFonts w:cs="Tahoma"/>
              </w:rPr>
              <w:t>4.</w:t>
            </w:r>
          </w:p>
        </w:tc>
        <w:tc>
          <w:tcPr>
            <w:tcW w:w="917" w:type="pct"/>
          </w:tcPr>
          <w:p w14:paraId="6E18999A"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Duomenų saugojimo našumas</w:t>
            </w:r>
          </w:p>
        </w:tc>
        <w:tc>
          <w:tcPr>
            <w:tcW w:w="3751" w:type="pct"/>
          </w:tcPr>
          <w:p w14:paraId="163B0570" w14:textId="12F4848E" w:rsidR="00E96609" w:rsidRPr="005E2F09" w:rsidRDefault="00E96609" w:rsidP="00DD6904">
            <w:pPr>
              <w:pStyle w:val="Lentelsturinys"/>
              <w:framePr w:hSpace="0" w:wrap="auto" w:vAnchor="margin" w:xAlign="left" w:yAlign="inline"/>
              <w:suppressOverlap w:val="0"/>
              <w:jc w:val="both"/>
              <w:rPr>
                <w:rFonts w:cs="Tahoma"/>
              </w:rPr>
            </w:pPr>
            <w:r w:rsidRPr="005E2F09">
              <w:rPr>
                <w:rFonts w:cs="Tahoma"/>
              </w:rPr>
              <w:t xml:space="preserve">Didžiausias pasiekiamas siūlomos S3 API duomenų saugojimo konfigūracijos našumas turi būti ne mažesnis kaip </w:t>
            </w:r>
            <w:r w:rsidR="000943D0">
              <w:rPr>
                <w:rFonts w:cs="Tahoma"/>
              </w:rPr>
              <w:t>5,2</w:t>
            </w:r>
            <w:r w:rsidR="00886CE1">
              <w:rPr>
                <w:rFonts w:cs="Tahoma"/>
              </w:rPr>
              <w:t>5</w:t>
            </w:r>
            <w:r w:rsidRPr="005E2F09">
              <w:rPr>
                <w:rFonts w:cs="Tahoma"/>
              </w:rPr>
              <w:t xml:space="preserve"> GB/s skaitymo operacijoms </w:t>
            </w:r>
            <w:r w:rsidRPr="005E2F09">
              <w:t xml:space="preserve"> </w:t>
            </w:r>
            <w:r w:rsidRPr="005E2F09">
              <w:rPr>
                <w:rFonts w:cs="Tahoma"/>
              </w:rPr>
              <w:t>(</w:t>
            </w:r>
            <w:proofErr w:type="spellStart"/>
            <w:r w:rsidRPr="005E2F09">
              <w:rPr>
                <w:rFonts w:cs="Tahoma"/>
              </w:rPr>
              <w:t>uncached</w:t>
            </w:r>
            <w:proofErr w:type="spellEnd"/>
            <w:r w:rsidRPr="005E2F09">
              <w:rPr>
                <w:rFonts w:cs="Tahoma"/>
              </w:rPr>
              <w:t xml:space="preserve"> </w:t>
            </w:r>
            <w:proofErr w:type="spellStart"/>
            <w:r w:rsidRPr="005E2F09">
              <w:rPr>
                <w:rFonts w:cs="Tahoma"/>
              </w:rPr>
              <w:t>read</w:t>
            </w:r>
            <w:proofErr w:type="spellEnd"/>
            <w:r w:rsidRPr="005E2F09">
              <w:rPr>
                <w:rFonts w:cs="Tahoma"/>
              </w:rPr>
              <w:t xml:space="preserve">) ir </w:t>
            </w:r>
            <w:r w:rsidR="000943D0">
              <w:rPr>
                <w:rFonts w:cs="Tahoma"/>
              </w:rPr>
              <w:t>2,</w:t>
            </w:r>
            <w:r w:rsidR="00886CE1">
              <w:rPr>
                <w:rFonts w:cs="Tahoma"/>
              </w:rPr>
              <w:t>32</w:t>
            </w:r>
            <w:r w:rsidRPr="005E2F09">
              <w:rPr>
                <w:rFonts w:cs="Tahoma"/>
              </w:rPr>
              <w:t xml:space="preserve"> GB/s rašymo operacijoms </w:t>
            </w:r>
            <w:r w:rsidRPr="005E2F09">
              <w:t xml:space="preserve"> </w:t>
            </w:r>
            <w:r w:rsidRPr="005E2F09">
              <w:rPr>
                <w:rFonts w:cs="Tahoma"/>
              </w:rPr>
              <w:t>(</w:t>
            </w:r>
            <w:proofErr w:type="spellStart"/>
            <w:r w:rsidRPr="005E2F09">
              <w:rPr>
                <w:rFonts w:cs="Tahoma"/>
              </w:rPr>
              <w:t>sustained</w:t>
            </w:r>
            <w:proofErr w:type="spellEnd"/>
            <w:r w:rsidRPr="005E2F09">
              <w:rPr>
                <w:rFonts w:cs="Tahoma"/>
              </w:rPr>
              <w:t xml:space="preserve"> </w:t>
            </w:r>
            <w:proofErr w:type="spellStart"/>
            <w:r w:rsidRPr="005E2F09">
              <w:rPr>
                <w:rFonts w:cs="Tahoma"/>
              </w:rPr>
              <w:t>write</w:t>
            </w:r>
            <w:proofErr w:type="spellEnd"/>
            <w:r w:rsidRPr="005E2F09">
              <w:rPr>
                <w:rFonts w:cs="Tahoma"/>
              </w:rPr>
              <w:t>). Vieno srauto rašymo operacijos našumas neturi būti blogesnis nei 1000 MB/s.</w:t>
            </w:r>
          </w:p>
          <w:p w14:paraId="40C9A926" w14:textId="643034F5" w:rsidR="00EF6A87" w:rsidRPr="005E2F09" w:rsidRDefault="00EF6A87" w:rsidP="006E008A">
            <w:pPr>
              <w:pStyle w:val="Lentelsturinys"/>
              <w:framePr w:hSpace="0" w:wrap="auto" w:vAnchor="margin" w:xAlign="left" w:yAlign="inline"/>
              <w:suppressOverlap w:val="0"/>
              <w:jc w:val="both"/>
              <w:rPr>
                <w:rFonts w:cs="Tahoma"/>
              </w:rPr>
            </w:pPr>
            <w:r w:rsidRPr="005E2F09">
              <w:rPr>
                <w:rFonts w:cs="Tahoma"/>
              </w:rPr>
              <w:t xml:space="preserve">Siūlomas duomenų saugojimo našumas naudojant NFS turi užtikrinti ne mažiau kaip </w:t>
            </w:r>
            <w:r w:rsidR="000943D0">
              <w:rPr>
                <w:rFonts w:cs="Tahoma"/>
              </w:rPr>
              <w:t>5,2</w:t>
            </w:r>
            <w:r w:rsidR="00886CE1">
              <w:rPr>
                <w:rFonts w:cs="Tahoma"/>
              </w:rPr>
              <w:t>5</w:t>
            </w:r>
            <w:r w:rsidRPr="005E2F09">
              <w:rPr>
                <w:rFonts w:cs="Tahoma"/>
              </w:rPr>
              <w:t xml:space="preserve"> GB/s skaitymo operacijoms</w:t>
            </w:r>
            <w:r w:rsidR="00E96609" w:rsidRPr="005E2F09">
              <w:rPr>
                <w:rFonts w:cs="Tahoma"/>
              </w:rPr>
              <w:t xml:space="preserve"> (</w:t>
            </w:r>
            <w:proofErr w:type="spellStart"/>
            <w:r w:rsidR="00E96609" w:rsidRPr="005E2F09">
              <w:rPr>
                <w:rFonts w:cs="Tahoma"/>
              </w:rPr>
              <w:t>uncached</w:t>
            </w:r>
            <w:proofErr w:type="spellEnd"/>
            <w:r w:rsidR="00E96609" w:rsidRPr="005E2F09">
              <w:rPr>
                <w:rFonts w:cs="Tahoma"/>
              </w:rPr>
              <w:t xml:space="preserve"> </w:t>
            </w:r>
            <w:proofErr w:type="spellStart"/>
            <w:r w:rsidR="00E96609" w:rsidRPr="005E2F09">
              <w:rPr>
                <w:rFonts w:cs="Tahoma"/>
              </w:rPr>
              <w:t>read</w:t>
            </w:r>
            <w:proofErr w:type="spellEnd"/>
            <w:r w:rsidR="00E96609" w:rsidRPr="005E2F09">
              <w:rPr>
                <w:rFonts w:cs="Tahoma"/>
              </w:rPr>
              <w:t>)</w:t>
            </w:r>
            <w:r w:rsidRPr="005E2F09">
              <w:rPr>
                <w:rFonts w:cs="Tahoma"/>
              </w:rPr>
              <w:t xml:space="preserve"> ir </w:t>
            </w:r>
            <w:r w:rsidR="000943D0">
              <w:rPr>
                <w:rFonts w:cs="Tahoma"/>
              </w:rPr>
              <w:t>2,</w:t>
            </w:r>
            <w:r w:rsidR="00886CE1">
              <w:rPr>
                <w:rFonts w:cs="Tahoma"/>
              </w:rPr>
              <w:t>3</w:t>
            </w:r>
            <w:r w:rsidR="000943D0">
              <w:rPr>
                <w:rFonts w:cs="Tahoma"/>
              </w:rPr>
              <w:t>2</w:t>
            </w:r>
            <w:r w:rsidRPr="005E2F09">
              <w:rPr>
                <w:rFonts w:cs="Tahoma"/>
              </w:rPr>
              <w:t xml:space="preserve"> GB/s rašymo operacijoms</w:t>
            </w:r>
            <w:r w:rsidR="00E96609" w:rsidRPr="005E2F09">
              <w:rPr>
                <w:rFonts w:cs="Tahoma"/>
              </w:rPr>
              <w:t xml:space="preserve"> </w:t>
            </w:r>
            <w:r w:rsidR="00E96609" w:rsidRPr="005E2F09">
              <w:t xml:space="preserve"> </w:t>
            </w:r>
            <w:r w:rsidR="00E96609" w:rsidRPr="005E2F09">
              <w:rPr>
                <w:rFonts w:cs="Tahoma"/>
              </w:rPr>
              <w:t>(</w:t>
            </w:r>
            <w:proofErr w:type="spellStart"/>
            <w:r w:rsidR="00E96609" w:rsidRPr="005E2F09">
              <w:rPr>
                <w:rFonts w:cs="Tahoma"/>
              </w:rPr>
              <w:t>sustained</w:t>
            </w:r>
            <w:proofErr w:type="spellEnd"/>
            <w:r w:rsidR="00E96609" w:rsidRPr="005E2F09">
              <w:rPr>
                <w:rFonts w:cs="Tahoma"/>
              </w:rPr>
              <w:t xml:space="preserve"> </w:t>
            </w:r>
            <w:proofErr w:type="spellStart"/>
            <w:r w:rsidR="00E96609" w:rsidRPr="005E2F09">
              <w:rPr>
                <w:rFonts w:cs="Tahoma"/>
              </w:rPr>
              <w:t>write</w:t>
            </w:r>
            <w:proofErr w:type="spellEnd"/>
            <w:r w:rsidR="00E96609" w:rsidRPr="005E2F09">
              <w:rPr>
                <w:rFonts w:cs="Tahoma"/>
              </w:rPr>
              <w:t>)</w:t>
            </w:r>
            <w:r w:rsidRPr="005E2F09">
              <w:rPr>
                <w:rFonts w:cs="Tahoma"/>
              </w:rPr>
              <w:t xml:space="preserve">. Vieno srauto įrašymo našumas turi būti ne mažesnis kaip 1000 MB/s. </w:t>
            </w:r>
          </w:p>
          <w:p w14:paraId="1479F8D7" w14:textId="77777777" w:rsidR="001616E7" w:rsidRPr="005E2F09" w:rsidRDefault="001616E7" w:rsidP="00DD6904">
            <w:pPr>
              <w:pStyle w:val="Lentelsturinys"/>
              <w:framePr w:hSpace="0" w:wrap="auto" w:vAnchor="margin" w:xAlign="left" w:yAlign="inline"/>
              <w:suppressOverlap w:val="0"/>
              <w:jc w:val="both"/>
              <w:rPr>
                <w:rFonts w:cs="Tahoma"/>
              </w:rPr>
            </w:pPr>
          </w:p>
          <w:p w14:paraId="4F5BB0CF" w14:textId="4C517F3A" w:rsidR="004E12D4" w:rsidRPr="005E2F09" w:rsidRDefault="004E12D4" w:rsidP="00DD6904">
            <w:pPr>
              <w:pStyle w:val="Lentelsturinys"/>
              <w:framePr w:hSpace="0" w:wrap="auto" w:vAnchor="margin" w:xAlign="left" w:yAlign="inline"/>
              <w:suppressOverlap w:val="0"/>
              <w:jc w:val="both"/>
              <w:rPr>
                <w:rFonts w:cs="Tahoma"/>
              </w:rPr>
            </w:pPr>
            <w:r w:rsidRPr="005E2F09">
              <w:rPr>
                <w:rFonts w:cs="Tahoma"/>
                <w:b/>
                <w:bCs/>
              </w:rPr>
              <w:lastRenderedPageBreak/>
              <w:t>Pastaba</w:t>
            </w:r>
            <w:r w:rsidRPr="005E2F09">
              <w:rPr>
                <w:rFonts w:cs="Tahoma"/>
              </w:rPr>
              <w:t xml:space="preserve">. </w:t>
            </w:r>
            <w:r w:rsidR="00D70AE1" w:rsidRPr="005E2F09">
              <w:rPr>
                <w:rFonts w:cs="Tahoma"/>
              </w:rPr>
              <w:t>Sprendimo n</w:t>
            </w:r>
            <w:r w:rsidRPr="005E2F09">
              <w:rPr>
                <w:rFonts w:cs="Tahoma"/>
              </w:rPr>
              <w:t xml:space="preserve">ašumas gali būti pateiktas </w:t>
            </w:r>
            <w:r w:rsidR="003D223D" w:rsidRPr="005E2F09">
              <w:rPr>
                <w:rFonts w:cs="Tahoma"/>
              </w:rPr>
              <w:t xml:space="preserve">kiekvienam protokolui (S3, NFS) </w:t>
            </w:r>
            <w:r w:rsidRPr="005E2F09">
              <w:rPr>
                <w:rFonts w:cs="Tahoma"/>
              </w:rPr>
              <w:t>alternatyviu būdu</w:t>
            </w:r>
            <w:r w:rsidR="003D223D" w:rsidRPr="005E2F09">
              <w:rPr>
                <w:rFonts w:cs="Tahoma"/>
              </w:rPr>
              <w:t xml:space="preserve"> </w:t>
            </w:r>
            <w:r w:rsidR="00E37FED" w:rsidRPr="005E2F09">
              <w:rPr>
                <w:rFonts w:cs="Tahoma"/>
              </w:rPr>
              <w:t>t. y. GB/s arba IOPS</w:t>
            </w:r>
            <w:r w:rsidRPr="005E2F09">
              <w:rPr>
                <w:rFonts w:cs="Tahoma"/>
              </w:rPr>
              <w:t>, pvz</w:t>
            </w:r>
            <w:r w:rsidR="00E37FED" w:rsidRPr="005E2F09">
              <w:rPr>
                <w:rFonts w:cs="Tahoma"/>
              </w:rPr>
              <w:t>.</w:t>
            </w:r>
            <w:r w:rsidRPr="005E2F09">
              <w:rPr>
                <w:rFonts w:cs="Tahoma"/>
              </w:rPr>
              <w:t>:</w:t>
            </w:r>
          </w:p>
          <w:p w14:paraId="2422028F" w14:textId="3C075EE7" w:rsidR="004E12D4" w:rsidRPr="005E2F09" w:rsidRDefault="004E12D4" w:rsidP="004E12D4">
            <w:pPr>
              <w:pStyle w:val="Lentelsturinys"/>
              <w:framePr w:hSpace="0" w:wrap="auto" w:vAnchor="margin" w:xAlign="left" w:yAlign="inline"/>
              <w:suppressOverlap w:val="0"/>
              <w:jc w:val="both"/>
              <w:rPr>
                <w:rFonts w:cs="Tahoma"/>
              </w:rPr>
            </w:pPr>
            <w:r w:rsidRPr="005E2F09">
              <w:rPr>
                <w:rFonts w:cs="Tahoma"/>
              </w:rPr>
              <w:t>Skaitymo našumas (</w:t>
            </w:r>
            <w:r w:rsidR="00C43338">
              <w:rPr>
                <w:rFonts w:cs="Tahoma"/>
              </w:rPr>
              <w:t>5,2</w:t>
            </w:r>
            <w:r w:rsidR="00886CE1">
              <w:rPr>
                <w:rFonts w:cs="Tahoma"/>
              </w:rPr>
              <w:t>5</w:t>
            </w:r>
            <w:r w:rsidRPr="005E2F09">
              <w:rPr>
                <w:rFonts w:cs="Tahoma"/>
              </w:rPr>
              <w:t xml:space="preserve"> GB/s) –</w:t>
            </w:r>
            <w:r w:rsidR="00C43338">
              <w:rPr>
                <w:rFonts w:cs="Tahoma"/>
              </w:rPr>
              <w:t xml:space="preserve"> 8</w:t>
            </w:r>
            <w:r w:rsidR="00886CE1">
              <w:rPr>
                <w:rFonts w:cs="Tahoma"/>
              </w:rPr>
              <w:t>6000</w:t>
            </w:r>
            <w:r w:rsidRPr="005E2F09">
              <w:rPr>
                <w:rFonts w:cs="Tahoma"/>
              </w:rPr>
              <w:t xml:space="preserve"> IOPS (64 KB bloko dydis)</w:t>
            </w:r>
          </w:p>
          <w:p w14:paraId="01852008" w14:textId="6151641A" w:rsidR="004E12D4" w:rsidRPr="005E2F09" w:rsidRDefault="004E12D4" w:rsidP="004E12D4">
            <w:pPr>
              <w:pStyle w:val="Lentelsturinys"/>
              <w:framePr w:hSpace="0" w:wrap="auto" w:vAnchor="margin" w:xAlign="left" w:yAlign="inline"/>
              <w:suppressOverlap w:val="0"/>
              <w:jc w:val="both"/>
              <w:rPr>
                <w:rFonts w:cs="Tahoma"/>
              </w:rPr>
            </w:pPr>
            <w:r w:rsidRPr="005E2F09">
              <w:rPr>
                <w:rFonts w:cs="Tahoma"/>
              </w:rPr>
              <w:t>Rašymo našumas (</w:t>
            </w:r>
            <w:r w:rsidR="00C43338">
              <w:rPr>
                <w:rFonts w:cs="Tahoma"/>
              </w:rPr>
              <w:t>2,</w:t>
            </w:r>
            <w:r w:rsidR="00886CE1">
              <w:rPr>
                <w:rFonts w:cs="Tahoma"/>
              </w:rPr>
              <w:t>3</w:t>
            </w:r>
            <w:r w:rsidR="00C43338">
              <w:rPr>
                <w:rFonts w:cs="Tahoma"/>
              </w:rPr>
              <w:t>2</w:t>
            </w:r>
            <w:r w:rsidRPr="005E2F09">
              <w:rPr>
                <w:rFonts w:cs="Tahoma"/>
              </w:rPr>
              <w:t xml:space="preserve"> GB/s) –</w:t>
            </w:r>
            <w:r w:rsidR="00C43338">
              <w:rPr>
                <w:rFonts w:cs="Tahoma"/>
              </w:rPr>
              <w:t xml:space="preserve"> 3</w:t>
            </w:r>
            <w:r w:rsidR="00886CE1">
              <w:rPr>
                <w:rFonts w:cs="Tahoma"/>
              </w:rPr>
              <w:t>8000</w:t>
            </w:r>
            <w:r w:rsidR="00C43338">
              <w:rPr>
                <w:rFonts w:cs="Tahoma"/>
              </w:rPr>
              <w:t xml:space="preserve"> </w:t>
            </w:r>
            <w:r w:rsidRPr="005E2F09">
              <w:rPr>
                <w:rFonts w:cs="Tahoma"/>
              </w:rPr>
              <w:t>IOPS (64 KB bloko dydis)</w:t>
            </w:r>
          </w:p>
          <w:p w14:paraId="56A38F9B" w14:textId="6574B9AA" w:rsidR="004E12D4" w:rsidRPr="005E2F09" w:rsidRDefault="004E12D4" w:rsidP="004E12D4">
            <w:pPr>
              <w:pStyle w:val="Lentelsturinys"/>
              <w:framePr w:hSpace="0" w:wrap="auto" w:vAnchor="margin" w:xAlign="left" w:yAlign="inline"/>
              <w:suppressOverlap w:val="0"/>
              <w:jc w:val="both"/>
              <w:rPr>
                <w:rFonts w:cs="Tahoma"/>
              </w:rPr>
            </w:pPr>
            <w:r w:rsidRPr="005E2F09">
              <w:rPr>
                <w:rFonts w:cs="Tahoma"/>
              </w:rPr>
              <w:t>Vieno srauto rašymas (1000 MB/s) – 16 tūkst. IOPS (64 KB bloko dydis)</w:t>
            </w:r>
          </w:p>
          <w:p w14:paraId="577A0A9B" w14:textId="15271068" w:rsidR="004E12D4" w:rsidRDefault="004E12D4" w:rsidP="004E12D4">
            <w:pPr>
              <w:pStyle w:val="Lentelsturinys"/>
              <w:framePr w:hSpace="0" w:wrap="auto" w:vAnchor="margin" w:xAlign="left" w:yAlign="inline"/>
              <w:suppressOverlap w:val="0"/>
              <w:jc w:val="both"/>
              <w:rPr>
                <w:rFonts w:cs="Tahoma"/>
              </w:rPr>
            </w:pPr>
            <w:r w:rsidRPr="005E2F09">
              <w:rPr>
                <w:rFonts w:cs="Tahoma"/>
              </w:rPr>
              <w:t>DICOM sprendimuose 64 KB blokas laikomas „auksiniu standartu“ testuojant našumą ir konvertuojant GB/s į IOPS.</w:t>
            </w:r>
          </w:p>
          <w:p w14:paraId="4C607B3D" w14:textId="77777777" w:rsidR="009C32DA" w:rsidRDefault="009C32DA" w:rsidP="004E12D4">
            <w:pPr>
              <w:pStyle w:val="Lentelsturinys"/>
              <w:framePr w:hSpace="0" w:wrap="auto" w:vAnchor="margin" w:xAlign="left" w:yAlign="inline"/>
              <w:suppressOverlap w:val="0"/>
              <w:jc w:val="both"/>
              <w:rPr>
                <w:rFonts w:cs="Tahoma"/>
              </w:rPr>
            </w:pPr>
          </w:p>
          <w:p w14:paraId="2EAC5AE5" w14:textId="5604A991" w:rsidR="009C32DA" w:rsidRPr="005E2F09" w:rsidRDefault="009C32DA" w:rsidP="004E12D4">
            <w:pPr>
              <w:pStyle w:val="Lentelsturinys"/>
              <w:framePr w:hSpace="0" w:wrap="auto" w:vAnchor="margin" w:xAlign="left" w:yAlign="inline"/>
              <w:suppressOverlap w:val="0"/>
              <w:jc w:val="both"/>
              <w:rPr>
                <w:rFonts w:cs="Tahoma"/>
              </w:rPr>
            </w:pPr>
            <w:r>
              <w:rPr>
                <w:noProof/>
                <w14:ligatures w14:val="standardContextual"/>
              </w:rPr>
              <w:drawing>
                <wp:inline distT="0" distB="0" distL="0" distR="0" wp14:anchorId="0BE9FACB" wp14:editId="2A46EC6E">
                  <wp:extent cx="4497705" cy="812800"/>
                  <wp:effectExtent l="0" t="0" r="0" b="6350"/>
                  <wp:docPr id="868124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24917" name=""/>
                          <pic:cNvPicPr/>
                        </pic:nvPicPr>
                        <pic:blipFill>
                          <a:blip r:embed="rId11"/>
                          <a:stretch>
                            <a:fillRect/>
                          </a:stretch>
                        </pic:blipFill>
                        <pic:spPr>
                          <a:xfrm>
                            <a:off x="0" y="0"/>
                            <a:ext cx="4497705" cy="812800"/>
                          </a:xfrm>
                          <a:prstGeom prst="rect">
                            <a:avLst/>
                          </a:prstGeom>
                        </pic:spPr>
                      </pic:pic>
                    </a:graphicData>
                  </a:graphic>
                </wp:inline>
              </w:drawing>
            </w:r>
          </w:p>
          <w:p w14:paraId="27C5BBEA" w14:textId="77777777" w:rsidR="00D70AE1" w:rsidRPr="005E2F09" w:rsidRDefault="00D70AE1" w:rsidP="00DD6904">
            <w:pPr>
              <w:pStyle w:val="Lentelsturinys"/>
              <w:framePr w:hSpace="0" w:wrap="auto" w:vAnchor="margin" w:xAlign="left" w:yAlign="inline"/>
              <w:suppressOverlap w:val="0"/>
              <w:jc w:val="both"/>
              <w:rPr>
                <w:rFonts w:cs="Tahoma"/>
              </w:rPr>
            </w:pPr>
          </w:p>
          <w:p w14:paraId="136AE88E" w14:textId="7F8EE3CA"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Turi būti įmanoma padidinti maksimalų našumą ir pralaidumą pridedant papildomų mazgų.</w:t>
            </w:r>
          </w:p>
          <w:p w14:paraId="07684996"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Duomenų saugojimas viename perkančiosios organizacijos duomenų centre turi būti sukonfigūruotas taip, kad būtų užtikrinta, jog perkančiosios organizacijos duomenų centre saugomi duomenys būtų apsaugoti nuo praradimo ir kad skaitymo ir įrašymo operacijos būtų garantuojamos vienu metu, jei visiškai sugestų:</w:t>
            </w:r>
          </w:p>
          <w:p w14:paraId="46DBA33C" w14:textId="3A6A67D7" w:rsidR="00EF6A87" w:rsidRPr="005E2F09" w:rsidRDefault="00467DA6" w:rsidP="00DD6904">
            <w:pPr>
              <w:pStyle w:val="Lentelsturinys"/>
              <w:framePr w:hSpace="0" w:wrap="auto" w:vAnchor="margin" w:xAlign="left" w:yAlign="inline"/>
              <w:suppressOverlap w:val="0"/>
              <w:jc w:val="both"/>
              <w:rPr>
                <w:rFonts w:cs="Tahoma"/>
              </w:rPr>
            </w:pPr>
            <w:r w:rsidRPr="005E2F09">
              <w:rPr>
                <w:rFonts w:cs="Tahoma"/>
              </w:rPr>
              <w:t>–</w:t>
            </w:r>
            <w:r w:rsidR="00EF6A87" w:rsidRPr="005E2F09">
              <w:rPr>
                <w:rFonts w:cs="Tahoma"/>
              </w:rPr>
              <w:tab/>
              <w:t>Vienas atskiras duomenų apdorojimo ar saugojimo mazgas arba bent vienas vieningas duomenų apdorojimo ir saugojimo mazgas;</w:t>
            </w:r>
          </w:p>
          <w:p w14:paraId="731200EC" w14:textId="6F44A63D" w:rsidR="00EF6A87" w:rsidRPr="005E2F09" w:rsidRDefault="00467DA6" w:rsidP="00DD6904">
            <w:pPr>
              <w:pStyle w:val="Lentelsturinys"/>
              <w:framePr w:hSpace="0" w:wrap="auto" w:vAnchor="margin" w:xAlign="left" w:yAlign="inline"/>
              <w:suppressOverlap w:val="0"/>
              <w:jc w:val="both"/>
              <w:rPr>
                <w:rFonts w:cs="Tahoma"/>
              </w:rPr>
            </w:pPr>
            <w:r w:rsidRPr="005E2F09">
              <w:rPr>
                <w:rFonts w:cs="Tahoma"/>
              </w:rPr>
              <w:t>–</w:t>
            </w:r>
            <w:r w:rsidR="00EF6A87" w:rsidRPr="005E2F09">
              <w:rPr>
                <w:rFonts w:cs="Tahoma"/>
              </w:rPr>
              <w:tab/>
              <w:t>Bet kurie du diskai.</w:t>
            </w:r>
          </w:p>
          <w:p w14:paraId="14BA4C8E"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Visi duomenų saugyklos duomenų apdorojimo ir saugojimo komponentai turi turėti perteklinius komponentus, įskaitant maitinimo šaltinius, aušinimo ventiliatorius ir tinklo sąsajas.</w:t>
            </w:r>
          </w:p>
          <w:p w14:paraId="4A17AFF0" w14:textId="36CDB80E" w:rsidR="004E12D4" w:rsidRPr="005E2F09" w:rsidRDefault="00EF6A87" w:rsidP="00DD6904">
            <w:pPr>
              <w:pStyle w:val="Lentelsturinys"/>
              <w:framePr w:hSpace="0" w:wrap="auto" w:vAnchor="margin" w:xAlign="left" w:yAlign="inline"/>
              <w:suppressOverlap w:val="0"/>
              <w:jc w:val="both"/>
              <w:rPr>
                <w:rFonts w:cs="Tahoma"/>
              </w:rPr>
            </w:pPr>
            <w:r w:rsidRPr="005E2F09">
              <w:rPr>
                <w:rFonts w:cs="Tahoma"/>
              </w:rPr>
              <w:t xml:space="preserve">Didelis duomenų saugojimo talpos mazgų prieinamumas turi būti užtikrintas naudojant "ištrynimo kodavimo" (angl. </w:t>
            </w:r>
            <w:r w:rsidRPr="005E2F09">
              <w:rPr>
                <w:rFonts w:eastAsiaTheme="minorHAnsi" w:cs="Tahoma"/>
                <w:color w:val="000000"/>
                <w:bdr w:val="none" w:sz="0" w:space="0" w:color="auto" w:frame="1"/>
              </w:rPr>
              <w:t xml:space="preserve"> </w:t>
            </w:r>
            <w:proofErr w:type="spellStart"/>
            <w:r w:rsidRPr="005E2F09">
              <w:rPr>
                <w:rFonts w:cs="Tahoma"/>
              </w:rPr>
              <w:t>Erasure</w:t>
            </w:r>
            <w:proofErr w:type="spellEnd"/>
            <w:r w:rsidRPr="005E2F09">
              <w:rPr>
                <w:rFonts w:cs="Tahoma"/>
              </w:rPr>
              <w:t xml:space="preserve"> </w:t>
            </w:r>
            <w:proofErr w:type="spellStart"/>
            <w:r w:rsidRPr="005E2F09">
              <w:rPr>
                <w:rFonts w:cs="Tahoma"/>
              </w:rPr>
              <w:t>Coding</w:t>
            </w:r>
            <w:proofErr w:type="spellEnd"/>
            <w:r w:rsidRPr="005E2F09">
              <w:rPr>
                <w:rFonts w:cs="Tahoma"/>
              </w:rPr>
              <w:t xml:space="preserve">) metodus mazgo lygiu (angl. </w:t>
            </w:r>
            <w:r w:rsidRPr="005E2F09">
              <w:rPr>
                <w:rFonts w:eastAsiaTheme="minorHAnsi" w:cs="Tahoma"/>
                <w:color w:val="000000"/>
                <w:bdr w:val="none" w:sz="0" w:space="0" w:color="auto" w:frame="1"/>
              </w:rPr>
              <w:t xml:space="preserve"> </w:t>
            </w:r>
            <w:r w:rsidRPr="005E2F09">
              <w:rPr>
                <w:rFonts w:cs="Tahoma"/>
              </w:rPr>
              <w:t xml:space="preserve">at </w:t>
            </w:r>
            <w:proofErr w:type="spellStart"/>
            <w:r w:rsidRPr="005E2F09">
              <w:rPr>
                <w:rFonts w:cs="Tahoma"/>
              </w:rPr>
              <w:t>the</w:t>
            </w:r>
            <w:proofErr w:type="spellEnd"/>
            <w:r w:rsidRPr="005E2F09">
              <w:rPr>
                <w:rFonts w:cs="Tahoma"/>
              </w:rPr>
              <w:t xml:space="preserve"> </w:t>
            </w:r>
            <w:proofErr w:type="spellStart"/>
            <w:r w:rsidRPr="005E2F09">
              <w:rPr>
                <w:rFonts w:cs="Tahoma"/>
              </w:rPr>
              <w:t>node</w:t>
            </w:r>
            <w:proofErr w:type="spellEnd"/>
            <w:r w:rsidRPr="005E2F09">
              <w:rPr>
                <w:rFonts w:cs="Tahoma"/>
              </w:rPr>
              <w:t xml:space="preserve"> </w:t>
            </w:r>
            <w:proofErr w:type="spellStart"/>
            <w:r w:rsidRPr="005E2F09">
              <w:rPr>
                <w:rFonts w:cs="Tahoma"/>
              </w:rPr>
              <w:t>level</w:t>
            </w:r>
            <w:proofErr w:type="spellEnd"/>
            <w:r w:rsidRPr="005E2F09">
              <w:rPr>
                <w:rFonts w:cs="Tahoma"/>
              </w:rPr>
              <w:t>), o ne aparatinės įrangos RAID valdiklio lygiu.</w:t>
            </w:r>
          </w:p>
        </w:tc>
      </w:tr>
      <w:tr w:rsidR="00EF6A87" w:rsidRPr="005E2F09" w14:paraId="54270DBD" w14:textId="77777777" w:rsidTr="00DD6904">
        <w:trPr>
          <w:tblHeader/>
        </w:trPr>
        <w:tc>
          <w:tcPr>
            <w:tcW w:w="332" w:type="pct"/>
          </w:tcPr>
          <w:p w14:paraId="75224C22" w14:textId="77777777" w:rsidR="00EF6A87" w:rsidRPr="005E2F09" w:rsidRDefault="00EF6A87" w:rsidP="00DD6904">
            <w:pPr>
              <w:pStyle w:val="Lentelsturinys"/>
              <w:framePr w:hSpace="0" w:wrap="auto" w:vAnchor="margin" w:xAlign="left" w:yAlign="inline"/>
              <w:suppressOverlap w:val="0"/>
              <w:rPr>
                <w:rFonts w:cs="Tahoma"/>
              </w:rPr>
            </w:pPr>
            <w:r w:rsidRPr="005E2F09">
              <w:rPr>
                <w:rFonts w:cs="Tahoma"/>
              </w:rPr>
              <w:lastRenderedPageBreak/>
              <w:t>5.</w:t>
            </w:r>
          </w:p>
        </w:tc>
        <w:tc>
          <w:tcPr>
            <w:tcW w:w="917" w:type="pct"/>
          </w:tcPr>
          <w:p w14:paraId="3FCFB23B"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Duomenų saugojimo valdymas</w:t>
            </w:r>
          </w:p>
        </w:tc>
        <w:tc>
          <w:tcPr>
            <w:tcW w:w="3751" w:type="pct"/>
          </w:tcPr>
          <w:p w14:paraId="1DF56145"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Duomenų saugykloje turi būti valdymo programinė įranga su grafine naudotojo sąsaja (GUI) ir ją turi būti galima valdyti naudojant REST API.</w:t>
            </w:r>
          </w:p>
          <w:p w14:paraId="69A153C1"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Duomenų saugyklos valdymo teisės turi būti kontroliuojamos atsižvelgiant į naudotojo vaidmenis (roles).</w:t>
            </w:r>
          </w:p>
          <w:p w14:paraId="6D16FC16"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Duomenų saugyklos valdymo programinėje įrangoje turi būti sistemos stebėjimo funkcijos, apimančios tokią metriką kaip talpos naudojimas, našumas, pralaidumas, delsa, replikacijos būsena, bendra sistemos būklė, gedimų diagnostika ir kt. Šios metrikos taip pat turi būti pasiekiamos per sistemos valdymo API.</w:t>
            </w:r>
          </w:p>
          <w:p w14:paraId="25D1C431"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Stebėsenos duomenys turi būti saugomi ne trumpiau kaip 12 mėnesių.</w:t>
            </w:r>
          </w:p>
          <w:p w14:paraId="7B604A5D"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Valdymo programinė įranga turi leisti valdyti atskiras vardų sritis, įskaitant prieigos kontrolę, valdymo teisių perdavimą ir talpos kvotų valdymą.</w:t>
            </w:r>
          </w:p>
          <w:p w14:paraId="3811C553"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Duomenų saugykla turi užtikrinti, kad S3 API užklausos būtų registruojamos įvykių žurnale.</w:t>
            </w:r>
          </w:p>
          <w:p w14:paraId="1CCBDE97"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Valdymo programinė įranga turi galėti siųsti pranešimus apie įvykius el. paštu arba naudojant SNMP protokolą.</w:t>
            </w:r>
          </w:p>
        </w:tc>
      </w:tr>
      <w:tr w:rsidR="00EF6A87" w:rsidRPr="005E2F09" w14:paraId="24B8C5AA" w14:textId="77777777" w:rsidTr="00DD6904">
        <w:trPr>
          <w:tblHeader/>
        </w:trPr>
        <w:tc>
          <w:tcPr>
            <w:tcW w:w="332" w:type="pct"/>
          </w:tcPr>
          <w:p w14:paraId="7946DF0D" w14:textId="77777777" w:rsidR="00EF6A87" w:rsidRPr="005E2F09" w:rsidRDefault="00EF6A87" w:rsidP="00DD6904">
            <w:pPr>
              <w:pStyle w:val="Lentelsturinys"/>
              <w:framePr w:hSpace="0" w:wrap="auto" w:vAnchor="margin" w:xAlign="left" w:yAlign="inline"/>
              <w:suppressOverlap w:val="0"/>
              <w:rPr>
                <w:rFonts w:cs="Tahoma"/>
              </w:rPr>
            </w:pPr>
            <w:r w:rsidRPr="005E2F09">
              <w:rPr>
                <w:rFonts w:cs="Tahoma"/>
              </w:rPr>
              <w:t>6.</w:t>
            </w:r>
          </w:p>
        </w:tc>
        <w:tc>
          <w:tcPr>
            <w:tcW w:w="917" w:type="pct"/>
          </w:tcPr>
          <w:p w14:paraId="2EE7FC4C"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 xml:space="preserve">Suderinamumas su "Microsoft </w:t>
            </w:r>
            <w:proofErr w:type="spellStart"/>
            <w:r w:rsidRPr="005E2F09">
              <w:rPr>
                <w:rFonts w:cs="Tahoma"/>
              </w:rPr>
              <w:t>Active</w:t>
            </w:r>
            <w:proofErr w:type="spellEnd"/>
            <w:r w:rsidRPr="005E2F09">
              <w:rPr>
                <w:rFonts w:cs="Tahoma"/>
              </w:rPr>
              <w:t xml:space="preserve"> </w:t>
            </w:r>
            <w:proofErr w:type="spellStart"/>
            <w:r w:rsidRPr="005E2F09">
              <w:rPr>
                <w:rFonts w:cs="Tahoma"/>
              </w:rPr>
              <w:t>Directory</w:t>
            </w:r>
            <w:proofErr w:type="spellEnd"/>
            <w:r w:rsidRPr="005E2F09">
              <w:rPr>
                <w:rFonts w:cs="Tahoma"/>
              </w:rPr>
              <w:t>"</w:t>
            </w:r>
          </w:p>
        </w:tc>
        <w:tc>
          <w:tcPr>
            <w:tcW w:w="3751" w:type="pct"/>
          </w:tcPr>
          <w:p w14:paraId="14C6ABC8"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 xml:space="preserve">Duomenų saugyklos naudotojų valdymo sistema turi būti suderinama su "Microsoft </w:t>
            </w:r>
            <w:proofErr w:type="spellStart"/>
            <w:r w:rsidRPr="005E2F09">
              <w:rPr>
                <w:rFonts w:cs="Tahoma"/>
              </w:rPr>
              <w:t>Active</w:t>
            </w:r>
            <w:proofErr w:type="spellEnd"/>
            <w:r w:rsidRPr="005E2F09">
              <w:rPr>
                <w:rFonts w:cs="Tahoma"/>
              </w:rPr>
              <w:t xml:space="preserve"> </w:t>
            </w:r>
            <w:proofErr w:type="spellStart"/>
            <w:r w:rsidRPr="005E2F09">
              <w:rPr>
                <w:rFonts w:cs="Tahoma"/>
              </w:rPr>
              <w:t>Directory</w:t>
            </w:r>
            <w:proofErr w:type="spellEnd"/>
            <w:r w:rsidRPr="005E2F09">
              <w:rPr>
                <w:rFonts w:cs="Tahoma"/>
              </w:rPr>
              <w:t>".</w:t>
            </w:r>
          </w:p>
        </w:tc>
      </w:tr>
      <w:tr w:rsidR="00EF6A87" w:rsidRPr="005E2F09" w14:paraId="5A4D938A" w14:textId="77777777" w:rsidTr="00DD6904">
        <w:trPr>
          <w:tblHeader/>
        </w:trPr>
        <w:tc>
          <w:tcPr>
            <w:tcW w:w="332" w:type="pct"/>
          </w:tcPr>
          <w:p w14:paraId="5F83D276" w14:textId="77777777" w:rsidR="00EF6A87" w:rsidRPr="005E2F09" w:rsidRDefault="00EF6A87" w:rsidP="00DD6904">
            <w:pPr>
              <w:pStyle w:val="Lentelsturinys"/>
              <w:framePr w:hSpace="0" w:wrap="auto" w:vAnchor="margin" w:xAlign="left" w:yAlign="inline"/>
              <w:suppressOverlap w:val="0"/>
              <w:rPr>
                <w:rFonts w:cs="Tahoma"/>
              </w:rPr>
            </w:pPr>
            <w:r w:rsidRPr="005E2F09">
              <w:rPr>
                <w:rFonts w:cs="Tahoma"/>
              </w:rPr>
              <w:t>7.</w:t>
            </w:r>
          </w:p>
        </w:tc>
        <w:tc>
          <w:tcPr>
            <w:tcW w:w="917" w:type="pct"/>
          </w:tcPr>
          <w:p w14:paraId="5F2DF28D"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Duomenų saugojimo funkcijos ir licencijavimas</w:t>
            </w:r>
          </w:p>
        </w:tc>
        <w:tc>
          <w:tcPr>
            <w:tcW w:w="3751" w:type="pct"/>
          </w:tcPr>
          <w:p w14:paraId="00BEE477"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Duomenų saugykla turi atitikti šiuos reikalavimus:</w:t>
            </w:r>
          </w:p>
          <w:p w14:paraId="364F6985"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w:t>
            </w:r>
            <w:r w:rsidRPr="005E2F09">
              <w:rPr>
                <w:rFonts w:cs="Tahoma"/>
              </w:rPr>
              <w:tab/>
              <w:t>Įtrauktas nuolatinio duomenų ir metaduomenų tikrinimo mechanizmas su automatiniu duomenų atkūrimu.</w:t>
            </w:r>
          </w:p>
          <w:p w14:paraId="1F8FE751"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lastRenderedPageBreak/>
              <w:t>-</w:t>
            </w:r>
            <w:r w:rsidRPr="005E2F09">
              <w:rPr>
                <w:rFonts w:cs="Tahoma"/>
              </w:rPr>
              <w:tab/>
              <w:t>Pateiktas duomenų paskirstymo tarp saugojimo mazgų balansavimo mechanizmas.</w:t>
            </w:r>
          </w:p>
          <w:p w14:paraId="6EA9BEC1"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w:t>
            </w:r>
            <w:r w:rsidRPr="005E2F09">
              <w:rPr>
                <w:rFonts w:cs="Tahoma"/>
              </w:rPr>
              <w:tab/>
              <w:t>Palaikomos objektų saugojimo taisyklės, leidžiančios konfigūruoti saugomų objektų kopijų skaičių, prieigos leidimus, saugojimo laikotarpius, automatinio ištrynimo taisykles, versijų apribojimus ir kt.</w:t>
            </w:r>
          </w:p>
          <w:p w14:paraId="0107D207"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w:t>
            </w:r>
            <w:r w:rsidRPr="005E2F09">
              <w:rPr>
                <w:rFonts w:cs="Tahoma"/>
              </w:rPr>
              <w:tab/>
              <w:t>Įgyvendinti prieigos kontrolės mechanizmai atskiro objekto lygiu.</w:t>
            </w:r>
          </w:p>
          <w:p w14:paraId="2410F6D7"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w:t>
            </w:r>
            <w:r w:rsidRPr="005E2F09">
              <w:rPr>
                <w:rFonts w:cs="Tahoma"/>
              </w:rPr>
              <w:tab/>
              <w:t xml:space="preserve">Užtikrinta duomenų apsauga nuo ištrynimo ir modifikavimo (rašoma vieną kartą, skaitoma daug - WORM) "S3 </w:t>
            </w:r>
            <w:proofErr w:type="spellStart"/>
            <w:r w:rsidRPr="005E2F09">
              <w:rPr>
                <w:rFonts w:cs="Tahoma"/>
              </w:rPr>
              <w:t>bucket</w:t>
            </w:r>
            <w:proofErr w:type="spellEnd"/>
            <w:r w:rsidRPr="005E2F09">
              <w:rPr>
                <w:rFonts w:cs="Tahoma"/>
              </w:rPr>
              <w:t>" arba objekto lygiu.</w:t>
            </w:r>
          </w:p>
          <w:p w14:paraId="39DA5499"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w:t>
            </w:r>
            <w:r w:rsidRPr="005E2F09">
              <w:rPr>
                <w:rFonts w:cs="Tahoma"/>
              </w:rPr>
              <w:tab/>
              <w:t xml:space="preserve">Palaikomas objektų versijų kūrimas "S3 </w:t>
            </w:r>
            <w:proofErr w:type="spellStart"/>
            <w:r w:rsidRPr="005E2F09">
              <w:rPr>
                <w:rFonts w:cs="Tahoma"/>
              </w:rPr>
              <w:t>bucket</w:t>
            </w:r>
            <w:proofErr w:type="spellEnd"/>
            <w:r w:rsidRPr="005E2F09">
              <w:rPr>
                <w:rFonts w:cs="Tahoma"/>
              </w:rPr>
              <w:t>" lygiu.</w:t>
            </w:r>
          </w:p>
          <w:p w14:paraId="07EC434C"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w:t>
            </w:r>
            <w:r w:rsidRPr="005E2F09">
              <w:rPr>
                <w:rFonts w:cs="Tahoma"/>
              </w:rPr>
              <w:tab/>
            </w:r>
            <w:r w:rsidRPr="005E2F09">
              <w:t xml:space="preserve"> </w:t>
            </w:r>
            <w:r w:rsidRPr="005E2F09">
              <w:rPr>
                <w:rFonts w:cs="Tahoma"/>
              </w:rPr>
              <w:t>Turi būti užtikrinta galimybė saugoti duomenis S3 protokolu, įskaitant:</w:t>
            </w:r>
          </w:p>
          <w:p w14:paraId="0DDE5DFB" w14:textId="77777777" w:rsidR="00EF6A87" w:rsidRPr="005E2F09" w:rsidRDefault="00EF6A87" w:rsidP="00DD6904">
            <w:pPr>
              <w:pStyle w:val="Lentelsturinys"/>
              <w:framePr w:hSpace="0" w:wrap="auto" w:vAnchor="margin" w:xAlign="left" w:yAlign="inline"/>
              <w:ind w:firstLine="503"/>
              <w:suppressOverlap w:val="0"/>
              <w:jc w:val="both"/>
              <w:rPr>
                <w:rFonts w:cs="Tahoma"/>
              </w:rPr>
            </w:pPr>
            <w:r w:rsidRPr="005E2F09">
              <w:rPr>
                <w:rFonts w:cs="Tahoma"/>
              </w:rPr>
              <w:t>• duomenų valdymą „</w:t>
            </w:r>
            <w:proofErr w:type="spellStart"/>
            <w:r w:rsidRPr="005E2F09">
              <w:rPr>
                <w:rFonts w:cs="Tahoma"/>
              </w:rPr>
              <w:t>bucket</w:t>
            </w:r>
            <w:proofErr w:type="spellEnd"/>
            <w:r w:rsidRPr="005E2F09">
              <w:rPr>
                <w:rFonts w:cs="Tahoma"/>
              </w:rPr>
              <w:t xml:space="preserve">“ lygiu (pvz., prieigos teisės, </w:t>
            </w:r>
            <w:proofErr w:type="spellStart"/>
            <w:r w:rsidRPr="005E2F09">
              <w:rPr>
                <w:rFonts w:cs="Tahoma"/>
              </w:rPr>
              <w:t>versijavimas</w:t>
            </w:r>
            <w:proofErr w:type="spellEnd"/>
            <w:r w:rsidRPr="005E2F09">
              <w:rPr>
                <w:rFonts w:cs="Tahoma"/>
              </w:rPr>
              <w:t>, gyvavimo ciklo taisyklės);</w:t>
            </w:r>
          </w:p>
          <w:p w14:paraId="26C80F79" w14:textId="77777777" w:rsidR="00EF6A87" w:rsidRPr="005E2F09" w:rsidRDefault="00EF6A87" w:rsidP="00DD6904">
            <w:pPr>
              <w:pStyle w:val="Lentelsturinys"/>
              <w:framePr w:hSpace="0" w:wrap="auto" w:vAnchor="margin" w:xAlign="left" w:yAlign="inline"/>
              <w:ind w:firstLine="503"/>
              <w:suppressOverlap w:val="0"/>
              <w:jc w:val="both"/>
              <w:rPr>
                <w:rFonts w:cs="Tahoma"/>
              </w:rPr>
            </w:pPr>
            <w:r w:rsidRPr="005E2F09">
              <w:rPr>
                <w:rFonts w:cs="Tahoma"/>
              </w:rPr>
              <w:t>• duomenų valdymą objekto lygiu (pvz., individualių objektų metaduomenys, šifravimas, žymėjimas).</w:t>
            </w:r>
          </w:p>
          <w:p w14:paraId="64064BA7"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w:t>
            </w:r>
            <w:r w:rsidRPr="005E2F09">
              <w:rPr>
                <w:rFonts w:cs="Tahoma"/>
              </w:rPr>
              <w:tab/>
              <w:t>Leidžiama apibrėžti apsaugos nuo naikinimo ir modifikavimo taisykles, kurių joks sistemos naudotojas ar administratorius negali keisti, kol nesibaigs nustatytas objekto saugojimo laikotarpis.</w:t>
            </w:r>
          </w:p>
          <w:p w14:paraId="6091366F"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w:t>
            </w:r>
            <w:r w:rsidRPr="005E2F09">
              <w:rPr>
                <w:rFonts w:cs="Tahoma"/>
              </w:rPr>
              <w:tab/>
              <w:t>Palaikomi ne mažiau kaip 5 TB dydžio failai ir objektai visuose palaikomuose protokoluose.</w:t>
            </w:r>
          </w:p>
          <w:p w14:paraId="3DE22853"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w:t>
            </w:r>
            <w:r w:rsidRPr="005E2F09">
              <w:rPr>
                <w:rFonts w:cs="Tahoma"/>
              </w:rPr>
              <w:tab/>
              <w:t>Įtrauktas automatinis objekto naikinimo mechanizmas, kuris įsijungia pasibaigus objekto saugojimo laikotarpiui, valdomas naudojant saugojimo sistemą arba programos įrankius.</w:t>
            </w:r>
          </w:p>
          <w:p w14:paraId="2831D67D"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w:t>
            </w:r>
            <w:r w:rsidRPr="005E2F09">
              <w:rPr>
                <w:rFonts w:cs="Tahoma"/>
              </w:rPr>
              <w:tab/>
              <w:t xml:space="preserve">Palaikomos talpos kvotos funkcijos vardų srities ir "S3 </w:t>
            </w:r>
            <w:proofErr w:type="spellStart"/>
            <w:r w:rsidRPr="005E2F09">
              <w:rPr>
                <w:rFonts w:cs="Tahoma"/>
              </w:rPr>
              <w:t>bucket</w:t>
            </w:r>
            <w:proofErr w:type="spellEnd"/>
            <w:r w:rsidRPr="005E2F09">
              <w:rPr>
                <w:rFonts w:cs="Tahoma"/>
              </w:rPr>
              <w:t>" lygiuose.</w:t>
            </w:r>
          </w:p>
          <w:p w14:paraId="1AFE4730"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w:t>
            </w:r>
            <w:r w:rsidRPr="005E2F09">
              <w:rPr>
                <w:rFonts w:cs="Tahoma"/>
              </w:rPr>
              <w:tab/>
              <w:t>Pateikiamas duomenų perkėlimo tarp mazgų mechanizmas, leidžiantis pakeisti vieną mazgą kitu.</w:t>
            </w:r>
          </w:p>
          <w:p w14:paraId="7799B002" w14:textId="77777777" w:rsidR="00F627C9" w:rsidRPr="005E2F09" w:rsidRDefault="00EF6A87" w:rsidP="00DD6904">
            <w:pPr>
              <w:pStyle w:val="Lentelsturinys"/>
              <w:framePr w:hSpace="0" w:wrap="auto" w:vAnchor="margin" w:xAlign="left" w:yAlign="inline"/>
              <w:suppressOverlap w:val="0"/>
              <w:jc w:val="both"/>
              <w:rPr>
                <w:rFonts w:cs="Tahoma"/>
              </w:rPr>
            </w:pPr>
            <w:r w:rsidRPr="005E2F09">
              <w:rPr>
                <w:rFonts w:cs="Tahoma"/>
              </w:rPr>
              <w:t>-</w:t>
            </w:r>
            <w:r w:rsidRPr="005E2F09">
              <w:rPr>
                <w:rFonts w:cs="Tahoma"/>
              </w:rPr>
              <w:tab/>
              <w:t xml:space="preserve">Konfigūruojami išsamūs prieigos strategijų apibrėžimai "S3 </w:t>
            </w:r>
            <w:proofErr w:type="spellStart"/>
            <w:r w:rsidRPr="005E2F09">
              <w:rPr>
                <w:rFonts w:cs="Tahoma"/>
              </w:rPr>
              <w:t>bucket</w:t>
            </w:r>
            <w:proofErr w:type="spellEnd"/>
            <w:r w:rsidRPr="005E2F09">
              <w:rPr>
                <w:rFonts w:cs="Tahoma"/>
              </w:rPr>
              <w:t>" lygiu, suderinami su objektinės saugyklos gamintojo pateiktais tapatybės valdymo sprendimais.</w:t>
            </w:r>
          </w:p>
          <w:p w14:paraId="746C6F56" w14:textId="0AF86DD1" w:rsidR="00F627C9" w:rsidRPr="005E2F09" w:rsidRDefault="00F627C9" w:rsidP="00DD6904">
            <w:pPr>
              <w:pStyle w:val="Lentelsturinys"/>
              <w:framePr w:hSpace="0" w:wrap="auto" w:vAnchor="margin" w:xAlign="left" w:yAlign="inline"/>
              <w:suppressOverlap w:val="0"/>
              <w:jc w:val="both"/>
              <w:rPr>
                <w:rFonts w:cs="Tahoma"/>
              </w:rPr>
            </w:pPr>
            <w:r w:rsidRPr="005E2F09">
              <w:rPr>
                <w:rFonts w:cs="Tahoma"/>
                <w:b/>
                <w:bCs/>
              </w:rPr>
              <w:t>Pastaba</w:t>
            </w:r>
            <w:r w:rsidRPr="005E2F09">
              <w:rPr>
                <w:rFonts w:cs="Tahoma"/>
              </w:rPr>
              <w:t xml:space="preserve">. Tai reiškia, kad galima nustatyti itin tikslias teisių taisykles kiekvienam S3 </w:t>
            </w:r>
            <w:proofErr w:type="spellStart"/>
            <w:r w:rsidRPr="005E2F09">
              <w:rPr>
                <w:rFonts w:cs="Tahoma"/>
              </w:rPr>
              <w:t>bucket</w:t>
            </w:r>
            <w:proofErr w:type="spellEnd"/>
            <w:r w:rsidRPr="005E2F09">
              <w:rPr>
                <w:rFonts w:cs="Tahoma"/>
              </w:rPr>
              <w:t>, kurios veikia kartu su tapatybės valdymo sistemomis (pvz., IAM, AD, LDAP), užtikrindamos, kad vartotojai ar sistemos turėtų tik būtinas prieigos teises.</w:t>
            </w:r>
          </w:p>
          <w:p w14:paraId="22C3054A" w14:textId="77777777" w:rsidR="001D04D1" w:rsidRPr="005E2F09" w:rsidRDefault="001D04D1" w:rsidP="00DD6904">
            <w:pPr>
              <w:pStyle w:val="Lentelsturinys"/>
              <w:framePr w:hSpace="0" w:wrap="auto" w:vAnchor="margin" w:xAlign="left" w:yAlign="inline"/>
              <w:suppressOverlap w:val="0"/>
              <w:jc w:val="both"/>
              <w:rPr>
                <w:rFonts w:cs="Tahoma"/>
              </w:rPr>
            </w:pPr>
          </w:p>
          <w:p w14:paraId="4D7191BA"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w:t>
            </w:r>
            <w:r w:rsidRPr="005E2F09">
              <w:rPr>
                <w:rFonts w:cs="Tahoma"/>
              </w:rPr>
              <w:tab/>
              <w:t xml:space="preserve"> Pateikti licencijas visam reikalaujamam funkcionalumui be apribojimų. Jei licencijavimas priklauso nuo talpos, licencijos turi apimti visą siūlomą saugyklos talpą.</w:t>
            </w:r>
          </w:p>
          <w:p w14:paraId="18F06B35" w14:textId="2ED2442E"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 xml:space="preserve">Visos nurodytos funkcijos turi būti įtrauktos į siūlomą </w:t>
            </w:r>
            <w:r w:rsidR="00ED43C9" w:rsidRPr="005E2F09">
              <w:rPr>
                <w:rFonts w:cs="Tahoma"/>
              </w:rPr>
              <w:t>S</w:t>
            </w:r>
            <w:r w:rsidRPr="005E2F09">
              <w:rPr>
                <w:rFonts w:cs="Tahoma"/>
              </w:rPr>
              <w:t>prendimą.</w:t>
            </w:r>
          </w:p>
        </w:tc>
      </w:tr>
      <w:tr w:rsidR="00EF6A87" w:rsidRPr="005E2F09" w14:paraId="5C5E3785" w14:textId="77777777" w:rsidTr="00DD6904">
        <w:trPr>
          <w:tblHeader/>
        </w:trPr>
        <w:tc>
          <w:tcPr>
            <w:tcW w:w="332" w:type="pct"/>
          </w:tcPr>
          <w:p w14:paraId="6D21F351" w14:textId="77777777" w:rsidR="00EF6A87" w:rsidRPr="005E2F09" w:rsidRDefault="00EF6A87" w:rsidP="00DD6904">
            <w:pPr>
              <w:pStyle w:val="Lentelsturinys"/>
              <w:framePr w:hSpace="0" w:wrap="auto" w:vAnchor="margin" w:xAlign="left" w:yAlign="inline"/>
              <w:suppressOverlap w:val="0"/>
              <w:rPr>
                <w:rFonts w:cs="Tahoma"/>
              </w:rPr>
            </w:pPr>
            <w:r w:rsidRPr="005E2F09">
              <w:rPr>
                <w:rFonts w:cs="Tahoma"/>
              </w:rPr>
              <w:lastRenderedPageBreak/>
              <w:t>8.</w:t>
            </w:r>
          </w:p>
        </w:tc>
        <w:tc>
          <w:tcPr>
            <w:tcW w:w="917" w:type="pct"/>
          </w:tcPr>
          <w:p w14:paraId="4A8050A1"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Duomenų replikavimas</w:t>
            </w:r>
          </w:p>
        </w:tc>
        <w:tc>
          <w:tcPr>
            <w:tcW w:w="3751" w:type="pct"/>
          </w:tcPr>
          <w:p w14:paraId="37A20109"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Siūlomos duomenų saugyklos turi palaikyti duomenų replikavimo funkciją viena su kita, kai viena duomenų saugykla yra nutolusiame duomenų centre. (Šiame pirkime duomenų saugyklos bus įdiegtos dviejuose atskiruose nutolusiose perkančiosios organizacijos duomenų centruose.)</w:t>
            </w:r>
          </w:p>
          <w:p w14:paraId="5D0E9A39"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Replikaciją turi būti galima konfigūruoti vardų srities lygiu.</w:t>
            </w:r>
          </w:p>
          <w:p w14:paraId="143F6263"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Turi būti užtikrintos replikuoto duomenų srauto šifravimo funkcijos.</w:t>
            </w:r>
          </w:p>
          <w:p w14:paraId="5EAE3619"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Replikavimas turi veikti ne mažiau kaip 35 km tarp duomenų centrų.</w:t>
            </w:r>
          </w:p>
        </w:tc>
      </w:tr>
      <w:tr w:rsidR="00EF6A87" w:rsidRPr="005E2F09" w14:paraId="148434BE" w14:textId="77777777" w:rsidTr="00DD6904">
        <w:trPr>
          <w:tblHeader/>
        </w:trPr>
        <w:tc>
          <w:tcPr>
            <w:tcW w:w="332" w:type="pct"/>
          </w:tcPr>
          <w:p w14:paraId="2584CC60" w14:textId="77777777" w:rsidR="00EF6A87" w:rsidRPr="005E2F09" w:rsidRDefault="00EF6A87" w:rsidP="00DD6904">
            <w:pPr>
              <w:pStyle w:val="Lentelsturinys"/>
              <w:framePr w:hSpace="0" w:wrap="auto" w:vAnchor="margin" w:xAlign="left" w:yAlign="inline"/>
              <w:suppressOverlap w:val="0"/>
              <w:rPr>
                <w:rFonts w:cs="Tahoma"/>
              </w:rPr>
            </w:pPr>
            <w:r w:rsidRPr="005E2F09">
              <w:rPr>
                <w:rFonts w:cs="Tahoma"/>
              </w:rPr>
              <w:t>9.</w:t>
            </w:r>
          </w:p>
        </w:tc>
        <w:tc>
          <w:tcPr>
            <w:tcW w:w="917" w:type="pct"/>
          </w:tcPr>
          <w:p w14:paraId="72A1374B"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Duomenų šifravimas</w:t>
            </w:r>
          </w:p>
        </w:tc>
        <w:tc>
          <w:tcPr>
            <w:tcW w:w="3751" w:type="pct"/>
          </w:tcPr>
          <w:p w14:paraId="2DD32FD5"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Duomenų saugykla turi palaikyti duomenų ramybės būsenoje šifravimo (DARE, data-at-</w:t>
            </w:r>
            <w:proofErr w:type="spellStart"/>
            <w:r w:rsidRPr="005E2F09">
              <w:rPr>
                <w:rFonts w:cs="Tahoma"/>
              </w:rPr>
              <w:t>rest</w:t>
            </w:r>
            <w:proofErr w:type="spellEnd"/>
            <w:r w:rsidRPr="005E2F09">
              <w:rPr>
                <w:rFonts w:cs="Tahoma"/>
              </w:rPr>
              <w:t xml:space="preserve"> </w:t>
            </w:r>
            <w:proofErr w:type="spellStart"/>
            <w:r w:rsidRPr="005E2F09">
              <w:rPr>
                <w:rFonts w:cs="Tahoma"/>
              </w:rPr>
              <w:t>encryption</w:t>
            </w:r>
            <w:proofErr w:type="spellEnd"/>
            <w:r w:rsidRPr="005E2F09">
              <w:rPr>
                <w:rFonts w:cs="Tahoma"/>
              </w:rPr>
              <w:t>) funkciją, kurios šifravimo lygis turi būti ne mažesnis kaip AES 256 visoje nurodytoje saugyklos talpoje. Šifravimo funkcijai naudoti nereikia jokių papildomų įrankių, tačiau ji turi būti suderinama su išoriniu raktų valdymo sprendimu (palaikančiu bent KMIP 1.0).</w:t>
            </w:r>
          </w:p>
          <w:p w14:paraId="19DED453"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lastRenderedPageBreak/>
              <w:t>Jei duomenų saugykla negali naudoti šifravimo funkcijos be išorinio raktų valdymo sprendimo, turi būti pateiktas suderinamas išorinių raktų valdymo sprendimas.</w:t>
            </w:r>
          </w:p>
        </w:tc>
      </w:tr>
      <w:tr w:rsidR="00EF6A87" w:rsidRPr="005E2F09" w14:paraId="71038A5B" w14:textId="77777777" w:rsidTr="00DD6904">
        <w:trPr>
          <w:tblHeader/>
        </w:trPr>
        <w:tc>
          <w:tcPr>
            <w:tcW w:w="332" w:type="pct"/>
          </w:tcPr>
          <w:p w14:paraId="2EE82688" w14:textId="77777777" w:rsidR="00EF6A87" w:rsidRPr="005E2F09" w:rsidRDefault="00EF6A87" w:rsidP="00DD6904">
            <w:pPr>
              <w:pStyle w:val="Lentelsturinys"/>
              <w:framePr w:hSpace="0" w:wrap="auto" w:vAnchor="margin" w:xAlign="left" w:yAlign="inline"/>
              <w:suppressOverlap w:val="0"/>
              <w:rPr>
                <w:rFonts w:cs="Tahoma"/>
              </w:rPr>
            </w:pPr>
            <w:r w:rsidRPr="005E2F09">
              <w:rPr>
                <w:rFonts w:cs="Tahoma"/>
              </w:rPr>
              <w:lastRenderedPageBreak/>
              <w:t>10.</w:t>
            </w:r>
          </w:p>
        </w:tc>
        <w:tc>
          <w:tcPr>
            <w:tcW w:w="917" w:type="pct"/>
          </w:tcPr>
          <w:p w14:paraId="1B1AEA27"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Duomenų saugyklos tinklo sąsajos</w:t>
            </w:r>
          </w:p>
        </w:tc>
        <w:tc>
          <w:tcPr>
            <w:tcW w:w="3751" w:type="pct"/>
          </w:tcPr>
          <w:p w14:paraId="38F0A998" w14:textId="4E876A65" w:rsidR="00EF6A87" w:rsidRPr="005E2F09" w:rsidRDefault="00F53C89" w:rsidP="00F53C89">
            <w:pPr>
              <w:pStyle w:val="Lentelsturinys"/>
              <w:framePr w:hSpace="0" w:wrap="auto" w:vAnchor="margin" w:xAlign="left" w:yAlign="inline"/>
              <w:suppressOverlap w:val="0"/>
              <w:rPr>
                <w:rFonts w:cs="Tahoma"/>
                <w:b/>
                <w:bCs/>
              </w:rPr>
            </w:pPr>
            <w:r w:rsidRPr="00F53C89">
              <w:rPr>
                <w:rFonts w:cs="Tahoma"/>
              </w:rPr>
              <w:t>Duomenų apdorojimo ir duomenų saugojimo komponentai turi</w:t>
            </w:r>
            <w:r w:rsidRPr="00F53C89">
              <w:rPr>
                <w:rFonts w:cs="Tahoma"/>
              </w:rPr>
              <w:br/>
              <w:t>turėti reikiamos greitaveikos dubliuotus prievadus:</w:t>
            </w:r>
            <w:r w:rsidRPr="00F53C89">
              <w:rPr>
                <w:rFonts w:cs="Tahoma"/>
              </w:rPr>
              <w:br/>
            </w:r>
            <w:r w:rsidRPr="00F53C89">
              <w:rPr>
                <w:rFonts w:ascii="Symbol" w:eastAsia="Symbol" w:hAnsi="Symbol" w:cs="Symbol"/>
              </w:rPr>
              <w:t>·</w:t>
            </w:r>
            <w:r w:rsidRPr="00F53C89">
              <w:rPr>
                <w:rFonts w:cs="Tahoma"/>
              </w:rPr>
              <w:t>„</w:t>
            </w:r>
            <w:proofErr w:type="spellStart"/>
            <w:r w:rsidRPr="00F53C89">
              <w:rPr>
                <w:rFonts w:cs="Tahoma"/>
              </w:rPr>
              <w:t>front-end</w:t>
            </w:r>
            <w:proofErr w:type="spellEnd"/>
            <w:r w:rsidRPr="00F53C89">
              <w:rPr>
                <w:rFonts w:cs="Tahoma"/>
              </w:rPr>
              <w:t>“</w:t>
            </w:r>
            <w:r>
              <w:rPr>
                <w:rFonts w:cs="Tahoma"/>
              </w:rPr>
              <w:t xml:space="preserve"> </w:t>
            </w:r>
            <w:r w:rsidRPr="00F53C89">
              <w:rPr>
                <w:rFonts w:cs="Tahoma"/>
              </w:rPr>
              <w:t>operacijoms atlikti;</w:t>
            </w:r>
            <w:r w:rsidRPr="00F53C89">
              <w:rPr>
                <w:rFonts w:cs="Tahoma"/>
              </w:rPr>
              <w:br/>
            </w:r>
            <w:r w:rsidRPr="00F53C89">
              <w:rPr>
                <w:rFonts w:ascii="Symbol" w:eastAsia="Symbol" w:hAnsi="Symbol" w:cs="Symbol"/>
              </w:rPr>
              <w:t>·</w:t>
            </w:r>
            <w:r w:rsidRPr="00F53C89">
              <w:rPr>
                <w:rFonts w:cs="Tahoma"/>
              </w:rPr>
              <w:t xml:space="preserve"> „</w:t>
            </w:r>
            <w:proofErr w:type="spellStart"/>
            <w:r w:rsidRPr="00F53C89">
              <w:rPr>
                <w:rFonts w:cs="Tahoma"/>
              </w:rPr>
              <w:t>back-end</w:t>
            </w:r>
            <w:proofErr w:type="spellEnd"/>
            <w:r w:rsidRPr="00F53C89">
              <w:rPr>
                <w:rFonts w:cs="Tahoma"/>
              </w:rPr>
              <w:t>“ operacijoms atlikti</w:t>
            </w:r>
            <w:r w:rsidR="00FB28F3">
              <w:rPr>
                <w:rFonts w:cs="Tahoma"/>
              </w:rPr>
              <w:t>.</w:t>
            </w:r>
            <w:r w:rsidRPr="00F53C89">
              <w:rPr>
                <w:rFonts w:cs="Tahoma"/>
              </w:rPr>
              <w:br/>
              <w:t>Tarnybinių operacijų ir vartotojų reikmėms skirti prievadai negali</w:t>
            </w:r>
            <w:r w:rsidRPr="00F53C89">
              <w:rPr>
                <w:rFonts w:cs="Tahoma"/>
              </w:rPr>
              <w:br/>
              <w:t>būti bendri.</w:t>
            </w:r>
            <w:r w:rsidRPr="00F53C89">
              <w:rPr>
                <w:rFonts w:cs="Tahoma"/>
                <w:b/>
                <w:bCs/>
              </w:rPr>
              <w:t xml:space="preserve"> </w:t>
            </w:r>
            <w:r w:rsidR="00EF6A87" w:rsidRPr="005E2F09">
              <w:rPr>
                <w:rFonts w:cs="Tahoma"/>
                <w:b/>
                <w:bCs/>
              </w:rPr>
              <w:t>PASTABA:</w:t>
            </w:r>
          </w:p>
          <w:p w14:paraId="03A70C6E"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Jei siūlomas sprendimas naudoja tuos pačius fizinius prievadus tiek paslaugų teikimui, tiek valdymui, tiekėjas turi pateikti dokumentuotą pagrindimą ir gamintojo patvirtinimą, kad sprendimas užtikrina logiškai atskirtus tinklus (pvz., VLAN, VRF ar kitus mechanizmus), atitinkančius saugumo, prieinamumo ir valdymo atskirties reikalavimus.</w:t>
            </w:r>
          </w:p>
          <w:p w14:paraId="3A949421"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b/>
                <w:bCs/>
              </w:rPr>
              <w:t>Tiekėjas turi pateikti visą su šiuo sprendimu susijusią dokumentaciją PDF formatu kartu su pasiūlymu</w:t>
            </w:r>
            <w:r w:rsidRPr="005E2F09">
              <w:rPr>
                <w:rFonts w:cs="Tahoma"/>
              </w:rPr>
              <w:t>.</w:t>
            </w:r>
          </w:p>
        </w:tc>
      </w:tr>
      <w:tr w:rsidR="00E96609" w:rsidRPr="005E2F09" w14:paraId="0D60AD97" w14:textId="77777777" w:rsidTr="00DD6904">
        <w:trPr>
          <w:tblHeader/>
        </w:trPr>
        <w:tc>
          <w:tcPr>
            <w:tcW w:w="332" w:type="pct"/>
          </w:tcPr>
          <w:p w14:paraId="051400C4" w14:textId="7A9307FD" w:rsidR="00E96609" w:rsidRPr="005E2F09" w:rsidRDefault="005B5D97" w:rsidP="00DD6904">
            <w:pPr>
              <w:pStyle w:val="Lentelsturinys"/>
              <w:framePr w:hSpace="0" w:wrap="auto" w:vAnchor="margin" w:xAlign="left" w:yAlign="inline"/>
              <w:suppressOverlap w:val="0"/>
              <w:rPr>
                <w:rFonts w:cs="Tahoma"/>
              </w:rPr>
            </w:pPr>
            <w:r w:rsidRPr="005E2F09">
              <w:rPr>
                <w:rFonts w:cs="Tahoma"/>
              </w:rPr>
              <w:t>11.</w:t>
            </w:r>
          </w:p>
        </w:tc>
        <w:tc>
          <w:tcPr>
            <w:tcW w:w="917" w:type="pct"/>
          </w:tcPr>
          <w:p w14:paraId="6B6E2329" w14:textId="6E8470AA" w:rsidR="00E96609" w:rsidRPr="005E2F09" w:rsidRDefault="00E96609" w:rsidP="00DD6904">
            <w:pPr>
              <w:pStyle w:val="Lentelsturinys"/>
              <w:framePr w:hSpace="0" w:wrap="auto" w:vAnchor="margin" w:xAlign="left" w:yAlign="inline"/>
              <w:suppressOverlap w:val="0"/>
              <w:jc w:val="both"/>
              <w:rPr>
                <w:rFonts w:cs="Tahoma"/>
              </w:rPr>
            </w:pPr>
            <w:r w:rsidRPr="005E2F09">
              <w:rPr>
                <w:rFonts w:cs="Tahoma"/>
              </w:rPr>
              <w:t>Energijos sąnaudos</w:t>
            </w:r>
          </w:p>
        </w:tc>
        <w:tc>
          <w:tcPr>
            <w:tcW w:w="3751" w:type="pct"/>
          </w:tcPr>
          <w:p w14:paraId="7B47D26E" w14:textId="5E03F7CF" w:rsidR="00E96609" w:rsidRPr="005E2F09" w:rsidRDefault="005B5D97" w:rsidP="00DD6904">
            <w:pPr>
              <w:pStyle w:val="Lentelsturinys"/>
              <w:framePr w:hSpace="0" w:wrap="auto" w:vAnchor="margin" w:xAlign="left" w:yAlign="inline"/>
              <w:suppressOverlap w:val="0"/>
              <w:jc w:val="both"/>
              <w:rPr>
                <w:rFonts w:cs="Tahoma"/>
              </w:rPr>
            </w:pPr>
            <w:r w:rsidRPr="005E2F09">
              <w:rPr>
                <w:rFonts w:cs="Tahoma"/>
              </w:rPr>
              <w:t xml:space="preserve">Duomenų saugyklos energijos sąnaudos ne daugiau kaip </w:t>
            </w:r>
            <w:r w:rsidR="0093474D" w:rsidRPr="005E2F09">
              <w:rPr>
                <w:rFonts w:cs="Tahoma"/>
              </w:rPr>
              <w:t>≤ 3,5 kW</w:t>
            </w:r>
          </w:p>
        </w:tc>
      </w:tr>
      <w:tr w:rsidR="00E96609" w:rsidRPr="005E2F09" w14:paraId="2A6B2DC2" w14:textId="77777777" w:rsidTr="00DD6904">
        <w:trPr>
          <w:tblHeader/>
        </w:trPr>
        <w:tc>
          <w:tcPr>
            <w:tcW w:w="332" w:type="pct"/>
          </w:tcPr>
          <w:p w14:paraId="65D506E3" w14:textId="7047A20D" w:rsidR="00E96609" w:rsidRPr="005E2F09" w:rsidRDefault="005B5D97" w:rsidP="00DD6904">
            <w:pPr>
              <w:pStyle w:val="Lentelsturinys"/>
              <w:framePr w:hSpace="0" w:wrap="auto" w:vAnchor="margin" w:xAlign="left" w:yAlign="inline"/>
              <w:suppressOverlap w:val="0"/>
              <w:rPr>
                <w:rFonts w:cs="Tahoma"/>
              </w:rPr>
            </w:pPr>
            <w:r w:rsidRPr="005E2F09">
              <w:rPr>
                <w:rFonts w:cs="Tahoma"/>
              </w:rPr>
              <w:t>12.</w:t>
            </w:r>
          </w:p>
        </w:tc>
        <w:tc>
          <w:tcPr>
            <w:tcW w:w="917" w:type="pct"/>
          </w:tcPr>
          <w:p w14:paraId="38762C13" w14:textId="1CCD698E" w:rsidR="00E96609" w:rsidRPr="005E2F09" w:rsidRDefault="005B5D97" w:rsidP="00DD6904">
            <w:pPr>
              <w:pStyle w:val="Lentelsturinys"/>
              <w:framePr w:hSpace="0" w:wrap="auto" w:vAnchor="margin" w:xAlign="left" w:yAlign="inline"/>
              <w:suppressOverlap w:val="0"/>
              <w:jc w:val="both"/>
              <w:rPr>
                <w:rFonts w:cs="Tahoma"/>
              </w:rPr>
            </w:pPr>
            <w:r w:rsidRPr="005E2F09">
              <w:rPr>
                <w:rFonts w:cs="Tahoma"/>
              </w:rPr>
              <w:t xml:space="preserve">Duomenų saugyklos užimama vieta serverinėje </w:t>
            </w:r>
            <w:proofErr w:type="spellStart"/>
            <w:r w:rsidRPr="005E2F09">
              <w:rPr>
                <w:rFonts w:cs="Tahoma"/>
              </w:rPr>
              <w:t>sintoje</w:t>
            </w:r>
            <w:proofErr w:type="spellEnd"/>
          </w:p>
        </w:tc>
        <w:tc>
          <w:tcPr>
            <w:tcW w:w="3751" w:type="pct"/>
          </w:tcPr>
          <w:p w14:paraId="2885A72D" w14:textId="795A761A" w:rsidR="00E96609" w:rsidRPr="005E2F09" w:rsidRDefault="0093474D" w:rsidP="00DD6904">
            <w:pPr>
              <w:pStyle w:val="Lentelsturinys"/>
              <w:framePr w:hSpace="0" w:wrap="auto" w:vAnchor="margin" w:xAlign="left" w:yAlign="inline"/>
              <w:suppressOverlap w:val="0"/>
              <w:jc w:val="both"/>
              <w:rPr>
                <w:rFonts w:cs="Tahoma"/>
              </w:rPr>
            </w:pPr>
            <w:r w:rsidRPr="005E2F09">
              <w:rPr>
                <w:rFonts w:cs="Tahoma"/>
              </w:rPr>
              <w:t>Ne daugiau kaip 12U</w:t>
            </w:r>
          </w:p>
        </w:tc>
      </w:tr>
      <w:tr w:rsidR="00EF6A87" w:rsidRPr="005E2F09" w14:paraId="1609FBDA" w14:textId="77777777" w:rsidTr="00DD6904">
        <w:trPr>
          <w:tblHeader/>
        </w:trPr>
        <w:tc>
          <w:tcPr>
            <w:tcW w:w="332" w:type="pct"/>
          </w:tcPr>
          <w:p w14:paraId="2FDFB321" w14:textId="5C1690BE" w:rsidR="00EF6A87" w:rsidRPr="005E2F09" w:rsidRDefault="00EF6A87" w:rsidP="00DD6904">
            <w:pPr>
              <w:pStyle w:val="Lentelsturinys"/>
              <w:framePr w:hSpace="0" w:wrap="auto" w:vAnchor="margin" w:xAlign="left" w:yAlign="inline"/>
              <w:suppressOverlap w:val="0"/>
              <w:rPr>
                <w:rFonts w:cs="Tahoma"/>
              </w:rPr>
            </w:pPr>
            <w:r w:rsidRPr="005E2F09">
              <w:rPr>
                <w:rFonts w:cs="Tahoma"/>
              </w:rPr>
              <w:t>1</w:t>
            </w:r>
            <w:r w:rsidR="005B5D97" w:rsidRPr="005E2F09">
              <w:rPr>
                <w:rFonts w:cs="Tahoma"/>
              </w:rPr>
              <w:t>3.</w:t>
            </w:r>
          </w:p>
        </w:tc>
        <w:tc>
          <w:tcPr>
            <w:tcW w:w="917" w:type="pct"/>
          </w:tcPr>
          <w:p w14:paraId="33E7CC62"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Garantijos sąlygos</w:t>
            </w:r>
          </w:p>
        </w:tc>
        <w:tc>
          <w:tcPr>
            <w:tcW w:w="3751" w:type="pct"/>
          </w:tcPr>
          <w:p w14:paraId="5E98ABCF" w14:textId="178E398B"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Visai įrangai turi būti suteikta gamintojo garantija ne trumpiau kaip 5 metai nuo priėmimo-perdavimo akto pasirašymo dienos.</w:t>
            </w:r>
          </w:p>
          <w:p w14:paraId="220406BB"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Gedimų registravimas, sprendimas ir komponentų pristatymas:</w:t>
            </w:r>
          </w:p>
          <w:p w14:paraId="0F83084E"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w:t>
            </w:r>
            <w:r w:rsidRPr="005E2F09">
              <w:rPr>
                <w:rFonts w:cs="Tahoma"/>
              </w:rPr>
              <w:tab/>
              <w:t>Galima naudotis 7 dienas per savaitę, 24 valandas per parą, įskaitant valstybines šventes.</w:t>
            </w:r>
          </w:p>
          <w:p w14:paraId="30E2600B"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Gedimų diagnostika ir gedimo registracijos laikas:</w:t>
            </w:r>
          </w:p>
          <w:p w14:paraId="778B5950"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w:t>
            </w:r>
            <w:r w:rsidRPr="005E2F09">
              <w:rPr>
                <w:rFonts w:cs="Tahoma"/>
              </w:rPr>
              <w:tab/>
              <w:t>Ne ilgiau kaip 4 valandos.</w:t>
            </w:r>
          </w:p>
          <w:p w14:paraId="37EE51AB"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Sugedusių sudedamųjų dalių pristatymo ir pakeitimo laikas:</w:t>
            </w:r>
          </w:p>
          <w:p w14:paraId="4CBFCD7C"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w:t>
            </w:r>
            <w:r w:rsidRPr="005E2F09">
              <w:rPr>
                <w:rFonts w:cs="Tahoma"/>
              </w:rPr>
              <w:tab/>
              <w:t>Ne ilgiau kaip 5 kalendorinės dienos (įskaitant valstybines šventes) po gedimo nustatymo ir gedimo registracijos.</w:t>
            </w:r>
          </w:p>
          <w:p w14:paraId="753AE902"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Paslaugos vietoje:</w:t>
            </w:r>
          </w:p>
          <w:p w14:paraId="7009DF32"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w:t>
            </w:r>
            <w:r w:rsidRPr="005E2F09">
              <w:rPr>
                <w:rFonts w:cs="Tahoma"/>
              </w:rPr>
              <w:tab/>
              <w:t>Gamintojas garantuoja dalių tiekimo ir remonto darbus, atliekamus įrangos eksploatavimo vietoje.</w:t>
            </w:r>
          </w:p>
          <w:p w14:paraId="45C4698A"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Perkančiajai organizacijai turi būti užtikrintas automatinis pranešimas apie gedimus ir išsiųstas gamintojo tarnybai.</w:t>
            </w:r>
          </w:p>
          <w:p w14:paraId="1B11AE06" w14:textId="77777777" w:rsidR="00EF6A87" w:rsidRPr="005E2F09" w:rsidRDefault="00EF6A87" w:rsidP="00DD6904">
            <w:pPr>
              <w:jc w:val="both"/>
              <w:rPr>
                <w:rFonts w:cs="Tahoma"/>
              </w:rPr>
            </w:pPr>
            <w:r w:rsidRPr="005E2F09">
              <w:rPr>
                <w:rFonts w:cs="Tahoma"/>
              </w:rPr>
              <w:t xml:space="preserve">Bent dviem Perkančiosios organizacijos darbuotojams turi būti suteikta prieiga prie gamintojo palaikymo sistemos (angl. </w:t>
            </w:r>
            <w:proofErr w:type="spellStart"/>
            <w:r w:rsidRPr="005E2F09">
              <w:rPr>
                <w:rFonts w:cs="Tahoma"/>
              </w:rPr>
              <w:t>support</w:t>
            </w:r>
            <w:proofErr w:type="spellEnd"/>
            <w:r w:rsidRPr="005E2F09">
              <w:rPr>
                <w:rFonts w:cs="Tahoma"/>
              </w:rPr>
              <w:t xml:space="preserve"> </w:t>
            </w:r>
            <w:proofErr w:type="spellStart"/>
            <w:r w:rsidRPr="005E2F09">
              <w:rPr>
                <w:rFonts w:cs="Tahoma"/>
              </w:rPr>
              <w:t>system</w:t>
            </w:r>
            <w:proofErr w:type="spellEnd"/>
            <w:r w:rsidRPr="005E2F09">
              <w:rPr>
                <w:rFonts w:cs="Tahoma"/>
              </w:rPr>
              <w:t>) visu sutarties laikotarpiu.</w:t>
            </w:r>
          </w:p>
          <w:p w14:paraId="104DDC52"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eastAsia="Times New Roman" w:cs="Tahoma"/>
                <w:color w:val="000000" w:themeColor="text1"/>
              </w:rPr>
              <w:t>Garantinė priežiūra turi būti atliekama paties įrangos gamintojo arba jo autorizuoto aptarnavimo atstovo.</w:t>
            </w:r>
          </w:p>
        </w:tc>
      </w:tr>
      <w:tr w:rsidR="00EF6A87" w:rsidRPr="005E2F09" w14:paraId="126E0919" w14:textId="77777777" w:rsidTr="00DD6904">
        <w:trPr>
          <w:tblHeader/>
        </w:trPr>
        <w:tc>
          <w:tcPr>
            <w:tcW w:w="332" w:type="pct"/>
          </w:tcPr>
          <w:p w14:paraId="180F874E" w14:textId="0565FBCB" w:rsidR="00EF6A87" w:rsidRPr="005E2F09" w:rsidRDefault="00EF6A87" w:rsidP="00DD6904">
            <w:pPr>
              <w:pStyle w:val="Lentelsturinys"/>
              <w:framePr w:hSpace="0" w:wrap="auto" w:vAnchor="margin" w:xAlign="left" w:yAlign="inline"/>
              <w:suppressOverlap w:val="0"/>
              <w:rPr>
                <w:rFonts w:cs="Tahoma"/>
              </w:rPr>
            </w:pPr>
            <w:r w:rsidRPr="005E2F09">
              <w:rPr>
                <w:rFonts w:cs="Tahoma"/>
              </w:rPr>
              <w:t>1</w:t>
            </w:r>
            <w:r w:rsidR="005B5D97" w:rsidRPr="005E2F09">
              <w:rPr>
                <w:rFonts w:cs="Tahoma"/>
              </w:rPr>
              <w:t>4</w:t>
            </w:r>
            <w:r w:rsidRPr="005E2F09">
              <w:rPr>
                <w:rFonts w:cs="Tahoma"/>
              </w:rPr>
              <w:t>.</w:t>
            </w:r>
          </w:p>
        </w:tc>
        <w:tc>
          <w:tcPr>
            <w:tcW w:w="917" w:type="pct"/>
          </w:tcPr>
          <w:p w14:paraId="26C67C27"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Kiti reikalavimai</w:t>
            </w:r>
          </w:p>
        </w:tc>
        <w:tc>
          <w:tcPr>
            <w:tcW w:w="3751" w:type="pct"/>
          </w:tcPr>
          <w:p w14:paraId="27959C37"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Visa siūloma įranga turi būti nauja ir anksčiau nenaudota; gamykloje atnaujinti, rekonstruoti ar pakartotinai parduoti komponentai neleidžiami.</w:t>
            </w:r>
          </w:p>
          <w:p w14:paraId="3196BEBA"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Visus prietaiso komponentus turi surinkti prietaiso gamintojas ir pažymėti gamintojo gamykliniais kodais.</w:t>
            </w:r>
          </w:p>
          <w:p w14:paraId="7F1FA9C0"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 xml:space="preserve">Tiekėjas turi užtikrinti periodinius (kas 6 mėn.) įrangos </w:t>
            </w:r>
            <w:proofErr w:type="spellStart"/>
            <w:r w:rsidRPr="005E2F09">
              <w:rPr>
                <w:rFonts w:cs="Tahoma"/>
              </w:rPr>
              <w:t>bios</w:t>
            </w:r>
            <w:proofErr w:type="spellEnd"/>
            <w:r w:rsidRPr="005E2F09">
              <w:rPr>
                <w:rFonts w:cs="Tahoma"/>
              </w:rPr>
              <w:t>/</w:t>
            </w:r>
            <w:proofErr w:type="spellStart"/>
            <w:r w:rsidRPr="005E2F09">
              <w:rPr>
                <w:rFonts w:cs="Tahoma"/>
              </w:rPr>
              <w:t>firmware</w:t>
            </w:r>
            <w:proofErr w:type="spellEnd"/>
            <w:r w:rsidRPr="005E2F09">
              <w:rPr>
                <w:rFonts w:cs="Tahoma"/>
              </w:rPr>
              <w:t xml:space="preserve"> ar kitos Sprendimo programinės įrangos atnaujinimus visu Sutarties laikotarpiu. Darbai ir jų apimtis prieš jų vykdymą turi būti suderinta su perkančiosios organizacijos atstovais.</w:t>
            </w:r>
          </w:p>
          <w:p w14:paraId="7CC03630"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Testavimo procesas apima duomenų saugyklos nepertraukiamumo bandymai, kuriuos sudaro šios procedūros:</w:t>
            </w:r>
          </w:p>
          <w:p w14:paraId="74EBD0FC"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1. Imituojamas DC1 gedimas:</w:t>
            </w:r>
          </w:p>
          <w:p w14:paraId="15BD5600"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lastRenderedPageBreak/>
              <w:t>- Imituoti dalies atskirų duomenų apdorojimo ir saugojimo mazgų arba vieningo duomenų apdorojimo ir saugojimo mazgo gedimą 1 duomenų centre (DC1).</w:t>
            </w:r>
          </w:p>
          <w:p w14:paraId="1B98FA9F"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2. Imituojamas DC2 gedimas:</w:t>
            </w:r>
          </w:p>
          <w:p w14:paraId="56D35737"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 Imituoti dalies atskirų duomenų apdorojimo ir saugojimo mazgų arba vieningo duomenų apdorojimo ir saugojimo mazgo gedimą 2 duomenų centre (DC2).</w:t>
            </w:r>
          </w:p>
          <w:p w14:paraId="04C5AE54"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3. Tinklo įrangos gedimas DC1:</w:t>
            </w:r>
          </w:p>
          <w:p w14:paraId="2EBD7BB9"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 Dalies kompiuterių tinklo įrangos gedimo imitavimas DC1.</w:t>
            </w:r>
          </w:p>
          <w:p w14:paraId="36402C51"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4. Tinklo įrangos gedimas DC2:</w:t>
            </w:r>
          </w:p>
          <w:p w14:paraId="56F0FD89"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 Dalies kompiuterių tinklo įrangos gedimo imitavimas DC2.</w:t>
            </w:r>
          </w:p>
          <w:p w14:paraId="763B5000"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5. Apkrovos balansavimo priemonės gedimas DC1:</w:t>
            </w:r>
          </w:p>
          <w:p w14:paraId="5C790B08"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 Dalies apkrovos balansavimo įtaisų gedimo imitavimas DC1.</w:t>
            </w:r>
          </w:p>
          <w:p w14:paraId="2AA915A3"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6. Apkrovos balansavimo priemonės gedimas DC2:</w:t>
            </w:r>
          </w:p>
          <w:p w14:paraId="33AFDEFD"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 Dalies apkrovos balansavimo įtaisų gedimo imitavimas DC2.</w:t>
            </w:r>
          </w:p>
          <w:p w14:paraId="7D0A6267"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Bandymų rezultatai ir rekomendacijos dėl saugomų objektų kopijų skaičiaus turi būti dokumentuoti pirkimo objekto diegimo dokumentacijoje.</w:t>
            </w:r>
          </w:p>
        </w:tc>
      </w:tr>
      <w:tr w:rsidR="00EF6A87" w:rsidRPr="005E2F09" w14:paraId="2F033EED" w14:textId="77777777" w:rsidTr="00DD6904">
        <w:trPr>
          <w:tblHeader/>
        </w:trPr>
        <w:tc>
          <w:tcPr>
            <w:tcW w:w="332" w:type="pct"/>
          </w:tcPr>
          <w:p w14:paraId="225FCB57" w14:textId="2AA6EA4E" w:rsidR="00EF6A87" w:rsidRPr="005E2F09" w:rsidRDefault="00EF6A87" w:rsidP="00DD6904">
            <w:pPr>
              <w:pStyle w:val="Lentelsturinys"/>
              <w:framePr w:hSpace="0" w:wrap="auto" w:vAnchor="margin" w:xAlign="left" w:yAlign="inline"/>
              <w:suppressOverlap w:val="0"/>
              <w:rPr>
                <w:rFonts w:cs="Tahoma"/>
              </w:rPr>
            </w:pPr>
            <w:r w:rsidRPr="005E2F09">
              <w:rPr>
                <w:rFonts w:cs="Tahoma"/>
              </w:rPr>
              <w:lastRenderedPageBreak/>
              <w:t>1</w:t>
            </w:r>
            <w:r w:rsidR="005B5D97" w:rsidRPr="005E2F09">
              <w:rPr>
                <w:rFonts w:cs="Tahoma"/>
              </w:rPr>
              <w:t>5</w:t>
            </w:r>
            <w:r w:rsidRPr="005E2F09">
              <w:rPr>
                <w:rFonts w:cs="Tahoma"/>
              </w:rPr>
              <w:t>.</w:t>
            </w:r>
          </w:p>
        </w:tc>
        <w:tc>
          <w:tcPr>
            <w:tcW w:w="917" w:type="pct"/>
          </w:tcPr>
          <w:p w14:paraId="5008987A"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Konsultacijos</w:t>
            </w:r>
          </w:p>
        </w:tc>
        <w:tc>
          <w:tcPr>
            <w:tcW w:w="3751" w:type="pct"/>
          </w:tcPr>
          <w:p w14:paraId="74CE7249" w14:textId="77777777" w:rsidR="00EF6A87" w:rsidRPr="005E2F09" w:rsidRDefault="00EF6A87" w:rsidP="00DD6904">
            <w:pPr>
              <w:pStyle w:val="Lentelsturinys"/>
              <w:framePr w:hSpace="0" w:wrap="auto" w:vAnchor="margin" w:xAlign="left" w:yAlign="inline"/>
              <w:suppressOverlap w:val="0"/>
              <w:jc w:val="both"/>
              <w:rPr>
                <w:rFonts w:cs="Tahoma"/>
              </w:rPr>
            </w:pPr>
            <w:r w:rsidRPr="005E2F09">
              <w:rPr>
                <w:rFonts w:cs="Tahoma"/>
              </w:rPr>
              <w:t>Tiekėjas garantiniu laikotarpiu perkančiosios organizacijos darbo metu  (I-V nuo 08:00 iki 17:00 val.) įsipareigoja teikti konsultacijas įrangos eksploatavimo klausimais (paslaugos tipas ne blogiau kaip 8 valandos per parą, 5 dienos per savaitę, reakcijos laikas 4 darbo valandos, konsultacijų imtis 5 valandos per mėnesį, nepanaudotos valandos sumuojasi ir gali būti panaudotos sutarties galiojimo laikotarpiu).</w:t>
            </w:r>
          </w:p>
        </w:tc>
      </w:tr>
    </w:tbl>
    <w:p w14:paraId="2A91CCDC" w14:textId="77777777" w:rsidR="00EF6A87" w:rsidRPr="005E2F09" w:rsidRDefault="00EF6A87" w:rsidP="00EF6A87">
      <w:pPr>
        <w:tabs>
          <w:tab w:val="left" w:pos="1440"/>
          <w:tab w:val="left" w:pos="2070"/>
        </w:tabs>
        <w:rPr>
          <w:rFonts w:cs="Tahoma"/>
          <w:iCs/>
        </w:rPr>
      </w:pPr>
    </w:p>
    <w:p w14:paraId="366CE7B1" w14:textId="77777777" w:rsidR="00EF6A87" w:rsidRPr="00152295" w:rsidRDefault="00EF6A87" w:rsidP="00EF6A87">
      <w:pPr>
        <w:jc w:val="center"/>
        <w:rPr>
          <w:rFonts w:cs="Tahoma"/>
        </w:rPr>
      </w:pPr>
      <w:r w:rsidRPr="005E2F09">
        <w:rPr>
          <w:rFonts w:cs="Tahoma"/>
        </w:rPr>
        <w:t>____________________</w:t>
      </w:r>
    </w:p>
    <w:p w14:paraId="0B014DFE" w14:textId="77777777" w:rsidR="00EF6A87" w:rsidRPr="00152295" w:rsidRDefault="00EF6A87" w:rsidP="00EF6A87">
      <w:pPr>
        <w:jc w:val="center"/>
        <w:rPr>
          <w:rFonts w:cs="Tahoma"/>
        </w:rPr>
      </w:pPr>
    </w:p>
    <w:p w14:paraId="140A55C6" w14:textId="77777777" w:rsidR="002A7375" w:rsidRPr="00F350AC" w:rsidRDefault="002A7375">
      <w:pPr>
        <w:rPr>
          <w:rFonts w:cs="Tahoma"/>
        </w:rPr>
      </w:pPr>
    </w:p>
    <w:sectPr w:rsidR="002A7375" w:rsidRPr="00F350AC" w:rsidSect="00F350A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35AEC" w14:textId="77777777" w:rsidR="00BF19FE" w:rsidRDefault="00BF19FE" w:rsidP="00DD3A79">
      <w:pPr>
        <w:spacing w:line="240" w:lineRule="auto"/>
      </w:pPr>
      <w:r>
        <w:separator/>
      </w:r>
    </w:p>
  </w:endnote>
  <w:endnote w:type="continuationSeparator" w:id="0">
    <w:p w14:paraId="48A37917" w14:textId="77777777" w:rsidR="00BF19FE" w:rsidRDefault="00BF19FE"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6886D" w14:textId="77777777" w:rsidR="00BF19FE" w:rsidRDefault="00BF19FE" w:rsidP="00DD3A79">
      <w:pPr>
        <w:spacing w:line="240" w:lineRule="auto"/>
      </w:pPr>
      <w:r>
        <w:separator/>
      </w:r>
    </w:p>
  </w:footnote>
  <w:footnote w:type="continuationSeparator" w:id="0">
    <w:p w14:paraId="1BFA2EE5" w14:textId="77777777" w:rsidR="00BF19FE" w:rsidRDefault="00BF19FE"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4592A0B3"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252BDE8D"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85974"/>
    <w:multiLevelType w:val="hybridMultilevel"/>
    <w:tmpl w:val="0ACEF25A"/>
    <w:lvl w:ilvl="0" w:tplc="62A030D0">
      <w:start w:val="2"/>
      <w:numFmt w:val="upperRoman"/>
      <w:lvlText w:val="%1."/>
      <w:lvlJc w:val="left"/>
      <w:pPr>
        <w:ind w:left="2291"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2C1F4C"/>
    <w:multiLevelType w:val="hybridMultilevel"/>
    <w:tmpl w:val="7AD01ED8"/>
    <w:lvl w:ilvl="0" w:tplc="0409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7017ACD"/>
    <w:multiLevelType w:val="multilevel"/>
    <w:tmpl w:val="2EE8C752"/>
    <w:lvl w:ilvl="0">
      <w:start w:val="1"/>
      <w:numFmt w:val="decimal"/>
      <w:lvlText w:val="%1."/>
      <w:lvlJc w:val="left"/>
      <w:pPr>
        <w:ind w:left="644" w:hanging="360"/>
      </w:pPr>
      <w:rPr>
        <w:rFonts w:hint="default"/>
        <w:b w:val="0"/>
        <w:bCs w:val="0"/>
        <w:i w:val="0"/>
        <w:iCs w:val="0"/>
        <w:color w:val="auto"/>
      </w:rPr>
    </w:lvl>
    <w:lvl w:ilvl="1">
      <w:start w:val="1"/>
      <w:numFmt w:val="decimal"/>
      <w:isLgl/>
      <w:lvlText w:val="%1.%2."/>
      <w:lvlJc w:val="left"/>
      <w:pPr>
        <w:ind w:left="720" w:hanging="360"/>
      </w:pPr>
      <w:rPr>
        <w:rFonts w:ascii="Tahoma" w:hAnsi="Tahoma" w:cs="Tahoma" w:hint="default"/>
        <w:b w:val="0"/>
        <w:bCs w:val="0"/>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3" w15:restartNumberingAfterBreak="0">
    <w:nsid w:val="665057D2"/>
    <w:multiLevelType w:val="hybridMultilevel"/>
    <w:tmpl w:val="EA961678"/>
    <w:lvl w:ilvl="0" w:tplc="3CB67DA0">
      <w:start w:val="1"/>
      <w:numFmt w:val="decimal"/>
      <w:lvlText w:val="%1."/>
      <w:lvlJc w:val="left"/>
      <w:pPr>
        <w:ind w:left="360" w:hanging="360"/>
      </w:pPr>
      <w:rPr>
        <w:b w:val="0"/>
        <w:sz w:val="22"/>
        <w:szCs w:val="22"/>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7ADD42C6"/>
    <w:multiLevelType w:val="hybridMultilevel"/>
    <w:tmpl w:val="2C342340"/>
    <w:lvl w:ilvl="0" w:tplc="A056A7A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24725778">
    <w:abstractNumId w:val="1"/>
  </w:num>
  <w:num w:numId="2" w16cid:durableId="397172198">
    <w:abstractNumId w:val="3"/>
  </w:num>
  <w:num w:numId="3" w16cid:durableId="375084251">
    <w:abstractNumId w:val="0"/>
  </w:num>
  <w:num w:numId="4" w16cid:durableId="798111346">
    <w:abstractNumId w:val="2"/>
  </w:num>
  <w:num w:numId="5" w16cid:durableId="1724864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87"/>
    <w:rsid w:val="00020DB7"/>
    <w:rsid w:val="00027F9F"/>
    <w:rsid w:val="00033768"/>
    <w:rsid w:val="00040D52"/>
    <w:rsid w:val="0005171A"/>
    <w:rsid w:val="00084AFF"/>
    <w:rsid w:val="00086F0E"/>
    <w:rsid w:val="00092FC1"/>
    <w:rsid w:val="000943D0"/>
    <w:rsid w:val="000E7EED"/>
    <w:rsid w:val="000F75AC"/>
    <w:rsid w:val="00117DBD"/>
    <w:rsid w:val="00122D30"/>
    <w:rsid w:val="00126B0E"/>
    <w:rsid w:val="00154BD1"/>
    <w:rsid w:val="001616E7"/>
    <w:rsid w:val="001933AA"/>
    <w:rsid w:val="001A2B03"/>
    <w:rsid w:val="001A676B"/>
    <w:rsid w:val="001B3528"/>
    <w:rsid w:val="001B6EDC"/>
    <w:rsid w:val="001C141B"/>
    <w:rsid w:val="001C5963"/>
    <w:rsid w:val="001D04D1"/>
    <w:rsid w:val="001F3F9B"/>
    <w:rsid w:val="002057CD"/>
    <w:rsid w:val="00214CAC"/>
    <w:rsid w:val="002305A4"/>
    <w:rsid w:val="002315AC"/>
    <w:rsid w:val="00262222"/>
    <w:rsid w:val="00262EEB"/>
    <w:rsid w:val="00263286"/>
    <w:rsid w:val="00273047"/>
    <w:rsid w:val="00274D53"/>
    <w:rsid w:val="002A7375"/>
    <w:rsid w:val="002C7484"/>
    <w:rsid w:val="00325FCE"/>
    <w:rsid w:val="00330208"/>
    <w:rsid w:val="003335C2"/>
    <w:rsid w:val="0033426C"/>
    <w:rsid w:val="003432CB"/>
    <w:rsid w:val="003528C5"/>
    <w:rsid w:val="00352F4C"/>
    <w:rsid w:val="00384ABC"/>
    <w:rsid w:val="003863EA"/>
    <w:rsid w:val="003C34FA"/>
    <w:rsid w:val="003C526D"/>
    <w:rsid w:val="003D223D"/>
    <w:rsid w:val="003D6B0F"/>
    <w:rsid w:val="003E48E6"/>
    <w:rsid w:val="003F6FDA"/>
    <w:rsid w:val="00403C9E"/>
    <w:rsid w:val="004231E3"/>
    <w:rsid w:val="00426D17"/>
    <w:rsid w:val="00431A56"/>
    <w:rsid w:val="00457B6A"/>
    <w:rsid w:val="00467DA6"/>
    <w:rsid w:val="004740EB"/>
    <w:rsid w:val="00476765"/>
    <w:rsid w:val="004806F3"/>
    <w:rsid w:val="004C13AF"/>
    <w:rsid w:val="004C614F"/>
    <w:rsid w:val="004E12D4"/>
    <w:rsid w:val="005452D7"/>
    <w:rsid w:val="00553180"/>
    <w:rsid w:val="00571746"/>
    <w:rsid w:val="00580642"/>
    <w:rsid w:val="0059234A"/>
    <w:rsid w:val="005A1046"/>
    <w:rsid w:val="005A6433"/>
    <w:rsid w:val="005B5D97"/>
    <w:rsid w:val="005C3504"/>
    <w:rsid w:val="005D5A79"/>
    <w:rsid w:val="005E2F09"/>
    <w:rsid w:val="005E5844"/>
    <w:rsid w:val="005E69F8"/>
    <w:rsid w:val="005F40A9"/>
    <w:rsid w:val="00613AF8"/>
    <w:rsid w:val="00625F98"/>
    <w:rsid w:val="00632501"/>
    <w:rsid w:val="00641E6B"/>
    <w:rsid w:val="006472D4"/>
    <w:rsid w:val="00672D56"/>
    <w:rsid w:val="0069651B"/>
    <w:rsid w:val="006A20B6"/>
    <w:rsid w:val="006B3075"/>
    <w:rsid w:val="006E008A"/>
    <w:rsid w:val="006F0905"/>
    <w:rsid w:val="007060DC"/>
    <w:rsid w:val="007134C4"/>
    <w:rsid w:val="0073784F"/>
    <w:rsid w:val="0074038F"/>
    <w:rsid w:val="00744038"/>
    <w:rsid w:val="00756917"/>
    <w:rsid w:val="0076136A"/>
    <w:rsid w:val="0078229D"/>
    <w:rsid w:val="007B01D5"/>
    <w:rsid w:val="007D47BF"/>
    <w:rsid w:val="007D4E12"/>
    <w:rsid w:val="007D5D92"/>
    <w:rsid w:val="007F14DB"/>
    <w:rsid w:val="007F4C3C"/>
    <w:rsid w:val="007F7523"/>
    <w:rsid w:val="00803459"/>
    <w:rsid w:val="00805040"/>
    <w:rsid w:val="0081242C"/>
    <w:rsid w:val="008435F7"/>
    <w:rsid w:val="00871914"/>
    <w:rsid w:val="00881489"/>
    <w:rsid w:val="00886CE1"/>
    <w:rsid w:val="00893A6F"/>
    <w:rsid w:val="008A10DA"/>
    <w:rsid w:val="008B6D23"/>
    <w:rsid w:val="008C3F77"/>
    <w:rsid w:val="008D1B2E"/>
    <w:rsid w:val="008D540C"/>
    <w:rsid w:val="00910A06"/>
    <w:rsid w:val="00913D71"/>
    <w:rsid w:val="00921985"/>
    <w:rsid w:val="0093474D"/>
    <w:rsid w:val="0096031F"/>
    <w:rsid w:val="00972143"/>
    <w:rsid w:val="009756C0"/>
    <w:rsid w:val="009836F6"/>
    <w:rsid w:val="009A3545"/>
    <w:rsid w:val="009B343A"/>
    <w:rsid w:val="009C32DA"/>
    <w:rsid w:val="009D400A"/>
    <w:rsid w:val="009E55AC"/>
    <w:rsid w:val="00A41886"/>
    <w:rsid w:val="00A8769F"/>
    <w:rsid w:val="00AA68B3"/>
    <w:rsid w:val="00AB43AE"/>
    <w:rsid w:val="00AB57A3"/>
    <w:rsid w:val="00B02122"/>
    <w:rsid w:val="00B24E4C"/>
    <w:rsid w:val="00B43E7C"/>
    <w:rsid w:val="00B5099A"/>
    <w:rsid w:val="00B63F86"/>
    <w:rsid w:val="00B7225A"/>
    <w:rsid w:val="00B76466"/>
    <w:rsid w:val="00B84065"/>
    <w:rsid w:val="00B9628E"/>
    <w:rsid w:val="00BB5B59"/>
    <w:rsid w:val="00BD112D"/>
    <w:rsid w:val="00BF19FE"/>
    <w:rsid w:val="00BF329C"/>
    <w:rsid w:val="00BF678F"/>
    <w:rsid w:val="00C010E3"/>
    <w:rsid w:val="00C2720A"/>
    <w:rsid w:val="00C43338"/>
    <w:rsid w:val="00C47ECD"/>
    <w:rsid w:val="00C509C7"/>
    <w:rsid w:val="00C52D05"/>
    <w:rsid w:val="00C75004"/>
    <w:rsid w:val="00C8644F"/>
    <w:rsid w:val="00CB41A9"/>
    <w:rsid w:val="00D26375"/>
    <w:rsid w:val="00D46AF2"/>
    <w:rsid w:val="00D56E76"/>
    <w:rsid w:val="00D64D15"/>
    <w:rsid w:val="00D70AE1"/>
    <w:rsid w:val="00D76DD0"/>
    <w:rsid w:val="00DA5F31"/>
    <w:rsid w:val="00DD0792"/>
    <w:rsid w:val="00DD25A4"/>
    <w:rsid w:val="00DD3A79"/>
    <w:rsid w:val="00DD6904"/>
    <w:rsid w:val="00DE2450"/>
    <w:rsid w:val="00DE55D7"/>
    <w:rsid w:val="00DF245B"/>
    <w:rsid w:val="00DF3B37"/>
    <w:rsid w:val="00DF6BD6"/>
    <w:rsid w:val="00E06C42"/>
    <w:rsid w:val="00E3183A"/>
    <w:rsid w:val="00E37FED"/>
    <w:rsid w:val="00E67E96"/>
    <w:rsid w:val="00E8432C"/>
    <w:rsid w:val="00E96609"/>
    <w:rsid w:val="00E969BD"/>
    <w:rsid w:val="00E971E9"/>
    <w:rsid w:val="00EB7864"/>
    <w:rsid w:val="00EC640A"/>
    <w:rsid w:val="00EC714E"/>
    <w:rsid w:val="00ED43C9"/>
    <w:rsid w:val="00EE0C67"/>
    <w:rsid w:val="00EE51BA"/>
    <w:rsid w:val="00EF69A6"/>
    <w:rsid w:val="00EF6A87"/>
    <w:rsid w:val="00F11E4C"/>
    <w:rsid w:val="00F209F7"/>
    <w:rsid w:val="00F350AC"/>
    <w:rsid w:val="00F3562F"/>
    <w:rsid w:val="00F503F2"/>
    <w:rsid w:val="00F515B4"/>
    <w:rsid w:val="00F53C89"/>
    <w:rsid w:val="00F627C9"/>
    <w:rsid w:val="00F95666"/>
    <w:rsid w:val="00FB28F3"/>
    <w:rsid w:val="00FC2EB6"/>
    <w:rsid w:val="00FD311E"/>
    <w:rsid w:val="052CC076"/>
    <w:rsid w:val="0587C004"/>
    <w:rsid w:val="06D7F4E8"/>
    <w:rsid w:val="0C2231B8"/>
    <w:rsid w:val="1254802B"/>
    <w:rsid w:val="15B95716"/>
    <w:rsid w:val="1AC129B2"/>
    <w:rsid w:val="1B9F8DCB"/>
    <w:rsid w:val="2673B6F0"/>
    <w:rsid w:val="277DDC45"/>
    <w:rsid w:val="2DDC9C07"/>
    <w:rsid w:val="32619D46"/>
    <w:rsid w:val="376A46AE"/>
    <w:rsid w:val="37D2E5D8"/>
    <w:rsid w:val="38BC6C5D"/>
    <w:rsid w:val="39EBFBCC"/>
    <w:rsid w:val="3AC5F47F"/>
    <w:rsid w:val="3B4565ED"/>
    <w:rsid w:val="4314C0D0"/>
    <w:rsid w:val="4456D16C"/>
    <w:rsid w:val="492E98F2"/>
    <w:rsid w:val="4D9DBCFC"/>
    <w:rsid w:val="4F0DD636"/>
    <w:rsid w:val="512CC0B2"/>
    <w:rsid w:val="5A179556"/>
    <w:rsid w:val="62E1F2BD"/>
    <w:rsid w:val="6C3E623C"/>
    <w:rsid w:val="6EAD6F2D"/>
    <w:rsid w:val="72BC6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A6D07"/>
  <w15:chartTrackingRefBased/>
  <w15:docId w15:val="{80FFAC85-6237-4B67-B016-9DA9062E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A87"/>
    <w:pPr>
      <w:ind w:firstLine="0"/>
    </w:pPr>
    <w:rPr>
      <w:kern w:val="0"/>
      <w14:ligatures w14:val="none"/>
    </w:rPr>
  </w:style>
  <w:style w:type="paragraph" w:styleId="Heading1">
    <w:name w:val="heading 1"/>
    <w:basedOn w:val="Normal"/>
    <w:next w:val="Normal"/>
    <w:link w:val="Heading1Char"/>
    <w:uiPriority w:val="9"/>
    <w:qFormat/>
    <w:rsid w:val="00EF6A8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F6A8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F6A8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F6A8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F6A8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EF6A8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6A8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6A8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6A8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EF6A8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F6A8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F6A87"/>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F6A87"/>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EF6A87"/>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EF6A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6A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6A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6A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6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A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A8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A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6A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6A87"/>
    <w:rPr>
      <w:i/>
      <w:iCs/>
      <w:color w:val="404040" w:themeColor="text1" w:themeTint="BF"/>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lp"/>
    <w:basedOn w:val="Normal"/>
    <w:link w:val="ListParagraphChar"/>
    <w:uiPriority w:val="34"/>
    <w:qFormat/>
    <w:rsid w:val="00EF6A87"/>
    <w:pPr>
      <w:ind w:left="720"/>
      <w:contextualSpacing/>
    </w:pPr>
  </w:style>
  <w:style w:type="character" w:styleId="IntenseEmphasis">
    <w:name w:val="Intense Emphasis"/>
    <w:basedOn w:val="DefaultParagraphFont"/>
    <w:uiPriority w:val="21"/>
    <w:qFormat/>
    <w:rsid w:val="00EF6A87"/>
    <w:rPr>
      <w:i/>
      <w:iCs/>
      <w:color w:val="2E74B5" w:themeColor="accent1" w:themeShade="BF"/>
    </w:rPr>
  </w:style>
  <w:style w:type="paragraph" w:styleId="IntenseQuote">
    <w:name w:val="Intense Quote"/>
    <w:basedOn w:val="Normal"/>
    <w:next w:val="Normal"/>
    <w:link w:val="IntenseQuoteChar"/>
    <w:uiPriority w:val="30"/>
    <w:qFormat/>
    <w:rsid w:val="00EF6A8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F6A87"/>
    <w:rPr>
      <w:i/>
      <w:iCs/>
      <w:color w:val="2E74B5" w:themeColor="accent1" w:themeShade="BF"/>
    </w:rPr>
  </w:style>
  <w:style w:type="character" w:styleId="IntenseReference">
    <w:name w:val="Intense Reference"/>
    <w:basedOn w:val="DefaultParagraphFont"/>
    <w:uiPriority w:val="32"/>
    <w:qFormat/>
    <w:rsid w:val="00EF6A87"/>
    <w:rPr>
      <w:b/>
      <w:bCs/>
      <w:smallCaps/>
      <w:color w:val="2E74B5" w:themeColor="accent1" w:themeShade="BF"/>
      <w:spacing w:val="5"/>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rsid w:val="00EF6A87"/>
  </w:style>
  <w:style w:type="character" w:styleId="CommentReference">
    <w:name w:val="annotation reference"/>
    <w:basedOn w:val="DefaultParagraphFont"/>
    <w:uiPriority w:val="99"/>
    <w:unhideWhenUsed/>
    <w:rsid w:val="00EF6A87"/>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EF6A87"/>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EF6A87"/>
    <w:rPr>
      <w:kern w:val="0"/>
      <w:sz w:val="20"/>
      <w:szCs w:val="20"/>
      <w14:ligatures w14:val="none"/>
    </w:rPr>
  </w:style>
  <w:style w:type="paragraph" w:styleId="FootnoteText">
    <w:name w:val="footnote text"/>
    <w:basedOn w:val="Normal"/>
    <w:link w:val="FootnoteTextChar"/>
    <w:unhideWhenUsed/>
    <w:rsid w:val="00EF6A87"/>
    <w:pPr>
      <w:spacing w:line="240" w:lineRule="auto"/>
    </w:pPr>
    <w:rPr>
      <w:rFonts w:asciiTheme="minorHAnsi" w:hAnsiTheme="minorHAnsi"/>
      <w:sz w:val="20"/>
      <w:szCs w:val="20"/>
    </w:rPr>
  </w:style>
  <w:style w:type="character" w:customStyle="1" w:styleId="FootnoteTextChar">
    <w:name w:val="Footnote Text Char"/>
    <w:basedOn w:val="DefaultParagraphFont"/>
    <w:link w:val="FootnoteText"/>
    <w:rsid w:val="00EF6A87"/>
    <w:rPr>
      <w:rFonts w:asciiTheme="minorHAnsi" w:hAnsiTheme="minorHAnsi"/>
      <w:kern w:val="0"/>
      <w:sz w:val="20"/>
      <w:szCs w:val="20"/>
      <w14:ligatures w14:val="none"/>
    </w:rPr>
  </w:style>
  <w:style w:type="character" w:styleId="FootnoteReference">
    <w:name w:val="footnote reference"/>
    <w:basedOn w:val="DefaultParagraphFont"/>
    <w:unhideWhenUsed/>
    <w:rsid w:val="00EF6A87"/>
    <w:rPr>
      <w:vertAlign w:val="superscript"/>
    </w:rPr>
  </w:style>
  <w:style w:type="paragraph" w:customStyle="1" w:styleId="Lentelsturinys">
    <w:name w:val="Lentelės turinys"/>
    <w:basedOn w:val="Normal"/>
    <w:link w:val="LentelsturinysChar"/>
    <w:qFormat/>
    <w:rsid w:val="00EF6A87"/>
    <w:pPr>
      <w:keepNext/>
      <w:framePr w:hSpace="180" w:wrap="around" w:vAnchor="text" w:hAnchor="text" w:x="70" w:y="1"/>
      <w:tabs>
        <w:tab w:val="left" w:pos="556"/>
        <w:tab w:val="left" w:pos="822"/>
      </w:tabs>
      <w:spacing w:line="240" w:lineRule="auto"/>
      <w:suppressOverlap/>
    </w:pPr>
    <w:rPr>
      <w:rFonts w:eastAsia="Calibri" w:cs="Times New Roman"/>
    </w:rPr>
  </w:style>
  <w:style w:type="character" w:customStyle="1" w:styleId="LentelsturinysChar">
    <w:name w:val="Lentelės turinys Char"/>
    <w:basedOn w:val="DefaultParagraphFont"/>
    <w:link w:val="Lentelsturinys"/>
    <w:rsid w:val="00EF6A87"/>
    <w:rPr>
      <w:rFonts w:eastAsia="Calibri" w:cs="Times New Roman"/>
      <w:kern w:val="0"/>
      <w14:ligatures w14:val="none"/>
    </w:rPr>
  </w:style>
  <w:style w:type="paragraph" w:customStyle="1" w:styleId="Tableheader">
    <w:name w:val="Table header"/>
    <w:basedOn w:val="Normal"/>
    <w:link w:val="TableheaderChar"/>
    <w:rsid w:val="00EF6A87"/>
    <w:pPr>
      <w:keepNext/>
      <w:spacing w:before="120" w:after="120" w:line="276" w:lineRule="auto"/>
      <w:jc w:val="both"/>
    </w:pPr>
    <w:rPr>
      <w:rFonts w:ascii="Arial" w:eastAsia="MS Mincho" w:hAnsi="Arial" w:cs="Arial Narrow"/>
      <w:b/>
      <w:color w:val="FFFFFF" w:themeColor="background1"/>
      <w:sz w:val="20"/>
    </w:rPr>
  </w:style>
  <w:style w:type="character" w:customStyle="1" w:styleId="TableheaderChar">
    <w:name w:val="Table header Char"/>
    <w:basedOn w:val="DefaultParagraphFont"/>
    <w:link w:val="Tableheader"/>
    <w:qFormat/>
    <w:rsid w:val="00EF6A87"/>
    <w:rPr>
      <w:rFonts w:ascii="Arial" w:eastAsia="MS Mincho" w:hAnsi="Arial" w:cs="Arial Narrow"/>
      <w:b/>
      <w:color w:val="FFFFFF" w:themeColor="background1"/>
      <w:kern w:val="0"/>
      <w:sz w:val="20"/>
      <w14:ligatures w14:val="none"/>
    </w:rPr>
  </w:style>
  <w:style w:type="paragraph" w:styleId="CommentSubject">
    <w:name w:val="annotation subject"/>
    <w:basedOn w:val="CommentText"/>
    <w:next w:val="CommentText"/>
    <w:link w:val="CommentSubjectChar"/>
    <w:uiPriority w:val="99"/>
    <w:semiHidden/>
    <w:unhideWhenUsed/>
    <w:rsid w:val="00B7225A"/>
    <w:rPr>
      <w:b/>
      <w:bCs/>
    </w:rPr>
  </w:style>
  <w:style w:type="character" w:customStyle="1" w:styleId="CommentSubjectChar">
    <w:name w:val="Comment Subject Char"/>
    <w:basedOn w:val="CommentTextChar"/>
    <w:link w:val="CommentSubject"/>
    <w:uiPriority w:val="99"/>
    <w:semiHidden/>
    <w:rsid w:val="00B7225A"/>
    <w:rPr>
      <w:b/>
      <w:bCs/>
      <w:kern w:val="0"/>
      <w:sz w:val="20"/>
      <w:szCs w:val="20"/>
      <w14:ligatures w14:val="none"/>
    </w:rPr>
  </w:style>
  <w:style w:type="paragraph" w:styleId="NormalWeb">
    <w:name w:val="Normal (Web)"/>
    <w:basedOn w:val="Normal"/>
    <w:uiPriority w:val="99"/>
    <w:semiHidden/>
    <w:unhideWhenUsed/>
    <w:rsid w:val="006E008A"/>
    <w:rPr>
      <w:rFonts w:ascii="Times New Roman" w:hAnsi="Times New Roman" w:cs="Times New Roman"/>
      <w:sz w:val="24"/>
      <w:szCs w:val="24"/>
    </w:rPr>
  </w:style>
  <w:style w:type="paragraph" w:styleId="Revision">
    <w:name w:val="Revision"/>
    <w:hidden/>
    <w:uiPriority w:val="99"/>
    <w:semiHidden/>
    <w:rsid w:val="002315AC"/>
    <w:pPr>
      <w:spacing w:line="240" w:lineRule="auto"/>
      <w:ind w:firstLine="0"/>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irkimokuratorius xmlns="2237381f-4077-4a49-94a4-1284d7b12bfd">
      <UserInfo>
        <DisplayName/>
        <AccountId xsi:nil="true"/>
        <AccountType/>
      </UserInfo>
    </Pirkimokuratorius>
    <lcf76f155ced4ddcb4097134ff3c332f xmlns="2237381f-4077-4a49-94a4-1284d7b12bfd">
      <Terms xmlns="http://schemas.microsoft.com/office/infopath/2007/PartnerControls"/>
    </lcf76f155ced4ddcb4097134ff3c332f>
    <Skyrius xmlns="2237381f-4077-4a49-94a4-1284d7b12bfd" xsi:nil="true"/>
    <IssueKey xmlns="2237381f-4077-4a49-94a4-1284d7b12bfd" xsi:nil="true"/>
    <Statusas xmlns="2237381f-4077-4a49-94a4-1284d7b12b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14" ma:contentTypeDescription="Create a new document." ma:contentTypeScope="" ma:versionID="561bf8980f9ec2f4c8ac592428e2ca18">
  <xsd:schema xmlns:xsd="http://www.w3.org/2001/XMLSchema" xmlns:xs="http://www.w3.org/2001/XMLSchema" xmlns:p="http://schemas.microsoft.com/office/2006/metadata/properties" xmlns:ns2="2237381f-4077-4a49-94a4-1284d7b12bfd" targetNamespace="http://schemas.microsoft.com/office/2006/metadata/properties" ma:root="true" ma:fieldsID="071e533f7b7b0fa640619ef35896e8a7"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Skyrius" minOccurs="0"/>
                <xsd:element ref="ns2:Pirkimokuratorius" minOccurs="0"/>
                <xsd:element ref="ns2:IssueKey"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kyrius" ma:index="18" nillable="true" ma:displayName="Skyrius" ma:format="Dropdown" ma:internalName="Skyrius">
      <xsd:simpleType>
        <xsd:restriction base="dms:Choice">
          <xsd:enumeration value="KSS"/>
          <xsd:enumeration value="ITID"/>
          <xsd:enumeration value="ITVS"/>
          <xsd:enumeration value="KITI"/>
        </xsd:restriction>
      </xsd:simpleType>
    </xsd:element>
    <xsd:element name="Pirkimokuratorius" ma:index="19" nillable="true" ma:displayName="Pirkimo kuratorius" ma:format="Dropdown" ma:list="UserInfo" ma:SharePointGroup="0" ma:internalName="Pirkimokuratoriu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sueKey" ma:index="20" nillable="true" ma:displayName="IssueKey" ma:format="Dropdown" ma:internalName="IssueKey">
      <xsd:simpleType>
        <xsd:restriction base="dms:Text">
          <xsd:maxLength value="255"/>
        </xsd:restriction>
      </xsd:simpleType>
    </xsd:element>
    <xsd:element name="Statusas" ma:index="21" nillable="true" ma:displayName="Statusas" ma:format="Dropdown" ma:internalName="Status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40C7C3-224C-4F49-B99B-A44DCC17C51F}">
  <ds:schemaRefs>
    <ds:schemaRef ds:uri="http://schemas.microsoft.com/sharepoint/v3/contenttype/forms"/>
  </ds:schemaRefs>
</ds:datastoreItem>
</file>

<file path=customXml/itemProps2.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3.xml><?xml version="1.0" encoding="utf-8"?>
<ds:datastoreItem xmlns:ds="http://schemas.openxmlformats.org/officeDocument/2006/customXml" ds:itemID="{76130C6E-6C22-451E-B8E7-29E739357DFA}">
  <ds:schemaRefs>
    <ds:schemaRef ds:uri="http://schemas.microsoft.com/office/2006/metadata/properties"/>
    <ds:schemaRef ds:uri="http://schemas.microsoft.com/office/infopath/2007/PartnerControls"/>
    <ds:schemaRef ds:uri="2237381f-4077-4a49-94a4-1284d7b12bfd"/>
  </ds:schemaRefs>
</ds:datastoreItem>
</file>

<file path=customXml/itemProps4.xml><?xml version="1.0" encoding="utf-8"?>
<ds:datastoreItem xmlns:ds="http://schemas.openxmlformats.org/officeDocument/2006/customXml" ds:itemID="{E84C95D7-E6CA-4642-8A2E-C7BB4B71F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13285</Words>
  <Characters>7574</Characters>
  <Application>Microsoft Office Word</Application>
  <DocSecurity>0</DocSecurity>
  <Lines>63</Lines>
  <Paragraphs>41</Paragraphs>
  <ScaleCrop>false</ScaleCrop>
  <Company>VĮ Registrų centras</Company>
  <LinksUpToDate>false</LinksUpToDate>
  <CharactersWithSpaces>20818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Zakšauskas</dc:creator>
  <cp:keywords/>
  <dc:description/>
  <cp:lastModifiedBy>Giedrė Jasulaitytė-Ostapenko</cp:lastModifiedBy>
  <cp:revision>2</cp:revision>
  <dcterms:created xsi:type="dcterms:W3CDTF">2025-10-06T05:37:00Z</dcterms:created>
  <dcterms:modified xsi:type="dcterms:W3CDTF">2025-10-06T05:37:00Z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2025-09-18T09:28:56Z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e3f30da5-aa7c-4993-a213-873755fdf509</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y fmtid="{D5CDD505-2E9C-101B-9397-08002B2CF9AE}" pid="10" name="ContentTypeId">
    <vt:lpwstr>0x010100C76E40546631384EBD3EC9C6F11F7DB6</vt:lpwstr>
  </property>
  <property fmtid="{D5CDD505-2E9C-101B-9397-08002B2CF9AE}" pid="11" name="MediaServiceImageTags">
    <vt:lpwstr/>
  </property>
  <property fmtid="{D5CDD505-2E9C-101B-9397-08002B2CF9AE}" pid="12" name="docLang">
    <vt:lpwstr>lt</vt:lpwstr>
  </property>
</Properties>
</file>