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numPr>
          <w:ilvl w:val="0"/>
          <w:numId w:val="0"/>
        </w:numPr>
        <w:suppressAutoHyphens w:val="true"/>
        <w:ind w:left="5103"/>
        <w:outlineLvl w:val="1"/>
        <w:rPr>
          <w:rFonts w:eastAsia="Times New Roman"/>
          <w:kern w:val="0"/>
          <w:szCs w:val="24"/>
          <w:lang w:eastAsia="lt-LT"/>
          <w14:ligatures w14:val="none"/>
        </w:rPr>
      </w:pPr>
      <w:bookmarkStart w:id="0" w:name="_Ref38291223"/>
      <w:bookmarkStart w:id="1" w:name="_Ref38291334"/>
      <w:bookmarkStart w:id="2" w:name="_Ref38533412"/>
      <w:bookmarkStart w:id="3" w:name="_Toc124404959"/>
      <w:r>
        <w:rPr>
          <w:rFonts w:eastAsia="Times New Roman"/>
          <w:kern w:val="0"/>
          <w:szCs w:val="24"/>
          <w:lang w:eastAsia="lt-LT"/>
          <w14:ligatures w14:val="none"/>
        </w:rPr>
        <w:t>Pirkimo sąlygų 4 priedas „Tiekėjų kvalifikacijos reikalavimai ir reikalaujami kokybės bei aplinkos apsaugos vadybos sistemų standartai“</w:t>
      </w:r>
      <w:bookmarkEnd w:id="0"/>
      <w:bookmarkEnd w:id="1"/>
      <w:bookmarkEnd w:id="2"/>
      <w:bookmarkEnd w:id="3"/>
    </w:p>
    <w:p>
      <w:pPr>
        <w:pStyle w:val="Normal"/>
        <w:suppressAutoHyphens w:val="true"/>
        <w:jc w:val="center"/>
        <w:rPr>
          <w:rFonts w:eastAsia="Calibri"/>
          <w:b/>
          <w:bCs/>
          <w:caps/>
          <w:color w:val="000000"/>
          <w:spacing w:val="20"/>
          <w:kern w:val="0"/>
          <w:szCs w:val="24"/>
          <w14:ligatures w14:val="none"/>
        </w:rPr>
      </w:pPr>
      <w:r>
        <w:rPr>
          <w:rFonts w:eastAsia="Calibri"/>
          <w:b/>
          <w:bCs/>
          <w:caps/>
          <w:color w:val="000000"/>
          <w:spacing w:val="20"/>
          <w:kern w:val="0"/>
          <w:szCs w:val="24"/>
          <w14:ligatures w14:val="none"/>
        </w:rPr>
      </w:r>
    </w:p>
    <w:p>
      <w:pPr>
        <w:pStyle w:val="Normal"/>
        <w:suppressAutoHyphens w:val="true"/>
        <w:rPr>
          <w:rFonts w:eastAsia="Calibri"/>
          <w:b/>
          <w:bCs/>
          <w:smallCaps/>
          <w:kern w:val="0"/>
          <w:sz w:val="22"/>
          <w:lang w:eastAsia="lt-LT"/>
          <w14:ligatures w14:val="none"/>
        </w:rPr>
      </w:pPr>
      <w:r>
        <w:rPr>
          <w:rFonts w:eastAsia="Calibri"/>
          <w:b/>
          <w:bCs/>
          <w:smallCaps/>
          <w:kern w:val="0"/>
          <w:sz w:val="22"/>
          <w:lang w:eastAsia="lt-LT"/>
          <w14:ligatures w14:val="none"/>
        </w:rPr>
      </w:r>
    </w:p>
    <w:p>
      <w:pPr>
        <w:pStyle w:val="Normal"/>
        <w:suppressAutoHyphens w:val="true"/>
        <w:jc w:val="center"/>
        <w:rPr>
          <w:rFonts w:eastAsia="Calibri"/>
          <w:b/>
          <w:bCs/>
          <w:smallCaps/>
          <w:kern w:val="0"/>
          <w:sz w:val="22"/>
          <w:lang w:eastAsia="lt-LT"/>
          <w14:ligatures w14:val="none"/>
        </w:rPr>
      </w:pPr>
      <w:bookmarkStart w:id="4" w:name="_Hlk192515048"/>
      <w:r>
        <w:rPr>
          <w:b/>
          <w:bCs/>
        </w:rPr>
        <w:t>MOKYMŲ, TEMA „</w:t>
      </w:r>
      <w:r>
        <w:rPr>
          <w:b/>
          <w:bCs/>
          <w:szCs w:val="24"/>
        </w:rPr>
        <w:t>EFEKTYVUS VIEŠASIS KALBĖJIMAS IR KOMUNIKACIJA: ĮGŪDŽIŲ LAVINIMAS PRAKTIKOJE</w:t>
      </w:r>
      <w:r>
        <w:rPr>
          <w:b/>
          <w:bCs/>
        </w:rPr>
        <w:t>“, ORGANIZAVIMO PASLAUGOS</w:t>
      </w:r>
    </w:p>
    <w:p>
      <w:pPr>
        <w:pStyle w:val="Normal"/>
        <w:suppressAutoHyphens w:val="true"/>
        <w:rPr>
          <w:rFonts w:eastAsia="Calibri"/>
          <w:b/>
          <w:bCs/>
          <w:smallCaps/>
          <w:kern w:val="0"/>
          <w:sz w:val="22"/>
          <w:lang w:eastAsia="lt-LT"/>
          <w14:ligatures w14:val="none"/>
        </w:rPr>
      </w:pPr>
      <w:r>
        <w:rPr>
          <w:rFonts w:eastAsia="Calibri"/>
          <w:b/>
          <w:bCs/>
          <w:smallCaps/>
          <w:kern w:val="0"/>
          <w:sz w:val="22"/>
          <w:lang w:eastAsia="lt-LT"/>
          <w14:ligatures w14:val="none"/>
        </w:rPr>
      </w:r>
    </w:p>
    <w:p>
      <w:pPr>
        <w:pStyle w:val="Normal"/>
        <w:suppressAutoHyphens w:val="true"/>
        <w:jc w:val="center"/>
        <w:rPr>
          <w:rFonts w:eastAsia="Calibri"/>
          <w:b/>
          <w:caps/>
          <w:kern w:val="0"/>
          <w:szCs w:val="24"/>
          <w14:ligatures w14:val="none"/>
        </w:rPr>
      </w:pPr>
      <w:r>
        <w:rPr>
          <w:rFonts w:eastAsia="Calibri"/>
          <w:b/>
          <w:smallCaps/>
          <w:kern w:val="0"/>
          <w:szCs w:val="24"/>
          <w:lang w:eastAsia="lt-LT"/>
          <w14:ligatures w14:val="none"/>
        </w:rPr>
        <w:t xml:space="preserve">TIEKĖJŲ KVALIFIKACIJOS REIKALAVIMAI IR REIKALAVIMAI LAIKYTIS </w:t>
      </w:r>
      <w:r>
        <w:rPr>
          <w:rFonts w:eastAsia="Calibri"/>
          <w:b/>
          <w:caps/>
          <w:kern w:val="0"/>
          <w:szCs w:val="24"/>
          <w14:ligatures w14:val="none"/>
        </w:rPr>
        <w:t>KOKYBĖS VADYBOS SISTEMOS IR (ARBA) APLINKOS APSAUGOS VADYBOS SISTEMOS STANDARTŲ</w:t>
      </w:r>
    </w:p>
    <w:p>
      <w:pPr>
        <w:pStyle w:val="Normal"/>
        <w:suppressAutoHyphens w:val="true"/>
        <w:jc w:val="center"/>
        <w:rPr>
          <w:rFonts w:eastAsia="Calibri"/>
          <w:b/>
          <w:caps/>
          <w:kern w:val="0"/>
          <w:szCs w:val="24"/>
          <w14:ligatures w14:val="none"/>
        </w:rPr>
      </w:pPr>
      <w:r>
        <w:rPr>
          <w:rFonts w:eastAsia="Calibri"/>
          <w:b/>
          <w:caps/>
          <w:kern w:val="0"/>
          <w:szCs w:val="24"/>
          <w14:ligatures w14:val="none"/>
        </w:rPr>
      </w:r>
    </w:p>
    <w:p>
      <w:pPr>
        <w:pStyle w:val="Normal"/>
        <w:numPr>
          <w:ilvl w:val="0"/>
          <w:numId w:val="4"/>
        </w:numPr>
        <w:tabs>
          <w:tab w:val="clear" w:pos="1296"/>
          <w:tab w:val="left" w:pos="851" w:leader="none"/>
        </w:tabs>
        <w:suppressAutoHyphens w:val="true"/>
        <w:spacing w:before="0" w:after="0"/>
        <w:ind w:firstLine="567" w:left="0"/>
        <w:contextualSpacing/>
        <w:jc w:val="both"/>
        <w:rPr>
          <w:rFonts w:eastAsia="Times New Roman"/>
          <w:kern w:val="0"/>
          <w:szCs w:val="24"/>
          <w14:ligatures w14:val="none"/>
        </w:rPr>
      </w:pPr>
      <w:r>
        <w:rPr>
          <w:rFonts w:eastAsia="Times New Roman"/>
          <w:kern w:val="0"/>
          <w:szCs w:val="24"/>
          <w14:ligatures w14:val="none"/>
        </w:rPr>
        <w:t xml:space="preserve">Tiekėjo kvalifikacija turi atitikti šiame priede nustatytus reikalavimus kvalifikacijai. </w:t>
      </w:r>
    </w:p>
    <w:p>
      <w:pPr>
        <w:pStyle w:val="Normal"/>
        <w:numPr>
          <w:ilvl w:val="0"/>
          <w:numId w:val="5"/>
        </w:numPr>
        <w:tabs>
          <w:tab w:val="clear" w:pos="1296"/>
          <w:tab w:val="left" w:pos="851" w:leader="none"/>
          <w:tab w:val="left" w:pos="1134" w:leader="none"/>
        </w:tabs>
        <w:suppressAutoHyphens w:val="true"/>
        <w:spacing w:before="0" w:after="0"/>
        <w:ind w:firstLine="567" w:left="0"/>
        <w:contextualSpacing/>
        <w:jc w:val="both"/>
        <w:rPr>
          <w:rFonts w:eastAsia="Times New Roman"/>
          <w:kern w:val="0"/>
          <w:szCs w:val="24"/>
          <w14:ligatures w14:val="none"/>
        </w:rPr>
      </w:pPr>
      <w:r>
        <w:rPr>
          <w:rFonts w:eastAsia="Times New Roman"/>
          <w:iCs/>
          <w:kern w:val="0"/>
          <w:szCs w:val="24"/>
          <w14:ligatures w14:val="none"/>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eastAsia="Times New Roman"/>
          <w:kern w:val="0"/>
          <w:szCs w:val="24"/>
          <w14:ligatures w14:val="none"/>
        </w:rPr>
        <w:t xml:space="preserve">. </w:t>
      </w:r>
    </w:p>
    <w:p>
      <w:pPr>
        <w:pStyle w:val="Normal"/>
        <w:numPr>
          <w:ilvl w:val="0"/>
          <w:numId w:val="6"/>
        </w:numPr>
        <w:tabs>
          <w:tab w:val="clear" w:pos="1296"/>
          <w:tab w:val="left" w:pos="851" w:leader="none"/>
        </w:tabs>
        <w:suppressAutoHyphens w:val="true"/>
        <w:spacing w:before="0" w:after="0"/>
        <w:ind w:firstLine="567" w:left="0"/>
        <w:contextualSpacing/>
        <w:jc w:val="both"/>
        <w:rPr>
          <w:rFonts w:eastAsia="Times New Roman"/>
          <w:kern w:val="0"/>
          <w:szCs w:val="24"/>
          <w14:ligatures w14:val="none"/>
        </w:rPr>
      </w:pPr>
      <w:r>
        <w:rPr>
          <w:rFonts w:eastAsia="Times New Roman"/>
          <w:kern w:val="0"/>
          <w:szCs w:val="24"/>
          <w14:ligatures w14:val="none"/>
        </w:rPr>
        <w:t xml:space="preserve">Kai tiekėjas remiasi kitų ūkio subjektų pajėgumais, kad atitiktų nustatytus ekonominio ir finansinio pajėgumo reikalavimus jie privalo prisiimti solidarią atsakomybę už sutarties įvykdymą. </w:t>
      </w:r>
    </w:p>
    <w:tbl>
      <w:tblPr>
        <w:tblStyle w:val="TableGrid3"/>
        <w:tblW w:w="991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65"/>
        <w:gridCol w:w="4798"/>
        <w:gridCol w:w="4255"/>
      </w:tblGrid>
      <w:tr>
        <w:trPr>
          <w:tblHeader w:val="true"/>
          <w:cantSplit w:val="true"/>
        </w:trPr>
        <w:tc>
          <w:tcPr>
            <w:tcW w:w="865" w:type="dxa"/>
            <w:tcBorders/>
            <w:shd w:color="auto" w:fill="DEEAF6" w:val="clear"/>
            <w:vAlign w:val="center"/>
          </w:tcPr>
          <w:p>
            <w:pPr>
              <w:pStyle w:val="Normal"/>
              <w:widowControl/>
              <w:suppressAutoHyphens w:val="true"/>
              <w:spacing w:before="0" w:after="0"/>
              <w:jc w:val="center"/>
              <w:rPr>
                <w:rFonts w:eastAsia="Calibri" w:cs="Arial"/>
                <w:b/>
                <w:bCs/>
                <w:sz w:val="24"/>
                <w:szCs w:val="24"/>
              </w:rPr>
            </w:pPr>
            <w:r>
              <w:rPr>
                <w:rFonts w:eastAsia="Calibri" w:cs="Times New Roman"/>
                <w:b/>
                <w:bCs/>
                <w:kern w:val="0"/>
                <w:sz w:val="24"/>
                <w:szCs w:val="24"/>
                <w:lang w:val="lt-LT" w:eastAsia="lt-LT" w:bidi="ar-SA"/>
              </w:rPr>
              <w:t>Eil. Nr.</w:t>
            </w:r>
          </w:p>
        </w:tc>
        <w:tc>
          <w:tcPr>
            <w:tcW w:w="4798" w:type="dxa"/>
            <w:tcBorders/>
            <w:shd w:color="auto" w:fill="DEEAF6" w:val="clear"/>
            <w:vAlign w:val="center"/>
          </w:tcPr>
          <w:p>
            <w:pPr>
              <w:pStyle w:val="Normal"/>
              <w:widowControl/>
              <w:suppressAutoHyphens w:val="true"/>
              <w:spacing w:before="0" w:after="0"/>
              <w:jc w:val="center"/>
              <w:rPr>
                <w:rFonts w:cs="Arial"/>
                <w:b/>
                <w:bCs/>
                <w:sz w:val="24"/>
                <w:szCs w:val="24"/>
              </w:rPr>
            </w:pPr>
            <w:r>
              <w:rPr>
                <w:rFonts w:eastAsia="Calibri" w:cs="Times New Roman"/>
                <w:b/>
                <w:bCs/>
                <w:kern w:val="0"/>
                <w:sz w:val="24"/>
                <w:szCs w:val="24"/>
                <w:lang w:val="lt-LT" w:eastAsia="lt-LT" w:bidi="ar-SA"/>
              </w:rPr>
              <w:t>Kvalifikacijos reikalavimas</w:t>
            </w:r>
          </w:p>
        </w:tc>
        <w:tc>
          <w:tcPr>
            <w:tcW w:w="4255" w:type="dxa"/>
            <w:tcBorders/>
            <w:shd w:color="auto" w:fill="DEEAF6" w:val="clear"/>
            <w:vAlign w:val="center"/>
          </w:tcPr>
          <w:p>
            <w:pPr>
              <w:pStyle w:val="Normal"/>
              <w:widowControl/>
              <w:suppressAutoHyphens w:val="true"/>
              <w:spacing w:before="0" w:after="0"/>
              <w:jc w:val="center"/>
              <w:rPr>
                <w:rFonts w:eastAsia="Calibri" w:cs="Arial"/>
                <w:b/>
                <w:bCs/>
                <w:sz w:val="24"/>
                <w:szCs w:val="24"/>
              </w:rPr>
            </w:pPr>
            <w:r>
              <w:rPr>
                <w:rFonts w:eastAsia="Calibri" w:cs="Times New Roman"/>
                <w:b/>
                <w:bCs/>
                <w:kern w:val="0"/>
                <w:sz w:val="24"/>
                <w:szCs w:val="24"/>
                <w:lang w:val="lt-LT" w:eastAsia="lt-LT" w:bidi="ar-SA"/>
              </w:rPr>
              <w:t>Atitiktį reikalavimui įrodantys dokumentai</w:t>
            </w:r>
          </w:p>
        </w:tc>
      </w:tr>
      <w:tr>
        <w:trPr/>
        <w:tc>
          <w:tcPr>
            <w:tcW w:w="865" w:type="dxa"/>
            <w:tcBorders/>
          </w:tcPr>
          <w:p>
            <w:pPr>
              <w:pStyle w:val="Normal"/>
              <w:widowControl/>
              <w:suppressAutoHyphens w:val="true"/>
              <w:spacing w:before="0" w:after="0"/>
              <w:ind w:right="45"/>
              <w:jc w:val="both"/>
              <w:rPr>
                <w:rFonts w:eastAsia="Calibri" w:cs="Arial"/>
                <w:sz w:val="24"/>
                <w:szCs w:val="21"/>
              </w:rPr>
            </w:pPr>
            <w:r>
              <w:rPr>
                <w:rFonts w:eastAsia="Calibri" w:cs="Times New Roman"/>
                <w:kern w:val="0"/>
                <w:sz w:val="24"/>
                <w:szCs w:val="21"/>
                <w:lang w:val="lt-LT" w:eastAsia="lt-LT" w:bidi="ar-SA"/>
              </w:rPr>
              <w:t>1.</w:t>
            </w:r>
          </w:p>
        </w:tc>
        <w:tc>
          <w:tcPr>
            <w:tcW w:w="4798" w:type="dxa"/>
            <w:tcBorders/>
          </w:tcPr>
          <w:p>
            <w:pPr>
              <w:pStyle w:val="Normal"/>
              <w:widowControl/>
              <w:suppressAutoHyphens w:val="true"/>
              <w:spacing w:before="0" w:after="0"/>
              <w:ind w:right="45"/>
              <w:jc w:val="both"/>
              <w:rPr>
                <w:rFonts w:eastAsia="Calibri" w:cs="Arial"/>
                <w:sz w:val="24"/>
                <w:szCs w:val="24"/>
              </w:rPr>
            </w:pPr>
            <w:r>
              <w:rPr>
                <w:rFonts w:eastAsia="Calibri" w:cs="Times New Roman"/>
                <w:kern w:val="0"/>
                <w:sz w:val="24"/>
                <w:szCs w:val="21"/>
                <w:lang w:val="lt-LT" w:eastAsia="lt-LT" w:bidi="ar-SA"/>
              </w:rPr>
              <w:t xml:space="preserve">Tiekėjas privalo turėti kvalifikuotus specialistus, atsakingus už sutarties vykdymą, turinčius būtinas žinias ir patirtį. Taip pat tiekėjo siūlomi specialistai, turi tenkinti žemiau nurodytus minimalius nustatytus kvalifikacinius reikalavimus. </w:t>
            </w:r>
            <w:r>
              <w:rPr>
                <w:rFonts w:eastAsia="Calibri" w:cs="Times New Roman"/>
                <w:kern w:val="0"/>
                <w:sz w:val="24"/>
                <w:szCs w:val="24"/>
                <w:lang w:val="lt-LT" w:eastAsia="lt-LT" w:bidi="ar-SA"/>
              </w:rPr>
              <w:t>Tiekėjas turi pasiūlyti tokį specialistų skaičių, kad galėtų laiku ir kokybiškai suteikti paslaugas pagal techninėje specifikacijoje nurodytas sąlygas.</w:t>
            </w:r>
          </w:p>
        </w:tc>
        <w:tc>
          <w:tcPr>
            <w:tcW w:w="4255" w:type="dxa"/>
            <w:tcBorders/>
          </w:tcPr>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kern w:val="0"/>
                <w:sz w:val="24"/>
                <w:szCs w:val="24"/>
                <w:lang w:val="lt-LT" w:eastAsia="lt-LT" w:bidi="ar-SA"/>
              </w:rPr>
              <w:t>Vadovo arba jo įgalioto atstovo pasirašytas siūlomų specialistų sąrašas, kuriame turi būti nurodyta siūlomų specialistų pareigos projekte, vardai, pavardės.</w:t>
            </w:r>
          </w:p>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kern w:val="0"/>
                <w:sz w:val="24"/>
                <w:szCs w:val="24"/>
                <w:lang w:val="lt-LT" w:eastAsia="lt-LT" w:bidi="ar-SA"/>
              </w:rPr>
            </w:r>
          </w:p>
          <w:p>
            <w:pPr>
              <w:pStyle w:val="Normal"/>
              <w:widowControl/>
              <w:suppressAutoHyphens w:val="true"/>
              <w:spacing w:before="0" w:after="0"/>
              <w:jc w:val="both"/>
              <w:rPr>
                <w:rFonts w:eastAsia="Calibri" w:cs="Arial"/>
                <w:sz w:val="24"/>
                <w:szCs w:val="21"/>
              </w:rPr>
            </w:pPr>
            <w:r>
              <w:rPr>
                <w:rFonts w:eastAsia="Calibri" w:cs="Times New Roman"/>
                <w:kern w:val="0"/>
                <w:sz w:val="24"/>
                <w:szCs w:val="21"/>
                <w:lang w:val="lt-LT" w:eastAsia="lt-LT" w:bidi="ar-SA"/>
              </w:rPr>
              <w:t>Tuo atveju, jei specialistai nėra tiekėjo darbuotojai, tiekėjas, teikdamas pasiūlymą, privalo šiuos specialistus nurodyti subtiekėjų sąraše bei pateikti atitinkamų sutarčių su šiais specialistais kopijas ir specialistų raštiškus sutikimus.</w:t>
            </w:r>
          </w:p>
          <w:p>
            <w:pPr>
              <w:pStyle w:val="Normal"/>
              <w:widowControl/>
              <w:suppressAutoHyphens w:val="true"/>
              <w:spacing w:before="0" w:after="0"/>
              <w:jc w:val="both"/>
              <w:rPr>
                <w:rFonts w:eastAsia="Calibri" w:cs="Arial"/>
                <w:sz w:val="24"/>
                <w:szCs w:val="21"/>
              </w:rPr>
            </w:pPr>
            <w:r>
              <w:rPr>
                <w:rFonts w:eastAsia="Calibri" w:cs="Times New Roman"/>
                <w:kern w:val="0"/>
                <w:sz w:val="24"/>
                <w:szCs w:val="21"/>
                <w:lang w:val="lt-LT" w:eastAsia="lt-LT" w:bidi="ar-SA"/>
              </w:rPr>
              <w:t>Papildomai turi būti pateikti specialistų kvalifikaciją ir patirtį patvirtinantys dokumentai (pateikiami tik galiojantys dokumentai).</w:t>
            </w:r>
          </w:p>
          <w:p>
            <w:pPr>
              <w:pStyle w:val="Normal"/>
              <w:widowControl/>
              <w:suppressAutoHyphens w:val="true"/>
              <w:spacing w:before="0" w:after="0"/>
              <w:ind w:right="45"/>
              <w:jc w:val="both"/>
              <w:rPr>
                <w:rFonts w:eastAsia="Calibri" w:cs="Arial"/>
                <w:sz w:val="24"/>
                <w:szCs w:val="24"/>
              </w:rPr>
            </w:pPr>
            <w:r>
              <w:rPr>
                <w:rFonts w:eastAsia="Calibri" w:cs="Times New Roman"/>
                <w:kern w:val="0"/>
                <w:sz w:val="24"/>
                <w:szCs w:val="21"/>
                <w:lang w:val="lt-LT" w:eastAsia="lt-LT" w:bidi="ar-SA"/>
              </w:rPr>
              <w:t>Pateikiami skenuoti dokumentai elektroninėje formoje.</w:t>
            </w:r>
          </w:p>
        </w:tc>
      </w:tr>
      <w:tr>
        <w:trPr/>
        <w:tc>
          <w:tcPr>
            <w:tcW w:w="865" w:type="dxa"/>
            <w:tcBorders/>
          </w:tcPr>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2.</w:t>
            </w:r>
          </w:p>
        </w:tc>
        <w:tc>
          <w:tcPr>
            <w:tcW w:w="4798" w:type="dxa"/>
            <w:tcBorders/>
          </w:tcPr>
          <w:p>
            <w:pPr>
              <w:pStyle w:val="Normal"/>
              <w:widowControl/>
              <w:suppressAutoHyphens w:val="true"/>
              <w:spacing w:before="0" w:after="0"/>
              <w:jc w:val="left"/>
              <w:rPr>
                <w:rFonts w:ascii="Times New Roman" w:hAnsi="Times New Roman" w:eastAsia="Calibri"/>
                <w:b/>
                <w:bCs/>
                <w:sz w:val="24"/>
                <w:szCs w:val="24"/>
                <w:shd w:fill="FFFFFF" w:val="clear"/>
              </w:rPr>
            </w:pPr>
            <w:r>
              <w:rPr>
                <w:rFonts w:eastAsia="Calibri" w:cs="Times New Roman"/>
                <w:kern w:val="0"/>
                <w:sz w:val="24"/>
                <w:szCs w:val="24"/>
                <w:shd w:fill="FFFFFF" w:val="clear"/>
                <w:lang w:val="lt-LT" w:eastAsia="lt-LT" w:bidi="ar-SA"/>
              </w:rPr>
              <w:t xml:space="preserve">2.1. </w:t>
            </w:r>
            <w:r>
              <w:rPr>
                <w:rFonts w:eastAsia="Calibri" w:cs="Times New Roman"/>
                <w:b/>
                <w:bCs/>
                <w:kern w:val="0"/>
                <w:sz w:val="24"/>
                <w:szCs w:val="24"/>
                <w:shd w:fill="FFFFFF" w:val="clear"/>
                <w:lang w:val="lt-LT" w:eastAsia="lt-LT" w:bidi="ar-SA"/>
              </w:rPr>
              <w:t xml:space="preserve">Lektorius Nr. 1. </w:t>
            </w:r>
            <w:r>
              <w:rPr>
                <w:rFonts w:eastAsia="Calibri" w:cs="Times New Roman"/>
                <w:kern w:val="0"/>
                <w:sz w:val="24"/>
                <w:szCs w:val="24"/>
                <w:shd w:fill="FFFFFF" w:val="clear"/>
                <w:lang w:val="lt-LT" w:eastAsia="lt-LT" w:bidi="ar-SA"/>
              </w:rPr>
              <w:t>Turi turėti šią patirtį:</w:t>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 xml:space="preserve">- </w:t>
            </w:r>
            <w:r>
              <w:rPr>
                <w:rFonts w:eastAsia="Calibri" w:cs="Times New Roman"/>
                <w:bCs/>
                <w:kern w:val="0"/>
                <w:sz w:val="24"/>
                <w:szCs w:val="24"/>
                <w:shd w:fill="FFFFFF" w:val="clear"/>
                <w:lang w:val="lt-LT" w:eastAsia="lt-LT" w:bidi="ar-SA"/>
              </w:rPr>
              <w:t>per paskutinius 5 (penkerius)</w:t>
            </w:r>
            <w:r>
              <w:rPr>
                <w:rStyle w:val="FootnoteReference"/>
                <w:rFonts w:eastAsia="Calibri" w:cs="Times New Roman"/>
                <w:bCs/>
                <w:kern w:val="0"/>
                <w:sz w:val="24"/>
                <w:szCs w:val="24"/>
                <w:shd w:fill="FFFFFF" w:val="clear"/>
                <w:lang w:val="lt-LT" w:eastAsia="lt-LT" w:bidi="ar-SA"/>
              </w:rPr>
              <w:footnoteReference w:id="2"/>
            </w:r>
            <w:r>
              <w:rPr>
                <w:rFonts w:eastAsia="Calibri" w:cs="Times New Roman"/>
                <w:bCs/>
                <w:kern w:val="0"/>
                <w:sz w:val="24"/>
                <w:szCs w:val="24"/>
                <w:shd w:fill="FFFFFF" w:val="clear"/>
                <w:lang w:val="lt-LT" w:eastAsia="lt-LT" w:bidi="ar-SA"/>
              </w:rPr>
              <w:t xml:space="preserve"> metus  turi</w:t>
            </w:r>
            <w:r>
              <w:rPr>
                <w:rFonts w:eastAsia="Calibri" w:cs="Times New Roman"/>
                <w:b/>
                <w:bCs/>
                <w:kern w:val="0"/>
                <w:sz w:val="24"/>
                <w:szCs w:val="24"/>
                <w:shd w:fill="FFFFFF" w:val="clear"/>
                <w:lang w:val="lt-LT" w:eastAsia="lt-LT" w:bidi="ar-SA"/>
              </w:rPr>
              <w:t xml:space="preserve"> </w:t>
            </w:r>
            <w:r>
              <w:rPr>
                <w:rFonts w:eastAsia="Calibri" w:cs="Times New Roman"/>
                <w:kern w:val="0"/>
                <w:sz w:val="24"/>
                <w:szCs w:val="24"/>
                <w:shd w:fill="FFFFFF" w:val="clear"/>
                <w:lang w:val="lt-LT" w:eastAsia="lt-LT" w:bidi="ar-SA"/>
              </w:rPr>
              <w:t>ne mažesnę kaip 12 mėnesių praktinio darbo patirtį viešojo kalbėjimo, komunikacijos, žiniasklaidos ar krizių komunikacijos srityje;</w:t>
            </w:r>
          </w:p>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w:t>
            </w:r>
            <w:r>
              <w:rPr>
                <w:rFonts w:eastAsia="Times New Roman" w:cs="Times New Roman" w:ascii="Calibri" w:hAnsi="Calibri"/>
                <w:kern w:val="0"/>
                <w:sz w:val="20"/>
                <w:szCs w:val="20"/>
                <w:lang w:val="lt-LT" w:eastAsia="lt-LT" w:bidi="ar-SA"/>
              </w:rPr>
              <w:t xml:space="preserve"> </w:t>
            </w:r>
            <w:r>
              <w:rPr>
                <w:rFonts w:eastAsia="Calibri" w:cs="Times New Roman"/>
                <w:kern w:val="0"/>
                <w:sz w:val="24"/>
                <w:szCs w:val="24"/>
                <w:shd w:fill="FFFFFF" w:val="clear"/>
                <w:lang w:val="lt-LT" w:eastAsia="lt-LT" w:bidi="ar-SA"/>
              </w:rPr>
              <w:t>ne mažesnę kaip 8 val. trukmės mokymų viešojo kalbėjimo, komunikacijos temomis vedimo patirtį.</w:t>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r>
          </w:p>
        </w:tc>
        <w:tc>
          <w:tcPr>
            <w:tcW w:w="4255" w:type="dxa"/>
            <w:tcBorders/>
          </w:tcPr>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iCs/>
                <w:kern w:val="0"/>
                <w:sz w:val="24"/>
                <w:szCs w:val="24"/>
                <w:u w:val="single"/>
                <w:lang w:val="lt-LT" w:eastAsia="lt-LT" w:bidi="ar-SA"/>
              </w:rPr>
              <w:t>Kartu su pasiūlymu pateikiami:</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t>1) pažyma apie siūlomo specialisto patirtį (</w:t>
            </w:r>
            <w:r>
              <w:rPr>
                <w:rFonts w:eastAsia="Calibri" w:cs="Times New Roman"/>
                <w:b/>
                <w:bCs/>
                <w:kern w:val="0"/>
                <w:sz w:val="24"/>
                <w:szCs w:val="24"/>
                <w:lang w:val="lt-LT" w:eastAsia="lt-LT" w:bidi="ar-SA"/>
              </w:rPr>
              <w:t>xx</w:t>
            </w:r>
            <w:r>
              <w:rPr>
                <w:rFonts w:eastAsia="Calibri" w:cs="Times New Roman"/>
                <w:kern w:val="0"/>
                <w:sz w:val="24"/>
                <w:szCs w:val="24"/>
                <w:lang w:val="lt-LT" w:eastAsia="lt-LT" w:bidi="ar-SA"/>
              </w:rPr>
              <w:t xml:space="preserve"> priedas).</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b/>
                <w:bCs/>
                <w:i/>
                <w:iCs/>
                <w:kern w:val="0"/>
                <w:sz w:val="24"/>
                <w:szCs w:val="24"/>
                <w:lang w:val="lt-LT" w:eastAsia="lt-LT" w:bidi="ar-SA"/>
              </w:rPr>
              <w:t>Perkančioji organizacija pasilieka teisę kreiptis į užsakovą (-us) dėl patvirtinimo, kad konkretus specialistas vykdė atitinkamą veiklą nurodytą pateiktame dokumente.</w:t>
            </w:r>
          </w:p>
          <w:p>
            <w:pPr>
              <w:pStyle w:val="Normal"/>
              <w:widowControl/>
              <w:suppressAutoHyphens w:val="true"/>
              <w:spacing w:before="0" w:after="0"/>
              <w:jc w:val="left"/>
              <w:rPr>
                <w:rFonts w:eastAsia="Calibri"/>
                <w:szCs w:val="24"/>
                <w:shd w:fill="FFFFFF" w:val="clear"/>
              </w:rPr>
            </w:pPr>
            <w:r>
              <w:rPr>
                <w:rFonts w:eastAsia="Calibri" w:cs="Times New Roman" w:ascii="Calibri" w:hAnsi="Calibri"/>
                <w:kern w:val="0"/>
                <w:sz w:val="20"/>
                <w:szCs w:val="24"/>
                <w:shd w:fill="FFFFFF" w:val="clear"/>
                <w:lang w:val="lt-LT" w:eastAsia="lt-LT" w:bidi="ar-SA"/>
              </w:rPr>
            </w:r>
          </w:p>
        </w:tc>
      </w:tr>
    </w:tbl>
    <w:p>
      <w:pPr>
        <w:pStyle w:val="Normal"/>
        <w:suppressAutoHyphens w:val="true"/>
        <w:spacing w:lineRule="auto" w:line="276" w:before="0" w:after="160"/>
        <w:rPr>
          <w:rFonts w:eastAsia="Times New Roman"/>
          <w:iCs/>
          <w:kern w:val="0"/>
          <w:szCs w:val="24"/>
          <w:lang w:eastAsia="lt-LT"/>
          <w14:ligatures w14:val="none"/>
        </w:rPr>
      </w:pPr>
      <w:r>
        <w:rPr>
          <w:rFonts w:eastAsia="Times New Roman"/>
          <w:kern w:val="0"/>
          <w:szCs w:val="24"/>
          <w:lang w:eastAsia="lt-LT"/>
          <w14:ligatures w14:val="none"/>
        </w:rPr>
        <w:t>Perkančioji organizacija nereikalauja, kad tiekėjai laikytųsi k</w:t>
      </w:r>
      <w:r>
        <w:rPr>
          <w:rFonts w:eastAsia="Times New Roman"/>
          <w:iCs/>
          <w:kern w:val="0"/>
          <w:szCs w:val="24"/>
          <w:lang w:eastAsia="lt-LT"/>
          <w14:ligatures w14:val="none"/>
        </w:rPr>
        <w:t>okybės vadybos sistemos ir (arba) aplinkos apsaugos vadybos sistemos standartų.</w:t>
      </w:r>
    </w:p>
    <w:p>
      <w:pPr>
        <w:pStyle w:val="Normal"/>
        <w:suppressAutoHyphens w:val="true"/>
        <w:spacing w:lineRule="auto" w:line="276" w:before="0" w:after="160"/>
        <w:jc w:val="center"/>
        <w:rPr>
          <w:rFonts w:eastAsia="Times New Roman"/>
          <w:iCs/>
          <w:kern w:val="0"/>
          <w:szCs w:val="24"/>
          <w:lang w:eastAsia="lt-LT"/>
          <w14:ligatures w14:val="none"/>
        </w:rPr>
      </w:pPr>
      <w:bookmarkStart w:id="5" w:name="_Hlk192515048"/>
      <w:r>
        <w:rPr>
          <w:rFonts w:eastAsia="Times New Roman"/>
          <w:iCs/>
          <w:kern w:val="0"/>
          <w:szCs w:val="24"/>
          <w:lang w:eastAsia="lt-LT"/>
          <w14:ligatures w14:val="none"/>
        </w:rPr>
        <w:t>_______________________</w:t>
      </w:r>
      <w:bookmarkEnd w:id="5"/>
    </w:p>
    <w:sectPr>
      <w:headerReference w:type="default" r:id="rId2"/>
      <w:footnotePr>
        <w:numFmt w:val="decimal"/>
      </w:footnotePr>
      <w:type w:val="nextPage"/>
      <w:pgSz w:w="12240" w:h="15840"/>
      <w:pgMar w:left="1701" w:right="567" w:gutter="0" w:header="567" w:top="1701" w:footer="0"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swiss"/>
    <w:pitch w:val="variable"/>
  </w:font>
  <w:font w:name="Aptos">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FootnoteCharacters"/>
        </w:rPr>
        <w:footnoteRef/>
      </w:r>
      <w:r>
        <w:rPr/>
        <w:tab/>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02995934"/>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Fonts w:cs="Times New Roman"/>
      </w:rPr>
    </w:lvl>
    <w:lvl w:ilvl="1">
      <w:start w:val="1"/>
      <w:numFmt w:val="decimal"/>
      <w:lvlText w:val="%1.%2."/>
      <w:lvlJc w:val="left"/>
      <w:pPr>
        <w:tabs>
          <w:tab w:val="num" w:pos="0"/>
        </w:tabs>
        <w:ind w:left="360" w:hanging="360"/>
      </w:pPr>
      <w:rPr>
        <w:b w:val="false"/>
        <w:bCs w:val="false"/>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lvl w:ilvl="0">
      <w:start w:val="1"/>
      <w:numFmt w:val="decimal"/>
      <w:lvlText w:val="%1."/>
      <w:lvlJc w:val="left"/>
      <w:pPr>
        <w:tabs>
          <w:tab w:val="num" w:pos="0"/>
        </w:tabs>
        <w:ind w:left="360" w:hanging="360"/>
      </w:pPr>
      <w:rPr>
        <w:b w:val="false"/>
        <w:bCs w:val="false"/>
        <w:rFonts w:cs="Times New Roman"/>
      </w:rPr>
    </w:lvl>
    <w:lvl w:ilvl="1">
      <w:start w:val="1"/>
      <w:numFmt w:val="decimal"/>
      <w:lvlText w:val="%1.%2."/>
      <w:lvlJc w:val="left"/>
      <w:pPr>
        <w:tabs>
          <w:tab w:val="num" w:pos="0"/>
        </w:tabs>
        <w:ind w:left="360" w:hanging="360"/>
      </w:pPr>
      <w:rPr>
        <w:b w:val="false"/>
        <w:bCs w:val="false"/>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0f61"/>
    <w:pPr>
      <w:widowControl/>
      <w:bidi w:val="0"/>
      <w:spacing w:before="0" w:after="0"/>
      <w:jc w:val="left"/>
    </w:pPr>
    <w:rPr>
      <w:rFonts w:ascii="Times New Roman" w:hAnsi="Times New Roman" w:eastAsia="Calibri" w:cs="Times New Roman" w:eastAsiaTheme="minorHAnsi"/>
      <w:color w:val="auto"/>
      <w:kern w:val="2"/>
      <w:sz w:val="24"/>
      <w:szCs w:val="22"/>
      <w:lang w:val="lt-LT" w:eastAsia="en-US" w:bidi="ar-SA"/>
      <w14:ligatures w14:val="standardContextual"/>
    </w:rPr>
  </w:style>
  <w:style w:type="paragraph" w:styleId="Heading1">
    <w:name w:val="Heading 1"/>
    <w:basedOn w:val="Normal"/>
    <w:next w:val="Normal"/>
    <w:link w:val="Antrat1Diagrama"/>
    <w:uiPriority w:val="9"/>
    <w:qFormat/>
    <w:rsid w:val="002639d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2639d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2639de"/>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Antrat4Diagrama"/>
    <w:uiPriority w:val="9"/>
    <w:semiHidden/>
    <w:unhideWhenUsed/>
    <w:qFormat/>
    <w:rsid w:val="002639de"/>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Antrat5Diagrama"/>
    <w:uiPriority w:val="9"/>
    <w:semiHidden/>
    <w:unhideWhenUsed/>
    <w:qFormat/>
    <w:rsid w:val="002639de"/>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Antrat6Diagrama"/>
    <w:uiPriority w:val="9"/>
    <w:semiHidden/>
    <w:unhideWhenUsed/>
    <w:qFormat/>
    <w:rsid w:val="002639de"/>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Antrat7Diagrama"/>
    <w:uiPriority w:val="9"/>
    <w:semiHidden/>
    <w:unhideWhenUsed/>
    <w:qFormat/>
    <w:rsid w:val="002639de"/>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Antrat8Diagrama"/>
    <w:uiPriority w:val="9"/>
    <w:semiHidden/>
    <w:unhideWhenUsed/>
    <w:qFormat/>
    <w:rsid w:val="002639de"/>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Antrat9Diagrama"/>
    <w:uiPriority w:val="9"/>
    <w:semiHidden/>
    <w:unhideWhenUsed/>
    <w:qFormat/>
    <w:rsid w:val="002639de"/>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2639de"/>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2639de"/>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2639de"/>
    <w:rPr>
      <w:rFonts w:ascii="Calibri" w:hAnsi="Calibri" w:eastAsia="" w:cs="" w:asciiTheme="minorHAnsi" w:cstheme="majorBidi" w:eastAsiaTheme="majorEastAsia" w:hAnsiTheme="minorHAnsi"/>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2639de"/>
    <w:rPr>
      <w:rFonts w:ascii="Calibri" w:hAnsi="Calibri" w:eastAsia="" w:cs="" w:asciiTheme="minorHAnsi" w:cstheme="majorBidi" w:eastAsiaTheme="majorEastAsia" w:hAnsiTheme="minorHAnsi"/>
      <w:i/>
      <w:iCs/>
      <w:color w:themeColor="accent1" w:themeShade="bf" w:val="2F5496"/>
    </w:rPr>
  </w:style>
  <w:style w:type="character" w:styleId="Antrat5Diagrama" w:customStyle="1">
    <w:name w:val="Antraštė 5 Diagrama"/>
    <w:basedOn w:val="DefaultParagraphFont"/>
    <w:link w:val="Heading5"/>
    <w:uiPriority w:val="9"/>
    <w:semiHidden/>
    <w:qFormat/>
    <w:rsid w:val="002639de"/>
    <w:rPr>
      <w:rFonts w:ascii="Calibri" w:hAnsi="Calibri" w:eastAsia="" w:cs="" w:asciiTheme="minorHAnsi" w:cstheme="majorBidi" w:eastAsiaTheme="majorEastAsia" w:hAnsiTheme="minorHAnsi"/>
      <w:color w:themeColor="accent1" w:themeShade="bf" w:val="2F5496"/>
    </w:rPr>
  </w:style>
  <w:style w:type="character" w:styleId="Antrat6Diagrama" w:customStyle="1">
    <w:name w:val="Antraštė 6 Diagrama"/>
    <w:basedOn w:val="DefaultParagraphFont"/>
    <w:link w:val="Heading6"/>
    <w:uiPriority w:val="9"/>
    <w:semiHidden/>
    <w:qFormat/>
    <w:rsid w:val="002639de"/>
    <w:rPr>
      <w:rFonts w:ascii="Calibri" w:hAnsi="Calibri" w:eastAsia="" w:cs="" w:asciiTheme="minorHAnsi" w:cstheme="majorBidi" w:eastAsiaTheme="majorEastAsia" w:hAnsiTheme="minorHAnsi"/>
      <w:i/>
      <w:iCs/>
      <w:color w:themeColor="text1" w:themeTint="a6" w:val="595959"/>
    </w:rPr>
  </w:style>
  <w:style w:type="character" w:styleId="Antrat7Diagrama" w:customStyle="1">
    <w:name w:val="Antraštė 7 Diagrama"/>
    <w:basedOn w:val="DefaultParagraphFont"/>
    <w:link w:val="Heading7"/>
    <w:uiPriority w:val="9"/>
    <w:semiHidden/>
    <w:qFormat/>
    <w:rsid w:val="002639de"/>
    <w:rPr>
      <w:rFonts w:ascii="Calibri" w:hAnsi="Calibri" w:eastAsia="" w:cs="" w:asciiTheme="minorHAnsi" w:cstheme="majorBidi" w:eastAsiaTheme="majorEastAsia" w:hAnsiTheme="minorHAnsi"/>
      <w:color w:themeColor="text1" w:themeTint="a6" w:val="595959"/>
    </w:rPr>
  </w:style>
  <w:style w:type="character" w:styleId="Antrat8Diagrama" w:customStyle="1">
    <w:name w:val="Antraštė 8 Diagrama"/>
    <w:basedOn w:val="DefaultParagraphFont"/>
    <w:link w:val="Heading8"/>
    <w:uiPriority w:val="9"/>
    <w:semiHidden/>
    <w:qFormat/>
    <w:rsid w:val="002639de"/>
    <w:rPr>
      <w:rFonts w:ascii="Calibri" w:hAnsi="Calibri" w:eastAsia="" w:cs="" w:asciiTheme="minorHAnsi" w:cstheme="majorBidi" w:eastAsiaTheme="majorEastAsia" w:hAnsiTheme="minorHAnsi"/>
      <w:i/>
      <w:iCs/>
      <w:color w:themeColor="text1" w:themeTint="d8" w:val="272727"/>
    </w:rPr>
  </w:style>
  <w:style w:type="character" w:styleId="Antrat9Diagrama" w:customStyle="1">
    <w:name w:val="Antraštė 9 Diagrama"/>
    <w:basedOn w:val="DefaultParagraphFont"/>
    <w:link w:val="Heading9"/>
    <w:uiPriority w:val="9"/>
    <w:semiHidden/>
    <w:qFormat/>
    <w:rsid w:val="002639de"/>
    <w:rPr>
      <w:rFonts w:ascii="Calibri" w:hAnsi="Calibri" w:eastAsia="" w:cs="" w:asciiTheme="minorHAnsi" w:cstheme="majorBidi" w:eastAsiaTheme="majorEastAsia" w:hAnsiTheme="minorHAnsi"/>
      <w:color w:themeColor="text1" w:themeTint="d8" w:val="272727"/>
    </w:rPr>
  </w:style>
  <w:style w:type="character" w:styleId="PavadinimasDiagrama" w:customStyle="1">
    <w:name w:val="Pavadinimas Diagrama"/>
    <w:basedOn w:val="DefaultParagraphFont"/>
    <w:link w:val="Title"/>
    <w:uiPriority w:val="10"/>
    <w:qFormat/>
    <w:rsid w:val="002639de"/>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2639de"/>
    <w:rPr>
      <w:rFonts w:ascii="Calibri" w:hAnsi="Calibri" w:eastAsia="" w:cs="" w:asciiTheme="minorHAnsi" w:cstheme="majorBidi" w:eastAsiaTheme="majorEastAsia" w:hAnsiTheme="minorHAnsi"/>
      <w:color w:themeColor="text1" w:themeTint="a6" w:val="595959"/>
      <w:spacing w:val="15"/>
      <w:sz w:val="28"/>
      <w:szCs w:val="28"/>
    </w:rPr>
  </w:style>
  <w:style w:type="character" w:styleId="CitataDiagrama" w:customStyle="1">
    <w:name w:val="Citata Diagrama"/>
    <w:basedOn w:val="DefaultParagraphFont"/>
    <w:link w:val="Quote"/>
    <w:uiPriority w:val="29"/>
    <w:qFormat/>
    <w:rsid w:val="002639de"/>
    <w:rPr>
      <w:i/>
      <w:iCs/>
      <w:color w:themeColor="text1" w:themeTint="bf" w:val="404040"/>
    </w:rPr>
  </w:style>
  <w:style w:type="character" w:styleId="IntenseEmphasis">
    <w:name w:val="Intense Emphasis"/>
    <w:basedOn w:val="DefaultParagraphFont"/>
    <w:uiPriority w:val="21"/>
    <w:qFormat/>
    <w:rsid w:val="002639de"/>
    <w:rPr>
      <w:i/>
      <w:iCs/>
      <w:color w:themeColor="accent1" w:themeShade="bf" w:val="2F5496"/>
    </w:rPr>
  </w:style>
  <w:style w:type="character" w:styleId="IskirtacitataDiagrama" w:customStyle="1">
    <w:name w:val="Išskirta citata Diagrama"/>
    <w:basedOn w:val="DefaultParagraphFont"/>
    <w:link w:val="IntenseQuote"/>
    <w:uiPriority w:val="30"/>
    <w:qFormat/>
    <w:rsid w:val="002639de"/>
    <w:rPr>
      <w:i/>
      <w:iCs/>
      <w:color w:themeColor="accent1" w:themeShade="bf" w:val="2F5496"/>
    </w:rPr>
  </w:style>
  <w:style w:type="character" w:styleId="IntenseReference">
    <w:name w:val="Intense Reference"/>
    <w:basedOn w:val="DefaultParagraphFont"/>
    <w:uiPriority w:val="32"/>
    <w:qFormat/>
    <w:rsid w:val="002639de"/>
    <w:rPr>
      <w:b/>
      <w:bCs/>
      <w:smallCaps/>
      <w:color w:themeColor="accent1" w:themeShade="bf" w:val="2F5496"/>
      <w:spacing w:val="5"/>
    </w:rPr>
  </w:style>
  <w:style w:type="character" w:styleId="AntratsDiagrama" w:customStyle="1">
    <w:name w:val="Antraštės Diagrama"/>
    <w:basedOn w:val="DefaultParagraphFont"/>
    <w:link w:val="Header"/>
    <w:uiPriority w:val="99"/>
    <w:qFormat/>
    <w:rsid w:val="006959ea"/>
    <w:rPr/>
  </w:style>
  <w:style w:type="character" w:styleId="PoratDiagrama" w:customStyle="1">
    <w:name w:val="Poraštė Diagrama"/>
    <w:basedOn w:val="DefaultParagraphFont"/>
    <w:link w:val="Footer"/>
    <w:uiPriority w:val="99"/>
    <w:qFormat/>
    <w:rsid w:val="006959ea"/>
    <w:rPr/>
  </w:style>
  <w:style w:type="character" w:styleId="FootnoteCharacters">
    <w:name w:val="Footnote Characters"/>
    <w:qFormat/>
    <w:rsid w:val="00e35c0b"/>
    <w:rPr>
      <w:vertAlign w:val="superscript"/>
    </w:rPr>
  </w:style>
  <w:style w:type="character" w:styleId="FootnoteReference">
    <w:name w:val="Footnote Reference"/>
    <w:rPr>
      <w:vertAlign w:val="superscript"/>
    </w:rPr>
  </w:style>
  <w:style w:type="character" w:styleId="PuslapioinaostekstasDiagrama" w:customStyle="1">
    <w:name w:val="Puslapio išnašos tekstas Diagrama"/>
    <w:basedOn w:val="DefaultParagraphFont"/>
    <w:link w:val="FootnoteText"/>
    <w:qFormat/>
    <w:rsid w:val="00e35c0b"/>
    <w:rPr>
      <w:sz w:val="20"/>
      <w:szCs w:val="20"/>
    </w:rPr>
  </w:style>
  <w:style w:type="character" w:styleId="Annotationreference">
    <w:name w:val="annotation reference"/>
    <w:basedOn w:val="DefaultParagraphFont"/>
    <w:uiPriority w:val="99"/>
    <w:semiHidden/>
    <w:unhideWhenUsed/>
    <w:qFormat/>
    <w:rsid w:val="00b432f4"/>
    <w:rPr>
      <w:sz w:val="16"/>
      <w:szCs w:val="16"/>
    </w:rPr>
  </w:style>
  <w:style w:type="character" w:styleId="KomentarotekstasDiagrama" w:customStyle="1">
    <w:name w:val="Komentaro tekstas Diagrama"/>
    <w:basedOn w:val="DefaultParagraphFont"/>
    <w:link w:val="Annotationtext"/>
    <w:uiPriority w:val="99"/>
    <w:qFormat/>
    <w:rsid w:val="00b432f4"/>
    <w:rPr>
      <w:sz w:val="20"/>
      <w:szCs w:val="20"/>
    </w:rPr>
  </w:style>
  <w:style w:type="character" w:styleId="KomentarotemaDiagrama" w:customStyle="1">
    <w:name w:val="Komentaro tema Diagrama"/>
    <w:basedOn w:val="KomentarotekstasDiagrama"/>
    <w:link w:val="Annotationsubject"/>
    <w:uiPriority w:val="99"/>
    <w:semiHidden/>
    <w:qFormat/>
    <w:rsid w:val="00b432f4"/>
    <w:rPr>
      <w:b/>
      <w:bCs/>
      <w:sz w:val="20"/>
      <w:szCs w:val="20"/>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2639de"/>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2639de"/>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taDiagrama"/>
    <w:uiPriority w:val="29"/>
    <w:qFormat/>
    <w:rsid w:val="002639de"/>
    <w:pPr>
      <w:spacing w:before="160" w:after="160"/>
      <w:jc w:val="center"/>
    </w:pPr>
    <w:rPr>
      <w:i/>
      <w:iCs/>
      <w:color w:themeColor="text1" w:themeTint="bf" w:val="404040"/>
    </w:rPr>
  </w:style>
  <w:style w:type="paragraph" w:styleId="ListParagraph">
    <w:name w:val="List Paragraph"/>
    <w:basedOn w:val="Normal"/>
    <w:uiPriority w:val="34"/>
    <w:qFormat/>
    <w:rsid w:val="002639de"/>
    <w:pPr>
      <w:spacing w:before="0" w:after="0"/>
      <w:ind w:left="720"/>
      <w:contextualSpacing/>
    </w:pPr>
    <w:rPr/>
  </w:style>
  <w:style w:type="paragraph" w:styleId="IntenseQuote">
    <w:name w:val="Intense Quote"/>
    <w:basedOn w:val="Normal"/>
    <w:next w:val="Normal"/>
    <w:link w:val="IskirtacitataDiagrama"/>
    <w:uiPriority w:val="30"/>
    <w:qFormat/>
    <w:rsid w:val="002639d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NoSpacing">
    <w:name w:val="No Spacing"/>
    <w:uiPriority w:val="1"/>
    <w:qFormat/>
    <w:rsid w:val="006959ea"/>
    <w:pPr>
      <w:widowControl/>
      <w:bidi w:val="0"/>
      <w:spacing w:before="0" w:after="0"/>
      <w:jc w:val="left"/>
    </w:pPr>
    <w:rPr>
      <w:rFonts w:ascii="Aptos" w:hAnsi="Aptos" w:cs="Calibri" w:eastAsia="Calibri" w:eastAsiaTheme="minorHAnsi"/>
      <w:color w:val="auto"/>
      <w:kern w:val="0"/>
      <w:sz w:val="24"/>
      <w:szCs w:val="24"/>
      <w:lang w:val="lt-LT" w:eastAsia="en-US" w:bidi="ar-SA"/>
      <w14:ligatures w14:val="standardContextual"/>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6959ea"/>
    <w:pPr>
      <w:tabs>
        <w:tab w:val="clear" w:pos="1296"/>
        <w:tab w:val="center" w:pos="4819" w:leader="none"/>
        <w:tab w:val="right" w:pos="9638" w:leader="none"/>
      </w:tabs>
    </w:pPr>
    <w:rPr/>
  </w:style>
  <w:style w:type="paragraph" w:styleId="Footer">
    <w:name w:val="Footer"/>
    <w:basedOn w:val="Normal"/>
    <w:link w:val="PoratDiagrama"/>
    <w:uiPriority w:val="99"/>
    <w:unhideWhenUsed/>
    <w:rsid w:val="006959ea"/>
    <w:pPr>
      <w:tabs>
        <w:tab w:val="clear" w:pos="1296"/>
        <w:tab w:val="center" w:pos="4819" w:leader="none"/>
        <w:tab w:val="right" w:pos="9638" w:leader="none"/>
      </w:tabs>
    </w:pPr>
    <w:rPr/>
  </w:style>
  <w:style w:type="paragraph" w:styleId="FootnoteText">
    <w:name w:val="Footnote Text"/>
    <w:basedOn w:val="Normal"/>
    <w:link w:val="PuslapioinaostekstasDiagrama"/>
    <w:rsid w:val="00e35c0b"/>
    <w:pPr>
      <w:suppressLineNumbers/>
      <w:suppressAutoHyphens w:val="true"/>
      <w:ind w:hanging="340" w:left="340"/>
    </w:pPr>
    <w:rPr>
      <w:sz w:val="20"/>
      <w:szCs w:val="20"/>
    </w:rPr>
  </w:style>
  <w:style w:type="paragraph" w:styleId="Annotationtext">
    <w:name w:val="annotation text"/>
    <w:basedOn w:val="Normal"/>
    <w:link w:val="KomentarotekstasDiagrama"/>
    <w:uiPriority w:val="99"/>
    <w:unhideWhenUsed/>
    <w:qFormat/>
    <w:rsid w:val="00b432f4"/>
    <w:pPr/>
    <w:rPr>
      <w:sz w:val="20"/>
      <w:szCs w:val="20"/>
    </w:rPr>
  </w:style>
  <w:style w:type="paragraph" w:styleId="Annotationsubject">
    <w:name w:val="annotation subject"/>
    <w:basedOn w:val="Annotationtext"/>
    <w:next w:val="Annotationtext"/>
    <w:link w:val="KomentarotemaDiagrama"/>
    <w:uiPriority w:val="99"/>
    <w:semiHidden/>
    <w:unhideWhenUsed/>
    <w:qFormat/>
    <w:rsid w:val="00b432f4"/>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TableGrid3">
    <w:name w:val="Table Grid3"/>
    <w:basedOn w:val="prastojilentel"/>
    <w:uiPriority w:val="39"/>
    <w:rsid w:val="002639de"/>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429</TotalTime>
  <Application>LibreOffice/7.6.4.1$Windows_X86_64 LibreOffice_project/e19e193f88cd6c0525a17fb7a176ed8e6a3e2aa1</Application>
  <AppVersion>15.0000</AppVersion>
  <Pages>2</Pages>
  <Words>394</Words>
  <Characters>2918</Characters>
  <CharactersWithSpaces>3287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2025-03-06T08:34:00Z</dcterms:created>
  <dc:creator>Rimantė Kasiulaitytė</dc:creator>
  <dc:description/>
  <dc:language>en-US</dc:language>
  <cp:lastModifiedBy/>
  <dcterms:modified xsi:type="dcterms:W3CDTF">2025-10-06T11:13:51Z</dcterms:modified>
  <cp:revision>106</cp:revision>
  <dc:subject/>
  <dc:title/>
</cp:coreProperties>
</file>

<file path=docProps/custom.xml><?xml version="1.0" encoding="utf-8"?>
<Properties xmlns="http://schemas.openxmlformats.org/officeDocument/2006/custom-properties" xmlns:vt="http://schemas.openxmlformats.org/officeDocument/2006/docPropsVTypes"/>
</file>