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36E34231" w14:textId="2EEF513C" w:rsidR="001D5D24" w:rsidRPr="001D5D24" w:rsidRDefault="001D5D24" w:rsidP="00A9381B">
      <w:pPr>
        <w:spacing w:line="259" w:lineRule="auto"/>
        <w:jc w:val="center"/>
        <w:rPr>
          <w:rFonts w:eastAsia="TimesNewRomanPS-BoldMT"/>
          <w:b/>
          <w:bCs/>
          <w:sz w:val="20"/>
          <w14:ligatures w14:val="standardContextual"/>
        </w:rPr>
      </w:pPr>
      <w:bookmarkStart w:id="5" w:name="_Hlk184978562"/>
      <w:r w:rsidRPr="001D5D24">
        <w:rPr>
          <w:rFonts w:eastAsia="TimesNewRomanPS-BoldMT"/>
          <w:b/>
          <w:bCs/>
          <w:sz w:val="20"/>
          <w14:ligatures w14:val="standardContextual"/>
        </w:rPr>
        <w:t>PERKATETERINIU BŪDU IMPLANTUOJAMAS AORTOS VOŽTUVAS SU ĮVEDIMO SISTEMA</w:t>
      </w:r>
    </w:p>
    <w:bookmarkEnd w:id="5"/>
    <w:p w14:paraId="17C41F51" w14:textId="01243AAC" w:rsidR="00A9381B" w:rsidRPr="00874B3C" w:rsidRDefault="001D5D24" w:rsidP="00A9381B">
      <w:pPr>
        <w:spacing w:line="259" w:lineRule="auto"/>
        <w:jc w:val="center"/>
        <w:rPr>
          <w:b/>
          <w:caps/>
          <w:sz w:val="20"/>
        </w:rPr>
      </w:pPr>
      <w:r w:rsidRPr="00874B3C">
        <w:rPr>
          <w:b/>
          <w:sz w:val="20"/>
        </w:rPr>
        <w:t>VIEŠOJO PIRKIMO-PARDAVIMO SUTARTI</w:t>
      </w:r>
      <w:r>
        <w:rPr>
          <w:b/>
          <w:sz w:val="20"/>
        </w:rPr>
        <w:t>E</w:t>
      </w:r>
      <w:r w:rsidRPr="00874B3C">
        <w:rPr>
          <w:b/>
          <w:sz w:val="20"/>
        </w:rPr>
        <w:t xml:space="preserve">S  </w:t>
      </w:r>
    </w:p>
    <w:p w14:paraId="59F214A8" w14:textId="1A1FDA20" w:rsidR="00A9381B" w:rsidRPr="00874B3C" w:rsidRDefault="001D5D24" w:rsidP="00A9381B">
      <w:pPr>
        <w:spacing w:line="259" w:lineRule="auto"/>
        <w:jc w:val="center"/>
        <w:rPr>
          <w:b/>
          <w:caps/>
          <w:sz w:val="20"/>
        </w:rPr>
      </w:pPr>
      <w:r w:rsidRPr="00874B3C">
        <w:rPr>
          <w:b/>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40F5E283" w:rsidR="00E04D88" w:rsidRPr="001D5D24" w:rsidRDefault="001D5D24" w:rsidP="00370518">
            <w:pPr>
              <w:jc w:val="center"/>
              <w:rPr>
                <w:b/>
                <w:kern w:val="2"/>
                <w:sz w:val="22"/>
                <w:szCs w:val="22"/>
              </w:rPr>
            </w:pPr>
            <w:proofErr w:type="spellStart"/>
            <w:r w:rsidRPr="001D5D24">
              <w:rPr>
                <w:rFonts w:eastAsia="TimesNewRomanPS-BoldMT"/>
                <w:b/>
                <w:bCs/>
                <w:sz w:val="22"/>
                <w:szCs w:val="22"/>
                <w14:ligatures w14:val="standardContextual"/>
              </w:rPr>
              <w:t>Perkateteriniu</w:t>
            </w:r>
            <w:proofErr w:type="spellEnd"/>
            <w:r w:rsidRPr="001D5D24">
              <w:rPr>
                <w:rFonts w:eastAsia="TimesNewRomanPS-BoldMT"/>
                <w:b/>
                <w:bCs/>
                <w:sz w:val="22"/>
                <w:szCs w:val="22"/>
                <w14:ligatures w14:val="standardContextual"/>
              </w:rPr>
              <w:t xml:space="preserve"> būdu implantuojamas aortos vožtuvas su įvedimo sistema</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1C533274" w14:textId="77777777" w:rsidR="00F81B5B" w:rsidRDefault="00F81B5B" w:rsidP="005A35E4">
            <w:pPr>
              <w:jc w:val="both"/>
              <w:rPr>
                <w:b/>
                <w:bCs/>
                <w:kern w:val="2"/>
                <w:sz w:val="22"/>
                <w:szCs w:val="2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6432EA86" w14:textId="77777777" w:rsidR="00BA0BCD" w:rsidRDefault="00BA0BCD" w:rsidP="00BA0BCD">
            <w:pPr>
              <w:autoSpaceDE w:val="0"/>
              <w:autoSpaceDN w:val="0"/>
              <w:adjustRightInd w:val="0"/>
              <w:jc w:val="both"/>
              <w:rPr>
                <w:rFonts w:eastAsia="TimesNewRomanPSMT"/>
                <w:sz w:val="22"/>
                <w:szCs w:val="22"/>
              </w:rPr>
            </w:pPr>
            <w:r w:rsidRPr="00BA0BCD">
              <w:rPr>
                <w:rFonts w:eastAsia="TimesNewRomanPSMT"/>
                <w:sz w:val="22"/>
                <w:szCs w:val="22"/>
                <w14:ligatures w14:val="standardContextual"/>
              </w:rPr>
              <w:t xml:space="preserve">Kardiologijos  klinika, vadybininkė administratorė Vaida </w:t>
            </w:r>
            <w:proofErr w:type="spellStart"/>
            <w:r w:rsidRPr="00BA0BCD">
              <w:rPr>
                <w:rFonts w:eastAsia="TimesNewRomanPSMT"/>
                <w:sz w:val="22"/>
                <w:szCs w:val="22"/>
                <w14:ligatures w14:val="standardContextual"/>
              </w:rPr>
              <w:t>Viliūtė</w:t>
            </w:r>
            <w:proofErr w:type="spellEnd"/>
            <w:r w:rsidRPr="00BA0BCD">
              <w:rPr>
                <w:rFonts w:eastAsia="TimesNewRomanPSMT"/>
                <w:sz w:val="22"/>
                <w:szCs w:val="22"/>
                <w14:ligatures w14:val="standardContextual"/>
              </w:rPr>
              <w:t xml:space="preserve"> </w:t>
            </w:r>
            <w:r w:rsidRPr="00BA0BCD">
              <w:rPr>
                <w:rFonts w:eastAsia="TimesNewRomanPSMT"/>
                <w:sz w:val="22"/>
                <w:szCs w:val="22"/>
              </w:rPr>
              <w:t>, tel. +370</w:t>
            </w:r>
            <w:r w:rsidRPr="00BA0BCD">
              <w:rPr>
                <w:rFonts w:eastAsia="TimesNewRomanPSMT"/>
                <w:sz w:val="22"/>
                <w:szCs w:val="22"/>
                <w14:ligatures w14:val="standardContextual"/>
              </w:rPr>
              <w:t xml:space="preserve"> 46 242 196</w:t>
            </w:r>
            <w:r w:rsidRPr="00BA0BCD">
              <w:rPr>
                <w:rFonts w:eastAsia="TimesNewRomanPSMT"/>
                <w:sz w:val="22"/>
                <w:szCs w:val="22"/>
              </w:rPr>
              <w:t xml:space="preserve"> , el. paštas </w:t>
            </w:r>
            <w:hyperlink r:id="rId5" w:history="1">
              <w:r w:rsidRPr="00BA0BCD">
                <w:rPr>
                  <w:rStyle w:val="Hipersaitas"/>
                  <w:rFonts w:eastAsia="TimesNewRomanPSMT"/>
                  <w:color w:val="auto"/>
                  <w:sz w:val="22"/>
                  <w:szCs w:val="22"/>
                </w:rPr>
                <w:t>vaida.viliute@kulig.lt</w:t>
              </w:r>
            </w:hyperlink>
            <w:r w:rsidRPr="00BA0BCD">
              <w:rPr>
                <w:rFonts w:eastAsia="TimesNewRomanPSMT"/>
                <w:sz w:val="22"/>
                <w:szCs w:val="22"/>
              </w:rPr>
              <w:t xml:space="preserve">; </w:t>
            </w:r>
          </w:p>
          <w:p w14:paraId="3B808530" w14:textId="77777777" w:rsidR="004460AC" w:rsidRDefault="004460AC" w:rsidP="00BA0BCD">
            <w:pPr>
              <w:autoSpaceDE w:val="0"/>
              <w:autoSpaceDN w:val="0"/>
              <w:adjustRightInd w:val="0"/>
              <w:jc w:val="both"/>
              <w:rPr>
                <w:sz w:val="22"/>
                <w:szCs w:val="22"/>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B1EBCB8" w:rsidR="005F3E80" w:rsidRPr="00645587" w:rsidRDefault="001D7227" w:rsidP="005F3E80">
            <w:pPr>
              <w:jc w:val="both"/>
              <w:rPr>
                <w:kern w:val="2"/>
                <w:sz w:val="22"/>
                <w:szCs w:val="22"/>
              </w:rPr>
            </w:pPr>
            <w:r w:rsidRPr="00645587">
              <w:rPr>
                <w:kern w:val="2"/>
                <w:sz w:val="22"/>
                <w:szCs w:val="22"/>
              </w:rPr>
              <w:t xml:space="preserve">Tiekėjas pagal atskirą užsakymą įsipareigoja pristatyti Prekes ne vėliau kaip per </w:t>
            </w:r>
            <w:r w:rsidR="00BA0BCD">
              <w:rPr>
                <w:kern w:val="2"/>
                <w:sz w:val="22"/>
                <w:szCs w:val="22"/>
              </w:rPr>
              <w:t>3</w:t>
            </w:r>
            <w:r w:rsidRPr="00645587">
              <w:rPr>
                <w:kern w:val="2"/>
                <w:sz w:val="22"/>
                <w:szCs w:val="22"/>
              </w:rPr>
              <w:t xml:space="preserve"> darbo dien</w:t>
            </w:r>
            <w:r w:rsidR="004F5F00">
              <w:rPr>
                <w:kern w:val="2"/>
                <w:sz w:val="22"/>
                <w:szCs w:val="22"/>
              </w:rPr>
              <w:t>as</w:t>
            </w:r>
            <w:r w:rsidRPr="00645587">
              <w:rPr>
                <w:kern w:val="2"/>
                <w:sz w:val="22"/>
                <w:szCs w:val="22"/>
              </w:rPr>
              <w:t xml:space="preserve"> nuo užsakymo pateikimo dienos šiuo adresu</w:t>
            </w:r>
            <w:r w:rsidR="005F3E80" w:rsidRPr="00645587">
              <w:rPr>
                <w:kern w:val="2"/>
                <w:sz w:val="22"/>
                <w:szCs w:val="22"/>
              </w:rPr>
              <w:t>: Liepojos g. 4</w:t>
            </w:r>
            <w:r w:rsidR="00BA0BCD">
              <w:rPr>
                <w:kern w:val="2"/>
                <w:sz w:val="22"/>
                <w:szCs w:val="22"/>
              </w:rPr>
              <w:t>5</w:t>
            </w:r>
            <w:r w:rsidR="005F3E80" w:rsidRPr="00645587">
              <w:rPr>
                <w:kern w:val="2"/>
                <w:sz w:val="22"/>
                <w:szCs w:val="22"/>
              </w:rPr>
              <w:t>, Klaipėda,</w:t>
            </w:r>
            <w:r w:rsidR="004D2AFF">
              <w:rPr>
                <w:kern w:val="2"/>
                <w:sz w:val="22"/>
                <w:szCs w:val="22"/>
              </w:rPr>
              <w:t xml:space="preserve"> </w:t>
            </w:r>
            <w:r w:rsidR="005F3E80" w:rsidRPr="00645587">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F81B5B"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576174D" w14:textId="3C96BD49" w:rsidR="00A22D81" w:rsidRPr="00A22D81" w:rsidRDefault="00A22D81" w:rsidP="00A22D81">
            <w:pPr>
              <w:rPr>
                <w:kern w:val="2"/>
                <w:sz w:val="22"/>
                <w:szCs w:val="22"/>
              </w:rPr>
            </w:pPr>
            <w:r w:rsidRPr="00A22D81">
              <w:rPr>
                <w:sz w:val="22"/>
                <w:szCs w:val="22"/>
              </w:rPr>
              <w:t>Garantiniai terminai nustatyti Bendrųjų sąlygų 7 skyriuje.</w:t>
            </w:r>
          </w:p>
          <w:p w14:paraId="7434BF21" w14:textId="42DD0E30" w:rsidR="00A22D81" w:rsidRPr="00A22D81" w:rsidRDefault="00A22D81" w:rsidP="00A22D81">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4C033F9" w:rsidR="00A22D81" w:rsidRPr="00B7507A" w:rsidRDefault="00A22D81" w:rsidP="00A22D81">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576E6D1"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E33B50">
              <w:rPr>
                <w:kern w:val="2"/>
                <w:sz w:val="22"/>
                <w:szCs w:val="22"/>
              </w:rPr>
              <w:t>24</w:t>
            </w:r>
            <w:r>
              <w:rPr>
                <w:kern w:val="2"/>
                <w:sz w:val="22"/>
                <w:szCs w:val="22"/>
              </w:rPr>
              <w:t xml:space="preserve"> (</w:t>
            </w:r>
            <w:r w:rsidR="00E33B50">
              <w:rPr>
                <w:kern w:val="2"/>
                <w:sz w:val="22"/>
                <w:szCs w:val="22"/>
              </w:rPr>
              <w:t>dvidešimt keturi</w:t>
            </w:r>
            <w:r>
              <w:rPr>
                <w:kern w:val="2"/>
                <w:sz w:val="22"/>
                <w:szCs w:val="22"/>
              </w:rPr>
              <w:t>) mėnesi</w:t>
            </w:r>
            <w:r w:rsidR="00E33B50">
              <w:rPr>
                <w:kern w:val="2"/>
                <w:sz w:val="22"/>
                <w:szCs w:val="22"/>
              </w:rPr>
              <w:t>ai</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10A5E"/>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707D7"/>
    <w:rsid w:val="006971AB"/>
    <w:rsid w:val="006A60C5"/>
    <w:rsid w:val="006B3D65"/>
    <w:rsid w:val="006F4C55"/>
    <w:rsid w:val="006F7E87"/>
    <w:rsid w:val="0070050B"/>
    <w:rsid w:val="00706B28"/>
    <w:rsid w:val="00714D48"/>
    <w:rsid w:val="00723109"/>
    <w:rsid w:val="00737E5A"/>
    <w:rsid w:val="00744809"/>
    <w:rsid w:val="00751609"/>
    <w:rsid w:val="0077739D"/>
    <w:rsid w:val="007B0354"/>
    <w:rsid w:val="007C0C59"/>
    <w:rsid w:val="007C7736"/>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B178D"/>
    <w:rsid w:val="009C3B1A"/>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B7F61"/>
    <w:rsid w:val="00CD6EFE"/>
    <w:rsid w:val="00D11FA4"/>
    <w:rsid w:val="00D124CF"/>
    <w:rsid w:val="00D149E0"/>
    <w:rsid w:val="00D17A6E"/>
    <w:rsid w:val="00D27B41"/>
    <w:rsid w:val="00D322E1"/>
    <w:rsid w:val="00D41A81"/>
    <w:rsid w:val="00D57809"/>
    <w:rsid w:val="00D94304"/>
    <w:rsid w:val="00DB0918"/>
    <w:rsid w:val="00DC0504"/>
    <w:rsid w:val="00DC5A34"/>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aida.viliu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64577</Words>
  <Characters>36810</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8</cp:revision>
  <dcterms:created xsi:type="dcterms:W3CDTF">2024-12-12T06:46:00Z</dcterms:created>
  <dcterms:modified xsi:type="dcterms:W3CDTF">2024-12-16T12:07:00Z</dcterms:modified>
</cp:coreProperties>
</file>