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E7851" w14:textId="77777777" w:rsidR="003174DF" w:rsidRDefault="003174DF" w:rsidP="003174DF">
      <w:pPr>
        <w:shd w:val="clear" w:color="auto" w:fill="FFFFFF"/>
        <w:spacing w:before="480" w:after="240" w:line="450" w:lineRule="atLeast"/>
        <w:rPr>
          <w:rFonts w:ascii="Segoe UI" w:hAnsi="Segoe UI" w:cs="Segoe UI"/>
          <w:b/>
          <w:bCs/>
          <w:color w:val="0F1115"/>
          <w:sz w:val="30"/>
          <w:szCs w:val="30"/>
          <w:lang w:eastAsia="lt-LT"/>
          <w14:ligatures w14:val="none"/>
        </w:rPr>
      </w:pPr>
      <w:r>
        <w:rPr>
          <w:rFonts w:ascii="Segoe UI" w:hAnsi="Segoe UI" w:cs="Segoe UI"/>
          <w:b/>
          <w:bCs/>
          <w:color w:val="0F1115"/>
          <w:sz w:val="30"/>
          <w:szCs w:val="30"/>
          <w:lang w:eastAsia="lt-LT"/>
          <w14:ligatures w14:val="none"/>
        </w:rPr>
        <w:t>Atsakymai į Rinkos Konsultacijos Klausimus</w:t>
      </w:r>
    </w:p>
    <w:p w14:paraId="60DAC046"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Klausimas 1: Kokios pastabos ir pasiūlymai dėl techninės specifikacijos projekto?</w:t>
      </w:r>
    </w:p>
    <w:p w14:paraId="430F1938"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Atsakymas:</w:t>
      </w:r>
    </w:p>
    <w:p w14:paraId="35474060"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color w:val="0F1115"/>
          <w:sz w:val="24"/>
          <w:szCs w:val="24"/>
          <w:lang w:eastAsia="lt-LT"/>
          <w14:ligatures w14:val="none"/>
        </w:rPr>
        <w:t>Remiantis ankstesne patirtimi ir siekiant užtikrinti sąžiningą bei atvirą konkurenciją, siūlome iš esmės peržiūrėti šiuos specifikacijos aspektus:</w:t>
      </w:r>
    </w:p>
    <w:p w14:paraId="097D8436" w14:textId="77777777" w:rsidR="003174DF" w:rsidRDefault="003174DF" w:rsidP="003174DF">
      <w:pPr>
        <w:numPr>
          <w:ilvl w:val="0"/>
          <w:numId w:val="1"/>
        </w:numPr>
        <w:shd w:val="clear" w:color="auto" w:fill="FFFFFF"/>
        <w:spacing w:after="120"/>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Pereiti nuo formos prie funkcijos:</w:t>
      </w:r>
      <w:r>
        <w:rPr>
          <w:rFonts w:ascii="Segoe UI" w:eastAsia="Times New Roman" w:hAnsi="Segoe UI" w:cs="Segoe UI"/>
          <w:color w:val="0F1115"/>
          <w:sz w:val="24"/>
          <w:szCs w:val="24"/>
          <w:lang w:eastAsia="lt-LT"/>
          <w14:ligatures w14:val="none"/>
        </w:rPr>
        <w:t> Techninėje specifikacijoje reikalavimai turi būti formuluojami kaip </w:t>
      </w:r>
      <w:r>
        <w:rPr>
          <w:rFonts w:ascii="Segoe UI" w:eastAsia="Times New Roman" w:hAnsi="Segoe UI" w:cs="Segoe UI"/>
          <w:b/>
          <w:bCs/>
          <w:color w:val="0F1115"/>
          <w:sz w:val="24"/>
          <w:szCs w:val="24"/>
          <w:lang w:eastAsia="lt-LT"/>
          <w14:ligatures w14:val="none"/>
        </w:rPr>
        <w:t>funkciniai ir rezultato kriterijai</w:t>
      </w:r>
      <w:r>
        <w:rPr>
          <w:rFonts w:ascii="Segoe UI" w:eastAsia="Times New Roman" w:hAnsi="Segoe UI" w:cs="Segoe UI"/>
          <w:color w:val="0F1115"/>
          <w:sz w:val="24"/>
          <w:szCs w:val="24"/>
          <w:lang w:eastAsia="lt-LT"/>
          <w14:ligatures w14:val="none"/>
        </w:rPr>
        <w:t>, o ne kaip griežtos fizinės ar cheminės savybės. Pvz.:</w:t>
      </w:r>
    </w:p>
    <w:p w14:paraId="2F45BD39"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Vietoj: "Privaloma kieta forma" arba "Privaloma skysta forma".</w:t>
      </w:r>
    </w:p>
    <w:p w14:paraId="2178F0A0"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Siūlome: "Priemonė turi užtikrinti efektyvų riebalų šalinimą, apsaugą nuo kalkių ir blizgų indų išvaizdą, naudojant automatines dozavimo sistemas. Tiekėjas privalo pagrįsti, kaip siūloma priemonė/priemonių sistema pasiekia šiuos rezultatus."</w:t>
      </w:r>
    </w:p>
    <w:p w14:paraId="37B3F774"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Pagrindimas:</w:t>
      </w:r>
      <w:r>
        <w:rPr>
          <w:rFonts w:ascii="Segoe UI" w:eastAsia="Times New Roman" w:hAnsi="Segoe UI" w:cs="Segoe UI"/>
          <w:color w:val="0F1115"/>
          <w:sz w:val="24"/>
          <w:szCs w:val="24"/>
          <w:lang w:eastAsia="lt-LT"/>
          <w14:ligatures w14:val="none"/>
        </w:rPr>
        <w:t> Tai atitinka VPĮ 37 str. 1 d. ir 6 str. (proporcingumo principą), pašalindama diskriminacinius ir pernelyg ribojančius reikalavimus, kurie, kaip jau buvo teigta pretenzijoje, neretai atitinka tik vieno gamintojo produktus.</w:t>
      </w:r>
    </w:p>
    <w:p w14:paraId="0E28E201" w14:textId="77777777" w:rsidR="003174DF" w:rsidRDefault="003174DF" w:rsidP="003174DF">
      <w:pPr>
        <w:numPr>
          <w:ilvl w:val="0"/>
          <w:numId w:val="1"/>
        </w:numPr>
        <w:shd w:val="clear" w:color="auto" w:fill="FFFFFF"/>
        <w:spacing w:after="120"/>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Pakuotės reikalavimai turi būti objektyvūs ir pagrįsti:</w:t>
      </w:r>
      <w:r>
        <w:rPr>
          <w:rFonts w:ascii="Segoe UI" w:eastAsia="Times New Roman" w:hAnsi="Segoe UI" w:cs="Segoe UI"/>
          <w:color w:val="0F1115"/>
          <w:sz w:val="24"/>
          <w:szCs w:val="24"/>
          <w:lang w:eastAsia="lt-LT"/>
          <w14:ligatures w14:val="none"/>
        </w:rPr>
        <w:t> Reikalavimas, kad pakuotė būtų būtent "maišelyje su kartonine dėžute" yra neteisingas. Pakuotė turi būti:</w:t>
      </w:r>
    </w:p>
    <w:p w14:paraId="5172F111"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Saugi transportavimui ir laikymui.</w:t>
      </w:r>
    </w:p>
    <w:p w14:paraId="4196F590"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Sudaryta iš perdirbamų medžiagų, kurias galima efektyviai surūšiuoti.</w:t>
      </w:r>
    </w:p>
    <w:p w14:paraId="57576DBA"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Tinkama naudojimui su esama dozavimo įranga (pvz., turi turėti standartinius prijungiamuosius elementus).</w:t>
      </w:r>
    </w:p>
    <w:p w14:paraId="50195F4C"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Pagrindimas:</w:t>
      </w:r>
      <w:r>
        <w:rPr>
          <w:rFonts w:ascii="Segoe UI" w:eastAsia="Times New Roman" w:hAnsi="Segoe UI" w:cs="Segoe UI"/>
          <w:color w:val="0F1115"/>
          <w:sz w:val="24"/>
          <w:szCs w:val="24"/>
          <w:lang w:eastAsia="lt-LT"/>
          <w14:ligatures w14:val="none"/>
        </w:rPr>
        <w:t xml:space="preserve"> Ankstesnis Komisijos atsakymas dėl pakuotės buvo klaidinantis ir nepilnai atspindėjo realią atliekų tvarkymo praktiką. Aplinkosaugos tikslams pasiekti </w:t>
      </w:r>
      <w:proofErr w:type="spellStart"/>
      <w:r>
        <w:rPr>
          <w:rFonts w:ascii="Segoe UI" w:eastAsia="Times New Roman" w:hAnsi="Segoe UI" w:cs="Segoe UI"/>
          <w:color w:val="0F1115"/>
          <w:sz w:val="24"/>
          <w:szCs w:val="24"/>
          <w:lang w:eastAsia="lt-LT"/>
          <w14:ligatures w14:val="none"/>
        </w:rPr>
        <w:t>tinkiau</w:t>
      </w:r>
      <w:proofErr w:type="spellEnd"/>
      <w:r>
        <w:rPr>
          <w:rFonts w:ascii="Segoe UI" w:eastAsia="Times New Roman" w:hAnsi="Segoe UI" w:cs="Segoe UI"/>
          <w:color w:val="0F1115"/>
          <w:sz w:val="24"/>
          <w:szCs w:val="24"/>
          <w:lang w:eastAsia="lt-LT"/>
          <w14:ligatures w14:val="none"/>
        </w:rPr>
        <w:t xml:space="preserve"> yra reikalauti, kad pakuotė būtų žymima atitinkamais </w:t>
      </w:r>
      <w:proofErr w:type="spellStart"/>
      <w:r>
        <w:rPr>
          <w:rFonts w:ascii="Segoe UI" w:eastAsia="Times New Roman" w:hAnsi="Segoe UI" w:cs="Segoe UI"/>
          <w:color w:val="0F1115"/>
          <w:sz w:val="24"/>
          <w:szCs w:val="24"/>
          <w:lang w:eastAsia="lt-LT"/>
          <w14:ligatures w14:val="none"/>
        </w:rPr>
        <w:t>perdirbamumo</w:t>
      </w:r>
      <w:proofErr w:type="spellEnd"/>
      <w:r>
        <w:rPr>
          <w:rFonts w:ascii="Segoe UI" w:eastAsia="Times New Roman" w:hAnsi="Segoe UI" w:cs="Segoe UI"/>
          <w:color w:val="0F1115"/>
          <w:sz w:val="24"/>
          <w:szCs w:val="24"/>
          <w:lang w:eastAsia="lt-LT"/>
          <w14:ligatures w14:val="none"/>
        </w:rPr>
        <w:t xml:space="preserve"> ženklais ir atitiktų ES pakuočių ir pakuočių atliekų direktyvos (94/62/EB) tikslus, o ne nurodyti konkrečią medžiagą.</w:t>
      </w:r>
    </w:p>
    <w:p w14:paraId="7869C192" w14:textId="77777777" w:rsidR="003174DF" w:rsidRDefault="003174DF" w:rsidP="003174DF">
      <w:pPr>
        <w:numPr>
          <w:ilvl w:val="0"/>
          <w:numId w:val="1"/>
        </w:numPr>
        <w:shd w:val="clear" w:color="auto" w:fill="FFFFFF"/>
        <w:spacing w:after="120"/>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Suvesti pirkimo objektą į vieną sistemą:</w:t>
      </w:r>
      <w:r>
        <w:rPr>
          <w:rFonts w:ascii="Segoe UI" w:eastAsia="Times New Roman" w:hAnsi="Segoe UI" w:cs="Segoe UI"/>
          <w:color w:val="0F1115"/>
          <w:sz w:val="24"/>
          <w:szCs w:val="24"/>
          <w:lang w:eastAsia="lt-LT"/>
          <w14:ligatures w14:val="none"/>
        </w:rPr>
        <w:t> Siūlome konsoliduoti pozicijas 1-2 (skysta sistema) ir 3-4 (kieta sistema) į </w:t>
      </w:r>
      <w:r>
        <w:rPr>
          <w:rFonts w:ascii="Segoe UI" w:eastAsia="Times New Roman" w:hAnsi="Segoe UI" w:cs="Segoe UI"/>
          <w:b/>
          <w:bCs/>
          <w:color w:val="0F1115"/>
          <w:sz w:val="24"/>
          <w:szCs w:val="24"/>
          <w:lang w:eastAsia="lt-LT"/>
          <w14:ligatures w14:val="none"/>
        </w:rPr>
        <w:t>vieningą pramoninio indų plovimo sistemą</w:t>
      </w:r>
      <w:r>
        <w:rPr>
          <w:rFonts w:ascii="Segoe UI" w:eastAsia="Times New Roman" w:hAnsi="Segoe UI" w:cs="Segoe UI"/>
          <w:color w:val="0F1115"/>
          <w:sz w:val="24"/>
          <w:szCs w:val="24"/>
          <w:lang w:eastAsia="lt-LT"/>
          <w14:ligatures w14:val="none"/>
        </w:rPr>
        <w:t>, kuri apimtų tiek pagrindinį plovimą, tiek skalavimą. Tai:</w:t>
      </w:r>
    </w:p>
    <w:p w14:paraId="0C33EB83"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Sumažintų logistinius kaštus ir sudėtingumą.</w:t>
      </w:r>
    </w:p>
    <w:p w14:paraId="3EDEC29A"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Supaprastintų sandėliavimą.</w:t>
      </w:r>
    </w:p>
    <w:p w14:paraId="02DC68C3"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Užtikrintų įrangos (dozatorių) suderinamumą ir supaprastintų techninę priežiūrą.</w:t>
      </w:r>
    </w:p>
    <w:p w14:paraId="5CABBA02" w14:textId="77777777" w:rsidR="003174DF" w:rsidRDefault="003174DF" w:rsidP="003174DF">
      <w:pPr>
        <w:numPr>
          <w:ilvl w:val="1"/>
          <w:numId w:val="1"/>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color w:val="0F1115"/>
          <w:sz w:val="24"/>
          <w:szCs w:val="24"/>
          <w:lang w:eastAsia="lt-LT"/>
          <w14:ligatures w14:val="none"/>
        </w:rPr>
        <w:t>Atitiktų VPĮ 6 str. proporcingumo principą, nes nebūtų keliami pertekliniai administraciniai ir logistiniai reikalavimai.</w:t>
      </w:r>
    </w:p>
    <w:p w14:paraId="676E4497" w14:textId="77777777" w:rsidR="00536779" w:rsidRDefault="00536779" w:rsidP="00536779">
      <w:pPr>
        <w:pStyle w:val="pf0"/>
        <w:rPr>
          <w:rStyle w:val="cf01"/>
          <w:rFonts w:eastAsiaTheme="majorEastAsia"/>
          <w:highlight w:val="yellow"/>
        </w:rPr>
      </w:pPr>
    </w:p>
    <w:p w14:paraId="1F49DC4A" w14:textId="61BB3BCB" w:rsidR="00536779" w:rsidRPr="0002154A" w:rsidRDefault="000C5787" w:rsidP="00536779">
      <w:pPr>
        <w:pStyle w:val="pf0"/>
        <w:rPr>
          <w:rStyle w:val="cf01"/>
          <w:rFonts w:eastAsiaTheme="majorEastAsia"/>
          <w:i/>
          <w:iCs/>
          <w:sz w:val="24"/>
          <w:szCs w:val="24"/>
          <w:highlight w:val="lightGray"/>
        </w:rPr>
      </w:pPr>
      <w:r w:rsidRPr="0002154A">
        <w:rPr>
          <w:rStyle w:val="cf01"/>
          <w:rFonts w:eastAsiaTheme="majorEastAsia"/>
          <w:i/>
          <w:iCs/>
          <w:sz w:val="24"/>
          <w:szCs w:val="24"/>
          <w:highlight w:val="lightGray"/>
        </w:rPr>
        <w:lastRenderedPageBreak/>
        <w:t>Į pastabas atsiž</w:t>
      </w:r>
      <w:bookmarkStart w:id="0" w:name="_GoBack"/>
      <w:bookmarkEnd w:id="0"/>
      <w:r w:rsidRPr="0002154A">
        <w:rPr>
          <w:rStyle w:val="cf01"/>
          <w:rFonts w:eastAsiaTheme="majorEastAsia"/>
          <w:i/>
          <w:iCs/>
          <w:sz w:val="24"/>
          <w:szCs w:val="24"/>
          <w:highlight w:val="lightGray"/>
        </w:rPr>
        <w:t>velgta</w:t>
      </w:r>
      <w:r w:rsidR="00536779" w:rsidRPr="0002154A">
        <w:rPr>
          <w:rStyle w:val="cf01"/>
          <w:rFonts w:eastAsiaTheme="majorEastAsia"/>
          <w:i/>
          <w:iCs/>
          <w:sz w:val="24"/>
          <w:szCs w:val="24"/>
          <w:highlight w:val="lightGray"/>
        </w:rPr>
        <w:t>, koreguota vertinimo tvarka ir TS.</w:t>
      </w:r>
    </w:p>
    <w:p w14:paraId="760A466D" w14:textId="49B4062F" w:rsidR="00536779" w:rsidRPr="0002154A" w:rsidRDefault="00536779" w:rsidP="00536779">
      <w:pPr>
        <w:pStyle w:val="pf0"/>
        <w:rPr>
          <w:rFonts w:ascii="Segoe UI" w:eastAsiaTheme="majorEastAsia" w:hAnsi="Segoe UI" w:cs="Segoe UI"/>
          <w:i/>
          <w:iCs/>
          <w:highlight w:val="lightGray"/>
        </w:rPr>
      </w:pPr>
      <w:r w:rsidRPr="0002154A">
        <w:rPr>
          <w:rFonts w:ascii="Segoe UI" w:eastAsiaTheme="majorEastAsia" w:hAnsi="Segoe UI" w:cs="Segoe UI"/>
          <w:i/>
          <w:iCs/>
          <w:highlight w:val="lightGray"/>
        </w:rPr>
        <w:t xml:space="preserve">Reikalavimas pakuotei nustatytas kaip ekonominio naudingumo kriterijus, atsižvelgiant į šios pakuotės </w:t>
      </w:r>
      <w:proofErr w:type="spellStart"/>
      <w:r w:rsidRPr="0002154A">
        <w:rPr>
          <w:rFonts w:ascii="Segoe UI" w:eastAsiaTheme="majorEastAsia" w:hAnsi="Segoe UI" w:cs="Segoe UI"/>
          <w:i/>
          <w:iCs/>
          <w:highlight w:val="lightGray"/>
        </w:rPr>
        <w:t>ergonomiškumo</w:t>
      </w:r>
      <w:proofErr w:type="spellEnd"/>
      <w:r w:rsidRPr="0002154A">
        <w:rPr>
          <w:rFonts w:ascii="Segoe UI" w:eastAsiaTheme="majorEastAsia" w:hAnsi="Segoe UI" w:cs="Segoe UI"/>
          <w:i/>
          <w:iCs/>
          <w:highlight w:val="lightGray"/>
        </w:rPr>
        <w:t>, sandėliavimo ir logistikos privalumus. Tiekėjams leidžiama siūlyti ir kitas pakuotes.</w:t>
      </w:r>
    </w:p>
    <w:p w14:paraId="2BB07769" w14:textId="01FF0F3A" w:rsidR="00536779" w:rsidRPr="0002154A" w:rsidRDefault="00981640" w:rsidP="00536779">
      <w:pPr>
        <w:pStyle w:val="pf0"/>
        <w:rPr>
          <w:rFonts w:ascii="Segoe UI" w:eastAsiaTheme="majorEastAsia" w:hAnsi="Segoe UI" w:cs="Segoe UI"/>
          <w:i/>
          <w:iCs/>
        </w:rPr>
      </w:pPr>
      <w:r w:rsidRPr="0002154A">
        <w:rPr>
          <w:rFonts w:ascii="Segoe UI" w:eastAsiaTheme="majorEastAsia" w:hAnsi="Segoe UI" w:cs="Segoe UI"/>
          <w:i/>
          <w:iCs/>
          <w:highlight w:val="lightGray"/>
        </w:rPr>
        <w:t>Pozicijų neapjungiame, nes realus poreikis reikalauja skirtingų parametrų priemonių. Tenkiname prašymą panaikinti specifikacijoje reikalavimą pateikti "skystą/kietą" priemones. Leidžiama teikti bet kokias priemones, kurios atitinka minimalius specifikacijos reikalavimus.</w:t>
      </w:r>
    </w:p>
    <w:p w14:paraId="152D717E" w14:textId="77777777" w:rsidR="00536779" w:rsidRPr="00536779" w:rsidRDefault="00536779" w:rsidP="00536779">
      <w:pPr>
        <w:pStyle w:val="pf0"/>
        <w:rPr>
          <w:rFonts w:ascii="Segoe UI" w:eastAsiaTheme="majorEastAsia" w:hAnsi="Segoe UI" w:cs="Segoe UI"/>
          <w:sz w:val="18"/>
          <w:szCs w:val="18"/>
        </w:rPr>
      </w:pPr>
    </w:p>
    <w:p w14:paraId="430BCF45"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Klausimas 2: Ar Perkančiosios organizacijos skelbiamoje techninėje specifikacijoje yra perteklinių reikalavimų, kurie nepadeda pasiekti techninėje specifikacijoje nustatyto rezultato ir brangina pasiūlymo kainą?</w:t>
      </w:r>
    </w:p>
    <w:p w14:paraId="371B742A"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Atsakymas: Taip, yra.</w:t>
      </w:r>
    </w:p>
    <w:p w14:paraId="334450E4" w14:textId="77777777" w:rsidR="003174DF" w:rsidRDefault="003174DF" w:rsidP="003174DF">
      <w:pPr>
        <w:numPr>
          <w:ilvl w:val="0"/>
          <w:numId w:val="2"/>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Reikalavimas dėl dviejų atskirų sistemų (skystos ir kietos):</w:t>
      </w:r>
      <w:r>
        <w:rPr>
          <w:rFonts w:ascii="Segoe UI" w:eastAsia="Times New Roman" w:hAnsi="Segoe UI" w:cs="Segoe UI"/>
          <w:color w:val="0F1115"/>
          <w:sz w:val="24"/>
          <w:szCs w:val="24"/>
          <w:lang w:eastAsia="lt-LT"/>
          <w14:ligatures w14:val="none"/>
        </w:rPr>
        <w:t> Tai yra pagrindinis perteklinių kaštų šaltinis. Jis verčia tiekėją tiekti ir aptarnauti dvi sistemas, gaminti/pirkti du dozatorių rinkinius, užimti dvigubai daugiau sandėlio vietos ir mokyti personalo dviem skirtingoms technologijoms. Tai tiesiogiai brangina galutinę pasiūlymo kainą, nepadedant geriau pasiekti pagrindinio tikslo – švarių ir dezinfekuotų indų.</w:t>
      </w:r>
    </w:p>
    <w:p w14:paraId="5EE0084D" w14:textId="77777777" w:rsidR="003174DF" w:rsidRDefault="003174DF" w:rsidP="003174DF">
      <w:pPr>
        <w:numPr>
          <w:ilvl w:val="0"/>
          <w:numId w:val="2"/>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Kiekybinis disbalansas tarp pozicijų 3 ir 4:</w:t>
      </w:r>
      <w:r>
        <w:rPr>
          <w:rFonts w:ascii="Segoe UI" w:eastAsia="Times New Roman" w:hAnsi="Segoe UI" w:cs="Segoe UI"/>
          <w:color w:val="0F1115"/>
          <w:sz w:val="24"/>
          <w:szCs w:val="24"/>
          <w:lang w:eastAsia="lt-LT"/>
          <w14:ligatures w14:val="none"/>
        </w:rPr>
        <w:t xml:space="preserve"> Nurodyti kiekiai (7713 kg kieto ploviklio ir 66 kg kieto </w:t>
      </w:r>
      <w:proofErr w:type="spellStart"/>
      <w:r>
        <w:rPr>
          <w:rFonts w:ascii="Segoe UI" w:eastAsia="Times New Roman" w:hAnsi="Segoe UI" w:cs="Segoe UI"/>
          <w:color w:val="0F1115"/>
          <w:sz w:val="24"/>
          <w:szCs w:val="24"/>
          <w:lang w:eastAsia="lt-LT"/>
          <w14:ligatures w14:val="none"/>
        </w:rPr>
        <w:t>skalaviklio</w:t>
      </w:r>
      <w:proofErr w:type="spellEnd"/>
      <w:r>
        <w:rPr>
          <w:rFonts w:ascii="Segoe UI" w:eastAsia="Times New Roman" w:hAnsi="Segoe UI" w:cs="Segoe UI"/>
          <w:color w:val="0F1115"/>
          <w:sz w:val="24"/>
          <w:szCs w:val="24"/>
          <w:lang w:eastAsia="lt-LT"/>
          <w14:ligatures w14:val="none"/>
        </w:rPr>
        <w:t xml:space="preserve">) yra </w:t>
      </w:r>
      <w:proofErr w:type="spellStart"/>
      <w:r>
        <w:rPr>
          <w:rFonts w:ascii="Segoe UI" w:eastAsia="Times New Roman" w:hAnsi="Segoe UI" w:cs="Segoe UI"/>
          <w:color w:val="0F1115"/>
          <w:sz w:val="24"/>
          <w:szCs w:val="24"/>
          <w:lang w:eastAsia="lt-LT"/>
          <w14:ligatures w14:val="none"/>
        </w:rPr>
        <w:t>akivaizdžiaiai</w:t>
      </w:r>
      <w:proofErr w:type="spellEnd"/>
      <w:r>
        <w:rPr>
          <w:rFonts w:ascii="Segoe UI" w:eastAsia="Times New Roman" w:hAnsi="Segoe UI" w:cs="Segoe UI"/>
          <w:color w:val="0F1115"/>
          <w:sz w:val="24"/>
          <w:szCs w:val="24"/>
          <w:lang w:eastAsia="lt-LT"/>
          <w14:ligatures w14:val="none"/>
        </w:rPr>
        <w:t xml:space="preserve"> </w:t>
      </w:r>
      <w:proofErr w:type="spellStart"/>
      <w:r>
        <w:rPr>
          <w:rFonts w:ascii="Segoe UI" w:eastAsia="Times New Roman" w:hAnsi="Segoe UI" w:cs="Segoe UI"/>
          <w:color w:val="0F1115"/>
          <w:sz w:val="24"/>
          <w:szCs w:val="24"/>
          <w:lang w:eastAsia="lt-LT"/>
          <w14:ligatures w14:val="none"/>
        </w:rPr>
        <w:t>disproporcingi</w:t>
      </w:r>
      <w:proofErr w:type="spellEnd"/>
      <w:r>
        <w:rPr>
          <w:rFonts w:ascii="Segoe UI" w:eastAsia="Times New Roman" w:hAnsi="Segoe UI" w:cs="Segoe UI"/>
          <w:color w:val="0F1115"/>
          <w:sz w:val="24"/>
          <w:szCs w:val="24"/>
          <w:lang w:eastAsia="lt-LT"/>
          <w14:ligatures w14:val="none"/>
        </w:rPr>
        <w:t>. Net ir atsižvelgus į skirtingus dozavimo kiekius, šis santykis (117:1) neturi techninio pagrindo. Tai rodo, kad specifikacija buvo rengta neatsižvelgiant į realius technologinius parametrus, o tai gali lemti perteklinį vienos medžiagos pirkimą ir per mažą kitos, vėlgi neigiamai veikiant kainą ir efektyvumą.</w:t>
      </w:r>
    </w:p>
    <w:p w14:paraId="53AB6B21" w14:textId="77777777" w:rsidR="003174DF" w:rsidRDefault="003174DF" w:rsidP="003174DF">
      <w:pPr>
        <w:numPr>
          <w:ilvl w:val="0"/>
          <w:numId w:val="2"/>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Per griežti fiziniai/cheminiai parametrai:</w:t>
      </w:r>
      <w:r>
        <w:rPr>
          <w:rFonts w:ascii="Segoe UI" w:eastAsia="Times New Roman" w:hAnsi="Segoe UI" w:cs="Segoe UI"/>
          <w:color w:val="0F1115"/>
          <w:sz w:val="24"/>
          <w:szCs w:val="24"/>
          <w:lang w:eastAsia="lt-LT"/>
          <w14:ligatures w14:val="none"/>
        </w:rPr>
        <w:t> Reikalavimai, pvz., "Tankis (20ºC): 1280 - 1320 kg/m³" arba "pH: 1,7-2,7" yra per siauri. Kiti vienodai kokybiški produktai gali turėti minimaliai skirtingus rodiklius, bet būti nepriimtini pagal specifikaciją. Tai apsunkina tiekėjams siūlyti optimalias kainas ir inovatyvius produktus.</w:t>
      </w:r>
    </w:p>
    <w:p w14:paraId="3E7551CF" w14:textId="77777777" w:rsidR="002C4995" w:rsidRDefault="002C4995" w:rsidP="002C4995">
      <w:pPr>
        <w:shd w:val="clear" w:color="auto" w:fill="FFFFFF"/>
        <w:rPr>
          <w:rFonts w:ascii="Segoe UI" w:eastAsia="Times New Roman" w:hAnsi="Segoe UI" w:cs="Segoe UI"/>
          <w:color w:val="0F1115"/>
          <w:sz w:val="24"/>
          <w:szCs w:val="24"/>
          <w:lang w:eastAsia="lt-LT"/>
          <w14:ligatures w14:val="none"/>
        </w:rPr>
      </w:pPr>
    </w:p>
    <w:p w14:paraId="7D3D03F2" w14:textId="77777777" w:rsidR="002C4995" w:rsidRPr="0002154A" w:rsidRDefault="002C4995" w:rsidP="002C4995">
      <w:pPr>
        <w:shd w:val="clear" w:color="auto" w:fill="FFFFFF"/>
        <w:rPr>
          <w:rFonts w:ascii="Segoe UI" w:eastAsiaTheme="majorEastAsia" w:hAnsi="Segoe UI" w:cs="Segoe UI"/>
          <w:i/>
          <w:iCs/>
          <w:sz w:val="24"/>
          <w:szCs w:val="24"/>
          <w:highlight w:val="lightGray"/>
        </w:rPr>
      </w:pPr>
      <w:r w:rsidRPr="0002154A">
        <w:rPr>
          <w:rFonts w:ascii="Segoe UI" w:eastAsiaTheme="majorEastAsia" w:hAnsi="Segoe UI" w:cs="Segoe UI"/>
          <w:i/>
          <w:iCs/>
          <w:sz w:val="24"/>
          <w:szCs w:val="24"/>
          <w:highlight w:val="lightGray"/>
        </w:rPr>
        <w:t>Tenkiname pastabą dėl pirkimo objekto neišskaidymo į skystas ir kietas priemones.</w:t>
      </w:r>
    </w:p>
    <w:p w14:paraId="6A8C0FDD" w14:textId="77777777" w:rsidR="002C4995" w:rsidRPr="0002154A" w:rsidRDefault="002C4995" w:rsidP="002C4995">
      <w:pPr>
        <w:shd w:val="clear" w:color="auto" w:fill="FFFFFF"/>
        <w:rPr>
          <w:rFonts w:ascii="Segoe UI" w:eastAsiaTheme="majorEastAsia" w:hAnsi="Segoe UI" w:cs="Segoe UI"/>
          <w:i/>
          <w:iCs/>
          <w:sz w:val="24"/>
          <w:szCs w:val="24"/>
          <w:highlight w:val="lightGray"/>
        </w:rPr>
      </w:pPr>
    </w:p>
    <w:p w14:paraId="2B62C93D" w14:textId="13BE15D1" w:rsidR="002C4995" w:rsidRPr="0002154A" w:rsidRDefault="002C4995" w:rsidP="002C4995">
      <w:pPr>
        <w:shd w:val="clear" w:color="auto" w:fill="FFFFFF"/>
        <w:rPr>
          <w:rFonts w:ascii="Segoe UI" w:eastAsia="Times New Roman" w:hAnsi="Segoe UI" w:cs="Segoe UI"/>
          <w:i/>
          <w:iCs/>
          <w:color w:val="0F1115"/>
          <w:sz w:val="24"/>
          <w:szCs w:val="24"/>
          <w:lang w:eastAsia="lt-LT"/>
          <w14:ligatures w14:val="none"/>
        </w:rPr>
      </w:pPr>
      <w:r w:rsidRPr="0002154A">
        <w:rPr>
          <w:rFonts w:ascii="Segoe UI" w:eastAsia="Times New Roman" w:hAnsi="Segoe UI" w:cs="Segoe UI"/>
          <w:i/>
          <w:iCs/>
          <w:color w:val="0F1115"/>
          <w:sz w:val="24"/>
          <w:szCs w:val="24"/>
          <w:highlight w:val="lightGray"/>
          <w:lang w:eastAsia="lt-LT"/>
          <w14:ligatures w14:val="none"/>
        </w:rPr>
        <w:t xml:space="preserve">Nustatyti pH ir tankio intervalai yra pakankami ir proporcingi, nes jie susieti su realiu poreikiu (suderinamumas su esama įranga ir </w:t>
      </w:r>
      <w:proofErr w:type="spellStart"/>
      <w:r w:rsidRPr="0002154A">
        <w:rPr>
          <w:rFonts w:ascii="Segoe UI" w:eastAsia="Times New Roman" w:hAnsi="Segoe UI" w:cs="Segoe UI"/>
          <w:i/>
          <w:iCs/>
          <w:color w:val="0F1115"/>
          <w:sz w:val="24"/>
          <w:szCs w:val="24"/>
          <w:highlight w:val="lightGray"/>
          <w:lang w:eastAsia="lt-LT"/>
          <w14:ligatures w14:val="none"/>
        </w:rPr>
        <w:t>validuotais</w:t>
      </w:r>
      <w:proofErr w:type="spellEnd"/>
      <w:r w:rsidRPr="0002154A">
        <w:rPr>
          <w:rFonts w:ascii="Segoe UI" w:eastAsia="Times New Roman" w:hAnsi="Segoe UI" w:cs="Segoe UI"/>
          <w:i/>
          <w:iCs/>
          <w:color w:val="0F1115"/>
          <w:sz w:val="24"/>
          <w:szCs w:val="24"/>
          <w:highlight w:val="lightGray"/>
          <w:lang w:eastAsia="lt-LT"/>
          <w14:ligatures w14:val="none"/>
        </w:rPr>
        <w:t xml:space="preserve"> procesais), yra objektyviai patikrinami (VPĮ 37 str.) ir neapriboja konkurencijos daugiau, nei būtina. Reikalaujame ne konkretaus ženklo ar formulės, o rezultatų, kuriuos tiekėjai gali pagrįsti bandymų protokolais ar lygiaverčiais įrodymais. Inovacijoms ir kainų optimizavimui erdvė numatyta kainos ir kokybės santykio kriterijuose (VPĮ 55 str.).</w:t>
      </w:r>
    </w:p>
    <w:p w14:paraId="3BEEB199" w14:textId="77777777" w:rsidR="002C4995" w:rsidRDefault="002C4995" w:rsidP="002C4995">
      <w:pPr>
        <w:shd w:val="clear" w:color="auto" w:fill="FFFFFF"/>
        <w:rPr>
          <w:rFonts w:ascii="Segoe UI" w:eastAsia="Times New Roman" w:hAnsi="Segoe UI" w:cs="Segoe UI"/>
          <w:color w:val="0F1115"/>
          <w:sz w:val="24"/>
          <w:szCs w:val="24"/>
          <w:lang w:eastAsia="lt-LT"/>
          <w14:ligatures w14:val="none"/>
        </w:rPr>
      </w:pPr>
    </w:p>
    <w:p w14:paraId="7239C62C"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lastRenderedPageBreak/>
        <w:t>Klausimas 3: Kokia preliminari numatomų įsigyti prekių kaina Eur be PVM?</w:t>
      </w:r>
    </w:p>
    <w:p w14:paraId="2D74897C"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Atsakymas:</w:t>
      </w:r>
    </w:p>
    <w:p w14:paraId="6ACB2B7E"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color w:val="0F1115"/>
          <w:sz w:val="24"/>
          <w:szCs w:val="24"/>
          <w:lang w:eastAsia="lt-LT"/>
          <w14:ligatures w14:val="none"/>
        </w:rPr>
        <w:t>Preliminari kaina labai priklauso nuo galutinių specifikacijos reikalavimų. Esant dabartinei specifikacijai, su dviem atskiromis sistemomis ir pertekliniais reikalavimais, kaina bus žymiai didesnė.</w:t>
      </w:r>
    </w:p>
    <w:p w14:paraId="0F506BA0"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Siūlome Perkančiajai organizacijai pateikti savo preliminarius skaičiavimus pagal planuojamus kiekius (pvz., pagal lentelę Nr.1), tačiau atskirai kiekvienai pozicijai, o ne vienodą visoms.</w:t>
      </w:r>
      <w:r>
        <w:rPr>
          <w:rFonts w:ascii="Segoe UI" w:hAnsi="Segoe UI" w:cs="Segoe UI"/>
          <w:color w:val="0F1115"/>
          <w:sz w:val="24"/>
          <w:szCs w:val="24"/>
          <w:lang w:eastAsia="lt-LT"/>
          <w14:ligatures w14:val="none"/>
        </w:rPr>
        <w:t> Tai padėtų rinkos dalyviams suprasti Perkančiosios organizacijos lūkesčius ir siūlyti konkurencingas kainas.</w:t>
      </w:r>
    </w:p>
    <w:p w14:paraId="04DBFB6C" w14:textId="74846ED9" w:rsidR="00EF6B50" w:rsidRPr="0002154A" w:rsidRDefault="00EF6B50" w:rsidP="003174DF">
      <w:pPr>
        <w:shd w:val="clear" w:color="auto" w:fill="FFFFFF"/>
        <w:spacing w:before="240" w:after="240"/>
        <w:rPr>
          <w:rFonts w:ascii="Segoe UI" w:hAnsi="Segoe UI" w:cs="Segoe UI"/>
          <w:i/>
          <w:iCs/>
          <w:color w:val="0F1115"/>
          <w:sz w:val="24"/>
          <w:szCs w:val="24"/>
          <w:lang w:eastAsia="lt-LT"/>
          <w14:ligatures w14:val="none"/>
        </w:rPr>
      </w:pPr>
      <w:r w:rsidRPr="0002154A">
        <w:rPr>
          <w:rFonts w:ascii="Segoe UI" w:hAnsi="Segoe UI" w:cs="Segoe UI"/>
          <w:i/>
          <w:iCs/>
          <w:color w:val="0F1115"/>
          <w:sz w:val="24"/>
          <w:szCs w:val="24"/>
          <w:highlight w:val="lightGray"/>
          <w:lang w:eastAsia="lt-LT"/>
          <w14:ligatures w14:val="none"/>
        </w:rPr>
        <w:t>Rinkos konsultacijoje perkančioji organizacija neprivalo teikti savo kainodaros skaičiavimų</w:t>
      </w:r>
      <w:r w:rsidR="000D4603" w:rsidRPr="0002154A">
        <w:rPr>
          <w:rFonts w:ascii="Segoe UI" w:hAnsi="Segoe UI" w:cs="Segoe UI"/>
          <w:i/>
          <w:iCs/>
          <w:color w:val="0F1115"/>
          <w:sz w:val="24"/>
          <w:szCs w:val="24"/>
          <w:highlight w:val="lightGray"/>
          <w:lang w:eastAsia="lt-LT"/>
          <w14:ligatures w14:val="none"/>
        </w:rPr>
        <w:t>.</w:t>
      </w:r>
      <w:r w:rsidRPr="0002154A">
        <w:rPr>
          <w:rFonts w:ascii="Segoe UI" w:hAnsi="Segoe UI" w:cs="Segoe UI"/>
          <w:i/>
          <w:iCs/>
          <w:color w:val="0F1115"/>
          <w:sz w:val="24"/>
          <w:szCs w:val="24"/>
          <w:highlight w:val="lightGray"/>
          <w:lang w:eastAsia="lt-LT"/>
          <w14:ligatures w14:val="none"/>
        </w:rPr>
        <w:t xml:space="preserve"> </w:t>
      </w:r>
      <w:r w:rsidR="000D4603" w:rsidRPr="0002154A">
        <w:rPr>
          <w:rFonts w:ascii="Segoe UI" w:hAnsi="Segoe UI" w:cs="Segoe UI"/>
          <w:i/>
          <w:iCs/>
          <w:color w:val="0F1115"/>
          <w:sz w:val="24"/>
          <w:szCs w:val="24"/>
          <w:highlight w:val="lightGray"/>
          <w:lang w:eastAsia="lt-LT"/>
          <w14:ligatures w14:val="none"/>
        </w:rPr>
        <w:t xml:space="preserve"> P</w:t>
      </w:r>
      <w:r w:rsidRPr="0002154A">
        <w:rPr>
          <w:rFonts w:ascii="Segoe UI" w:hAnsi="Segoe UI" w:cs="Segoe UI"/>
          <w:i/>
          <w:iCs/>
          <w:color w:val="0F1115"/>
          <w:sz w:val="24"/>
          <w:szCs w:val="24"/>
          <w:highlight w:val="lightGray"/>
          <w:lang w:eastAsia="lt-LT"/>
          <w14:ligatures w14:val="none"/>
        </w:rPr>
        <w:t>rašome, jei įmanoma, pateikti indikacines kainas pagal pozicijas</w:t>
      </w:r>
      <w:r w:rsidR="000D4603" w:rsidRPr="0002154A">
        <w:rPr>
          <w:rFonts w:ascii="Segoe UI" w:hAnsi="Segoe UI" w:cs="Segoe UI"/>
          <w:i/>
          <w:iCs/>
          <w:color w:val="0F1115"/>
          <w:sz w:val="24"/>
          <w:szCs w:val="24"/>
          <w:highlight w:val="lightGray"/>
          <w:lang w:eastAsia="lt-LT"/>
          <w14:ligatures w14:val="none"/>
        </w:rPr>
        <w:t>, kad galėtume įvertinti ar turimas biudžetas patenkins poreikį</w:t>
      </w:r>
      <w:r w:rsidRPr="0002154A">
        <w:rPr>
          <w:rFonts w:ascii="Segoe UI" w:hAnsi="Segoe UI" w:cs="Segoe UI"/>
          <w:i/>
          <w:iCs/>
          <w:color w:val="0F1115"/>
          <w:sz w:val="24"/>
          <w:szCs w:val="24"/>
          <w:highlight w:val="lightGray"/>
          <w:lang w:eastAsia="lt-LT"/>
          <w14:ligatures w14:val="none"/>
        </w:rPr>
        <w:t>.</w:t>
      </w:r>
      <w:r w:rsidR="000D4603" w:rsidRPr="0002154A">
        <w:rPr>
          <w:rFonts w:ascii="Segoe UI" w:hAnsi="Segoe UI" w:cs="Segoe UI"/>
          <w:i/>
          <w:iCs/>
          <w:color w:val="0F1115"/>
          <w:sz w:val="24"/>
          <w:szCs w:val="24"/>
          <w:lang w:eastAsia="lt-LT"/>
          <w14:ligatures w14:val="none"/>
        </w:rPr>
        <w:t xml:space="preserve"> </w:t>
      </w:r>
    </w:p>
    <w:p w14:paraId="3B956C29" w14:textId="77777777" w:rsidR="00EF6B50" w:rsidRDefault="00EF6B50" w:rsidP="003174DF">
      <w:pPr>
        <w:shd w:val="clear" w:color="auto" w:fill="FFFFFF"/>
        <w:spacing w:before="240" w:after="240"/>
        <w:rPr>
          <w:rFonts w:ascii="Segoe UI" w:hAnsi="Segoe UI" w:cs="Segoe UI"/>
          <w:color w:val="0F1115"/>
          <w:sz w:val="24"/>
          <w:szCs w:val="24"/>
          <w:lang w:eastAsia="lt-LT"/>
          <w14:ligatures w14:val="none"/>
        </w:rPr>
      </w:pPr>
    </w:p>
    <w:p w14:paraId="1B3D8D81"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Klausimas 4: Ar turite kitų pastebėjimų ar pasiūlymų? (jei turite, prašome pateikti)</w:t>
      </w:r>
    </w:p>
    <w:p w14:paraId="236A4011" w14:textId="77777777" w:rsidR="003174DF" w:rsidRDefault="003174DF" w:rsidP="003174DF">
      <w:pPr>
        <w:shd w:val="clear" w:color="auto" w:fill="FFFFFF"/>
        <w:spacing w:before="240" w:after="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Atsakymas: Taip.</w:t>
      </w:r>
    </w:p>
    <w:p w14:paraId="3E289A7A" w14:textId="77777777" w:rsidR="003174DF" w:rsidRDefault="003174DF" w:rsidP="003174DF">
      <w:pPr>
        <w:numPr>
          <w:ilvl w:val="0"/>
          <w:numId w:val="3"/>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Ekologiniai reikalavimai:</w:t>
      </w:r>
      <w:r>
        <w:rPr>
          <w:rFonts w:ascii="Segoe UI" w:eastAsia="Times New Roman" w:hAnsi="Segoe UI" w:cs="Segoe UI"/>
          <w:color w:val="0F1115"/>
          <w:sz w:val="24"/>
          <w:szCs w:val="24"/>
          <w:lang w:eastAsia="lt-LT"/>
          <w14:ligatures w14:val="none"/>
        </w:rPr>
        <w:t> Reikalavimas turėti I tipo ekologinį ženklą yra teigiamas, tačiau jis turi būti taikomas </w:t>
      </w:r>
      <w:r>
        <w:rPr>
          <w:rFonts w:ascii="Segoe UI" w:eastAsia="Times New Roman" w:hAnsi="Segoe UI" w:cs="Segoe UI"/>
          <w:b/>
          <w:bCs/>
          <w:color w:val="0F1115"/>
          <w:sz w:val="24"/>
          <w:szCs w:val="24"/>
          <w:lang w:eastAsia="lt-LT"/>
          <w14:ligatures w14:val="none"/>
        </w:rPr>
        <w:t>nuosekliai</w:t>
      </w:r>
      <w:r>
        <w:rPr>
          <w:rFonts w:ascii="Segoe UI" w:eastAsia="Times New Roman" w:hAnsi="Segoe UI" w:cs="Segoe UI"/>
          <w:color w:val="0F1115"/>
          <w:sz w:val="24"/>
          <w:szCs w:val="24"/>
          <w:lang w:eastAsia="lt-LT"/>
          <w14:ligatures w14:val="none"/>
        </w:rPr>
        <w:t xml:space="preserve">. Jei jis taikomas plovimo priemonėms (1-4 </w:t>
      </w:r>
      <w:proofErr w:type="spellStart"/>
      <w:r>
        <w:rPr>
          <w:rFonts w:ascii="Segoe UI" w:eastAsia="Times New Roman" w:hAnsi="Segoe UI" w:cs="Segoe UI"/>
          <w:color w:val="0F1115"/>
          <w:sz w:val="24"/>
          <w:szCs w:val="24"/>
          <w:lang w:eastAsia="lt-LT"/>
          <w14:ligatures w14:val="none"/>
        </w:rPr>
        <w:t>poz</w:t>
      </w:r>
      <w:proofErr w:type="spellEnd"/>
      <w:r>
        <w:rPr>
          <w:rFonts w:ascii="Segoe UI" w:eastAsia="Times New Roman" w:hAnsi="Segoe UI" w:cs="Segoe UI"/>
          <w:color w:val="0F1115"/>
          <w:sz w:val="24"/>
          <w:szCs w:val="24"/>
          <w:lang w:eastAsia="lt-LT"/>
          <w14:ligatures w14:val="none"/>
        </w:rPr>
        <w:t xml:space="preserve">.), jis turėtų būti taikomas ir nukalkinimo (6 </w:t>
      </w:r>
      <w:proofErr w:type="spellStart"/>
      <w:r>
        <w:rPr>
          <w:rFonts w:ascii="Segoe UI" w:eastAsia="Times New Roman" w:hAnsi="Segoe UI" w:cs="Segoe UI"/>
          <w:color w:val="0F1115"/>
          <w:sz w:val="24"/>
          <w:szCs w:val="24"/>
          <w:lang w:eastAsia="lt-LT"/>
          <w14:ligatures w14:val="none"/>
        </w:rPr>
        <w:t>poz</w:t>
      </w:r>
      <w:proofErr w:type="spellEnd"/>
      <w:r>
        <w:rPr>
          <w:rFonts w:ascii="Segoe UI" w:eastAsia="Times New Roman" w:hAnsi="Segoe UI" w:cs="Segoe UI"/>
          <w:color w:val="0F1115"/>
          <w:sz w:val="24"/>
          <w:szCs w:val="24"/>
          <w:lang w:eastAsia="lt-LT"/>
          <w14:ligatures w14:val="none"/>
        </w:rPr>
        <w:t xml:space="preserve">.) bei mirkymo (7 </w:t>
      </w:r>
      <w:proofErr w:type="spellStart"/>
      <w:r>
        <w:rPr>
          <w:rFonts w:ascii="Segoe UI" w:eastAsia="Times New Roman" w:hAnsi="Segoe UI" w:cs="Segoe UI"/>
          <w:color w:val="0F1115"/>
          <w:sz w:val="24"/>
          <w:szCs w:val="24"/>
          <w:lang w:eastAsia="lt-LT"/>
          <w14:ligatures w14:val="none"/>
        </w:rPr>
        <w:t>poz</w:t>
      </w:r>
      <w:proofErr w:type="spellEnd"/>
      <w:r>
        <w:rPr>
          <w:rFonts w:ascii="Segoe UI" w:eastAsia="Times New Roman" w:hAnsi="Segoe UI" w:cs="Segoe UI"/>
          <w:color w:val="0F1115"/>
          <w:sz w:val="24"/>
          <w:szCs w:val="24"/>
          <w:lang w:eastAsia="lt-LT"/>
          <w14:ligatures w14:val="none"/>
        </w:rPr>
        <w:t>.) priemonėms, jei rinkoje yra atitinkami sertifikuoti produktai. Priešingu atveju, tai pažeidžia VPĮ 30 str. nustatytą vienodo požiūrio principą.</w:t>
      </w:r>
    </w:p>
    <w:p w14:paraId="36BB0D0B" w14:textId="77777777" w:rsidR="003174DF" w:rsidRDefault="003174DF" w:rsidP="003174DF">
      <w:pPr>
        <w:numPr>
          <w:ilvl w:val="0"/>
          <w:numId w:val="3"/>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Kainų ribos:</w:t>
      </w:r>
      <w:r>
        <w:rPr>
          <w:rFonts w:ascii="Segoe UI" w:eastAsia="Times New Roman" w:hAnsi="Segoe UI" w:cs="Segoe UI"/>
          <w:color w:val="0F1115"/>
          <w:sz w:val="24"/>
          <w:szCs w:val="24"/>
          <w:lang w:eastAsia="lt-LT"/>
          <w14:ligatures w14:val="none"/>
        </w:rPr>
        <w:t> Būtina nustatyti </w:t>
      </w:r>
      <w:r>
        <w:rPr>
          <w:rFonts w:ascii="Segoe UI" w:eastAsia="Times New Roman" w:hAnsi="Segoe UI" w:cs="Segoe UI"/>
          <w:b/>
          <w:bCs/>
          <w:color w:val="0F1115"/>
          <w:sz w:val="24"/>
          <w:szCs w:val="24"/>
          <w:lang w:eastAsia="lt-LT"/>
          <w14:ligatures w14:val="none"/>
        </w:rPr>
        <w:t>skirtingas ir pagrįstas</w:t>
      </w:r>
      <w:r>
        <w:rPr>
          <w:rFonts w:ascii="Segoe UI" w:eastAsia="Times New Roman" w:hAnsi="Segoe UI" w:cs="Segoe UI"/>
          <w:color w:val="0F1115"/>
          <w:sz w:val="24"/>
          <w:szCs w:val="24"/>
          <w:lang w:eastAsia="lt-LT"/>
          <w14:ligatures w14:val="none"/>
        </w:rPr>
        <w:t> didžiausias ir mažiausias kainų ribas (</w:t>
      </w:r>
      <w:proofErr w:type="spellStart"/>
      <w:r>
        <w:rPr>
          <w:rFonts w:ascii="Segoe UI" w:eastAsia="Times New Roman" w:hAnsi="Segoe UI" w:cs="Segoe UI"/>
          <w:color w:val="0F1115"/>
          <w:sz w:val="24"/>
          <w:szCs w:val="24"/>
          <w:lang w:eastAsia="lt-LT"/>
          <w14:ligatures w14:val="none"/>
        </w:rPr>
        <w:t>Cmax</w:t>
      </w:r>
      <w:proofErr w:type="spellEnd"/>
      <w:r>
        <w:rPr>
          <w:rFonts w:ascii="Segoe UI" w:eastAsia="Times New Roman" w:hAnsi="Segoe UI" w:cs="Segoe UI"/>
          <w:color w:val="0F1115"/>
          <w:sz w:val="24"/>
          <w:szCs w:val="24"/>
          <w:lang w:eastAsia="lt-LT"/>
          <w14:ligatures w14:val="none"/>
        </w:rPr>
        <w:t xml:space="preserve"> ir </w:t>
      </w:r>
      <w:proofErr w:type="spellStart"/>
      <w:r>
        <w:rPr>
          <w:rFonts w:ascii="Segoe UI" w:eastAsia="Times New Roman" w:hAnsi="Segoe UI" w:cs="Segoe UI"/>
          <w:color w:val="0F1115"/>
          <w:sz w:val="24"/>
          <w:szCs w:val="24"/>
          <w:lang w:eastAsia="lt-LT"/>
          <w14:ligatures w14:val="none"/>
        </w:rPr>
        <w:t>Cmin</w:t>
      </w:r>
      <w:proofErr w:type="spellEnd"/>
      <w:r>
        <w:rPr>
          <w:rFonts w:ascii="Segoe UI" w:eastAsia="Times New Roman" w:hAnsi="Segoe UI" w:cs="Segoe UI"/>
          <w:color w:val="0F1115"/>
          <w:sz w:val="24"/>
          <w:szCs w:val="24"/>
          <w:lang w:eastAsia="lt-LT"/>
          <w14:ligatures w14:val="none"/>
        </w:rPr>
        <w:t>) kiekvienai pozicijai atskirai. Dabartinis variantas su vienodomis ribomis visoms pozicijoms yra neteisingas, iškraipo vertinimą ir gali būti pagrindas teisiniams iššūkiams.</w:t>
      </w:r>
    </w:p>
    <w:p w14:paraId="40F026DA" w14:textId="77777777" w:rsidR="003174DF" w:rsidRDefault="003174DF" w:rsidP="003174DF">
      <w:pPr>
        <w:numPr>
          <w:ilvl w:val="0"/>
          <w:numId w:val="3"/>
        </w:numPr>
        <w:shd w:val="clear" w:color="auto" w:fill="FFFFFF"/>
        <w:rPr>
          <w:rFonts w:ascii="Segoe UI" w:eastAsia="Times New Roman" w:hAnsi="Segoe UI" w:cs="Segoe UI"/>
          <w:color w:val="0F1115"/>
          <w:sz w:val="24"/>
          <w:szCs w:val="24"/>
          <w:lang w:eastAsia="lt-LT"/>
          <w14:ligatures w14:val="none"/>
        </w:rPr>
      </w:pPr>
      <w:r>
        <w:rPr>
          <w:rFonts w:ascii="Segoe UI" w:eastAsia="Times New Roman" w:hAnsi="Segoe UI" w:cs="Segoe UI"/>
          <w:b/>
          <w:bCs/>
          <w:color w:val="0F1115"/>
          <w:sz w:val="24"/>
          <w:szCs w:val="24"/>
          <w:lang w:eastAsia="lt-LT"/>
          <w14:ligatures w14:val="none"/>
        </w:rPr>
        <w:t>Techninė priežiūra:</w:t>
      </w:r>
      <w:r>
        <w:rPr>
          <w:rFonts w:ascii="Segoe UI" w:eastAsia="Times New Roman" w:hAnsi="Segoe UI" w:cs="Segoe UI"/>
          <w:color w:val="0F1115"/>
          <w:sz w:val="24"/>
          <w:szCs w:val="24"/>
          <w:lang w:eastAsia="lt-LT"/>
          <w14:ligatures w14:val="none"/>
        </w:rPr>
        <w:t> Reikalavimas pateikti techninės priežiūros planą yra suprantamas, tačiau reikalavimas pateikti </w:t>
      </w:r>
      <w:r>
        <w:rPr>
          <w:rFonts w:ascii="Segoe UI" w:eastAsia="Times New Roman" w:hAnsi="Segoe UI" w:cs="Segoe UI"/>
          <w:b/>
          <w:bCs/>
          <w:color w:val="0F1115"/>
          <w:sz w:val="24"/>
          <w:szCs w:val="24"/>
          <w:lang w:eastAsia="lt-LT"/>
          <w14:ligatures w14:val="none"/>
        </w:rPr>
        <w:t>įrodymus iš kitos įstaigos</w:t>
      </w:r>
      <w:r>
        <w:rPr>
          <w:rFonts w:ascii="Segoe UI" w:eastAsia="Times New Roman" w:hAnsi="Segoe UI" w:cs="Segoe UI"/>
          <w:color w:val="0F1115"/>
          <w:sz w:val="24"/>
          <w:szCs w:val="24"/>
          <w:lang w:eastAsia="lt-LT"/>
          <w14:ligatures w14:val="none"/>
        </w:rPr>
        <w:t> yra pernelyg didelis administracinis kriterijus, kuris gali būti sunkiai įvykdomas. Pakaktų reikalauti patikimos ir išsamios tiekėjo paslaugų pasiūlymo su aiškiais įsipareigojimais.</w:t>
      </w:r>
    </w:p>
    <w:p w14:paraId="580F5A73" w14:textId="77777777" w:rsidR="003174DF" w:rsidRDefault="003174DF" w:rsidP="003174DF">
      <w:pPr>
        <w:shd w:val="clear" w:color="auto" w:fill="FFFFFF"/>
        <w:spacing w:before="240"/>
        <w:rPr>
          <w:rFonts w:ascii="Segoe UI" w:hAnsi="Segoe UI" w:cs="Segoe UI"/>
          <w:color w:val="0F1115"/>
          <w:sz w:val="24"/>
          <w:szCs w:val="24"/>
          <w:lang w:eastAsia="lt-LT"/>
          <w14:ligatures w14:val="none"/>
        </w:rPr>
      </w:pPr>
      <w:r>
        <w:rPr>
          <w:rFonts w:ascii="Segoe UI" w:hAnsi="Segoe UI" w:cs="Segoe UI"/>
          <w:b/>
          <w:bCs/>
          <w:color w:val="0F1115"/>
          <w:sz w:val="24"/>
          <w:szCs w:val="24"/>
          <w:lang w:eastAsia="lt-LT"/>
          <w14:ligatures w14:val="none"/>
        </w:rPr>
        <w:t>Išvada:</w:t>
      </w:r>
      <w:r>
        <w:rPr>
          <w:rFonts w:ascii="Segoe UI" w:hAnsi="Segoe UI" w:cs="Segoe UI"/>
          <w:color w:val="0F1115"/>
          <w:sz w:val="24"/>
          <w:szCs w:val="24"/>
          <w:lang w:eastAsia="lt-LT"/>
          <w14:ligatures w14:val="none"/>
        </w:rPr>
        <w:t> Mūsų siūlymai atspindi siekį užtikrinti, kad būsimas pirkimas būtų atviras, sąžiningas ir ekonomiškai naudingas tiek Perkančiajai organizacijai, tiek rinkos dalyviams. Ankstesnės pretenzijos nagrinėjimo procesas parodė, kad keli iš šių klausimų yra konfliktiniai. Tikimės, kad šios rinkos konsultacijos metu jie bus išspręsti konstruktyviai, leisdami vėl paskelbti konkursą, kuris atitiks visus teisinius reikalavimus ir rinkos galimybes.</w:t>
      </w:r>
    </w:p>
    <w:p w14:paraId="602B566D" w14:textId="77777777" w:rsidR="00122CBB" w:rsidRDefault="00122CBB"/>
    <w:p w14:paraId="64E7495E" w14:textId="76822AF4" w:rsidR="00981640" w:rsidRPr="0002154A" w:rsidRDefault="00981640" w:rsidP="00981640">
      <w:pPr>
        <w:rPr>
          <w:i/>
          <w:iCs/>
          <w:highlight w:val="lightGray"/>
        </w:rPr>
      </w:pPr>
      <w:r w:rsidRPr="0002154A">
        <w:rPr>
          <w:i/>
          <w:iCs/>
          <w:highlight w:val="lightGray"/>
        </w:rPr>
        <w:t>VPĮ 30 str. neįtvirtintas vienodo požiūrio principas, jame reglamentuojamas išankstinis informacinis skelbimas. ESTT praktikoje konstatuota, kad vienodo požiūrio principas ir skaidrumo pareiga turi būti aiškinami taip, kad pagal juos draudžiama pašalinti ekonominės veiklos vykdytoją iš viešojo pirkimo</w:t>
      </w:r>
      <w:r w:rsidRPr="0002154A">
        <w:rPr>
          <w:highlight w:val="lightGray"/>
        </w:rPr>
        <w:t xml:space="preserve"> </w:t>
      </w:r>
      <w:r w:rsidRPr="0002154A">
        <w:rPr>
          <w:i/>
          <w:iCs/>
          <w:highlight w:val="lightGray"/>
        </w:rPr>
        <w:lastRenderedPageBreak/>
        <w:t xml:space="preserve">procedūros dėl to, kad šis neįvykdė pareigos, kuri aiškiai nenumatyta šio pirkimo dokumentuose arba galiojančiame nacionaliniame įstatyme, tačiau kyla nacionalinėms valdžios institucijoms ar nacionaliniams administraciniams teismams aiškinant šį įstatymą ir šiuos dokumentus ir užpildant tuose dokumentuose esančias spragas. </w:t>
      </w:r>
      <w:hyperlink r:id="rId8" w:history="1">
        <w:r w:rsidRPr="0002154A">
          <w:rPr>
            <w:rStyle w:val="Hyperlink"/>
            <w:i/>
            <w:iCs/>
            <w:highlight w:val="lightGray"/>
          </w:rPr>
          <w:t>https://klausk.vpt.lt/hc/lt/articles/360016426939-35-straipsnis-Pirkimo-dokument%C5%B3-turinys</w:t>
        </w:r>
      </w:hyperlink>
    </w:p>
    <w:p w14:paraId="75D85D34" w14:textId="77777777" w:rsidR="00A55052" w:rsidRPr="0002154A" w:rsidRDefault="00A55052" w:rsidP="00981640">
      <w:pPr>
        <w:rPr>
          <w:i/>
          <w:iCs/>
          <w:highlight w:val="lightGray"/>
        </w:rPr>
      </w:pPr>
    </w:p>
    <w:p w14:paraId="17F69A3B" w14:textId="6CDBC3FA" w:rsidR="00981640" w:rsidRPr="0002154A" w:rsidRDefault="00981640" w:rsidP="00981640">
      <w:pPr>
        <w:rPr>
          <w:i/>
          <w:iCs/>
          <w:highlight w:val="lightGray"/>
        </w:rPr>
      </w:pPr>
      <w:r w:rsidRPr="0002154A">
        <w:rPr>
          <w:i/>
          <w:iCs/>
          <w:highlight w:val="lightGray"/>
        </w:rPr>
        <w:t xml:space="preserve">Šiuo atveju ekologinių reikalavimų netaikymas kai kuriems perkamiems produktams nėra niekaip susijęs su vienodo požiūrio principų pažeidimu. Perkančioji organizacija vykdo žaliąjį pirkimą, kuriuo daugiau kaip 50 </w:t>
      </w:r>
      <w:proofErr w:type="spellStart"/>
      <w:r w:rsidRPr="0002154A">
        <w:rPr>
          <w:i/>
          <w:iCs/>
          <w:highlight w:val="lightGray"/>
        </w:rPr>
        <w:t>proc</w:t>
      </w:r>
      <w:proofErr w:type="spellEnd"/>
      <w:r w:rsidRPr="0002154A">
        <w:rPr>
          <w:i/>
          <w:iCs/>
          <w:highlight w:val="lightGray"/>
        </w:rPr>
        <w:t xml:space="preserve"> pirkimo objekto sudarys ekologinius reikalavimus atitinkančios prekės</w:t>
      </w:r>
      <w:r w:rsidR="00EF394D" w:rsidRPr="0002154A">
        <w:rPr>
          <w:i/>
          <w:iCs/>
          <w:highlight w:val="lightGray"/>
        </w:rPr>
        <w:t xml:space="preserve">. </w:t>
      </w:r>
      <w:r w:rsidRPr="0002154A">
        <w:rPr>
          <w:i/>
          <w:iCs/>
          <w:highlight w:val="lightGray"/>
        </w:rPr>
        <w:t xml:space="preserve"> </w:t>
      </w:r>
    </w:p>
    <w:p w14:paraId="35CFACDE" w14:textId="77777777" w:rsidR="00981640" w:rsidRPr="0002154A" w:rsidRDefault="00981640">
      <w:pPr>
        <w:rPr>
          <w:i/>
          <w:iCs/>
          <w:highlight w:val="lightGray"/>
        </w:rPr>
      </w:pPr>
    </w:p>
    <w:p w14:paraId="78EEB9D9" w14:textId="77777777" w:rsidR="00981640" w:rsidRPr="0002154A" w:rsidRDefault="00981640" w:rsidP="00981640">
      <w:pPr>
        <w:rPr>
          <w:i/>
          <w:iCs/>
        </w:rPr>
      </w:pPr>
      <w:r w:rsidRPr="0002154A">
        <w:rPr>
          <w:i/>
          <w:iCs/>
          <w:highlight w:val="lightGray"/>
        </w:rPr>
        <w:t>Tai yra ekonominio naudingumo vertinimo kriterijaus reikalavimas, siekiant įvertinti tiekėjo patirtį atliekant sistemų techninę priežiūrą. Šiuo atveju skiriant maksimalų balą pagrįstai reikalaujama pateikti šią patirtį pagrindžiančius įrodymus.</w:t>
      </w:r>
      <w:r w:rsidRPr="0002154A">
        <w:rPr>
          <w:i/>
          <w:iCs/>
        </w:rPr>
        <w:t xml:space="preserve"> </w:t>
      </w:r>
    </w:p>
    <w:p w14:paraId="4F84BFAA" w14:textId="77777777" w:rsidR="00981640" w:rsidRDefault="00981640"/>
    <w:sectPr w:rsidR="009816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F7E"/>
    <w:multiLevelType w:val="multilevel"/>
    <w:tmpl w:val="A2D67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CA1C8C"/>
    <w:multiLevelType w:val="multilevel"/>
    <w:tmpl w:val="A4DC2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0563EE8"/>
    <w:multiLevelType w:val="multilevel"/>
    <w:tmpl w:val="265CF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DF"/>
    <w:rsid w:val="0002154A"/>
    <w:rsid w:val="00053F70"/>
    <w:rsid w:val="0007569D"/>
    <w:rsid w:val="000909FD"/>
    <w:rsid w:val="000C5787"/>
    <w:rsid w:val="000D4603"/>
    <w:rsid w:val="0011624B"/>
    <w:rsid w:val="00122CBB"/>
    <w:rsid w:val="002C4995"/>
    <w:rsid w:val="003174DF"/>
    <w:rsid w:val="003C5DF5"/>
    <w:rsid w:val="0041740B"/>
    <w:rsid w:val="00536779"/>
    <w:rsid w:val="00762E15"/>
    <w:rsid w:val="00864F2E"/>
    <w:rsid w:val="00914C92"/>
    <w:rsid w:val="00981640"/>
    <w:rsid w:val="00A460A8"/>
    <w:rsid w:val="00A55052"/>
    <w:rsid w:val="00AF0E53"/>
    <w:rsid w:val="00C459F8"/>
    <w:rsid w:val="00C71697"/>
    <w:rsid w:val="00DE55A8"/>
    <w:rsid w:val="00EF394D"/>
    <w:rsid w:val="00EF6B50"/>
    <w:rsid w:val="00FB44C4"/>
    <w:rsid w:val="00FC2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6B48"/>
  <w15:chartTrackingRefBased/>
  <w15:docId w15:val="{2E83D8D7-2669-44E9-95FD-F490C21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4DF"/>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317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DF"/>
    <w:rPr>
      <w:rFonts w:eastAsiaTheme="majorEastAsia" w:cstheme="majorBidi"/>
      <w:color w:val="272727" w:themeColor="text1" w:themeTint="D8"/>
    </w:rPr>
  </w:style>
  <w:style w:type="paragraph" w:styleId="Title">
    <w:name w:val="Title"/>
    <w:basedOn w:val="Normal"/>
    <w:next w:val="Normal"/>
    <w:link w:val="TitleChar"/>
    <w:uiPriority w:val="10"/>
    <w:qFormat/>
    <w:rsid w:val="00317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DF"/>
    <w:pPr>
      <w:spacing w:before="160"/>
      <w:jc w:val="center"/>
    </w:pPr>
    <w:rPr>
      <w:i/>
      <w:iCs/>
      <w:color w:val="404040" w:themeColor="text1" w:themeTint="BF"/>
    </w:rPr>
  </w:style>
  <w:style w:type="character" w:customStyle="1" w:styleId="QuoteChar">
    <w:name w:val="Quote Char"/>
    <w:basedOn w:val="DefaultParagraphFont"/>
    <w:link w:val="Quote"/>
    <w:uiPriority w:val="29"/>
    <w:rsid w:val="003174DF"/>
    <w:rPr>
      <w:i/>
      <w:iCs/>
      <w:color w:val="404040" w:themeColor="text1" w:themeTint="BF"/>
    </w:rPr>
  </w:style>
  <w:style w:type="paragraph" w:styleId="ListParagraph">
    <w:name w:val="List Paragraph"/>
    <w:basedOn w:val="Normal"/>
    <w:uiPriority w:val="34"/>
    <w:qFormat/>
    <w:rsid w:val="003174DF"/>
    <w:pPr>
      <w:ind w:left="720"/>
      <w:contextualSpacing/>
    </w:pPr>
  </w:style>
  <w:style w:type="character" w:styleId="IntenseEmphasis">
    <w:name w:val="Intense Emphasis"/>
    <w:basedOn w:val="DefaultParagraphFont"/>
    <w:uiPriority w:val="21"/>
    <w:qFormat/>
    <w:rsid w:val="003174DF"/>
    <w:rPr>
      <w:i/>
      <w:iCs/>
      <w:color w:val="0F4761" w:themeColor="accent1" w:themeShade="BF"/>
    </w:rPr>
  </w:style>
  <w:style w:type="paragraph" w:styleId="IntenseQuote">
    <w:name w:val="Intense Quote"/>
    <w:basedOn w:val="Normal"/>
    <w:next w:val="Normal"/>
    <w:link w:val="IntenseQuoteChar"/>
    <w:uiPriority w:val="30"/>
    <w:qFormat/>
    <w:rsid w:val="00317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DF"/>
    <w:rPr>
      <w:i/>
      <w:iCs/>
      <w:color w:val="0F4761" w:themeColor="accent1" w:themeShade="BF"/>
    </w:rPr>
  </w:style>
  <w:style w:type="character" w:styleId="IntenseReference">
    <w:name w:val="Intense Reference"/>
    <w:basedOn w:val="DefaultParagraphFont"/>
    <w:uiPriority w:val="32"/>
    <w:qFormat/>
    <w:rsid w:val="003174DF"/>
    <w:rPr>
      <w:b/>
      <w:bCs/>
      <w:smallCaps/>
      <w:color w:val="0F4761" w:themeColor="accent1" w:themeShade="BF"/>
      <w:spacing w:val="5"/>
    </w:rPr>
  </w:style>
  <w:style w:type="paragraph" w:customStyle="1" w:styleId="pf0">
    <w:name w:val="pf0"/>
    <w:basedOn w:val="Normal"/>
    <w:rsid w:val="0053677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cf01">
    <w:name w:val="cf01"/>
    <w:basedOn w:val="DefaultParagraphFont"/>
    <w:rsid w:val="00536779"/>
    <w:rPr>
      <w:rFonts w:ascii="Segoe UI" w:hAnsi="Segoe UI" w:cs="Segoe UI" w:hint="default"/>
      <w:sz w:val="18"/>
      <w:szCs w:val="18"/>
    </w:rPr>
  </w:style>
  <w:style w:type="character" w:styleId="Hyperlink">
    <w:name w:val="Hyperlink"/>
    <w:basedOn w:val="DefaultParagraphFont"/>
    <w:uiPriority w:val="99"/>
    <w:unhideWhenUsed/>
    <w:rsid w:val="00981640"/>
    <w:rPr>
      <w:color w:val="467886" w:themeColor="hyperlink"/>
      <w:u w:val="single"/>
    </w:rPr>
  </w:style>
  <w:style w:type="character" w:styleId="UnresolvedMention">
    <w:name w:val="Unresolved Mention"/>
    <w:basedOn w:val="DefaultParagraphFont"/>
    <w:uiPriority w:val="99"/>
    <w:semiHidden/>
    <w:unhideWhenUsed/>
    <w:rsid w:val="0098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16426939-35-straipsnis-Pirkimo-dokument%C5%B3-turiny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247B6C77-F090-46B4-8CE8-EA8E3576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91A00-3C91-4DBA-88E0-29BED7520D10}">
  <ds:schemaRefs>
    <ds:schemaRef ds:uri="http://schemas.microsoft.com/sharepoint/v3/contenttype/forms"/>
  </ds:schemaRefs>
</ds:datastoreItem>
</file>

<file path=customXml/itemProps3.xml><?xml version="1.0" encoding="utf-8"?>
<ds:datastoreItem xmlns:ds="http://schemas.openxmlformats.org/officeDocument/2006/customXml" ds:itemID="{54D1A3F7-C095-4050-B246-64BAF0937E88}">
  <ds:schemaRefs>
    <ds:schemaRef ds:uri="http://schemas.microsoft.com/office/2006/documentManagement/types"/>
    <ds:schemaRef ds:uri="http://purl.org/dc/elements/1.1/"/>
    <ds:schemaRef ds:uri="http://schemas.openxmlformats.org/package/2006/metadata/core-properties"/>
    <ds:schemaRef ds:uri="5bae7d12-13eb-4134-a1d8-2ddc8d2534e1"/>
    <ds:schemaRef ds:uri="http://purl.org/dc/dcmitype/"/>
    <ds:schemaRef ds:uri="http://www.w3.org/XML/1998/namespac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5426</Words>
  <Characters>3094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Sidaravičienė</cp:lastModifiedBy>
  <cp:revision>2</cp:revision>
  <dcterms:created xsi:type="dcterms:W3CDTF">2025-10-06T10:54:00Z</dcterms:created>
  <dcterms:modified xsi:type="dcterms:W3CDTF">2025-10-06T10:54:00Z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