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0CD7" w14:textId="77777777" w:rsidR="00F0447B" w:rsidRPr="00F0447B" w:rsidRDefault="00F0447B" w:rsidP="00BA01B3">
      <w:pPr>
        <w:pStyle w:val="Title"/>
        <w:keepNext/>
        <w:spacing w:line="240" w:lineRule="auto"/>
        <w:jc w:val="center"/>
        <w:rPr>
          <w:rFonts w:ascii="Times New Roman" w:hAnsi="Times New Roman"/>
          <w:b/>
          <w:bCs/>
          <w:color w:val="auto"/>
          <w:spacing w:val="0"/>
          <w:sz w:val="24"/>
          <w:szCs w:val="24"/>
          <w:lang w:val="lt-LT"/>
        </w:rPr>
      </w:pPr>
    </w:p>
    <w:p w14:paraId="4F0A5DC2" w14:textId="77777777" w:rsidR="00F0447B" w:rsidRPr="00F0447B" w:rsidRDefault="00F0447B" w:rsidP="00F0447B">
      <w:pPr>
        <w:jc w:val="right"/>
        <w:rPr>
          <w:lang w:val="lt-LT"/>
        </w:rPr>
      </w:pPr>
      <w:r w:rsidRPr="00F0447B">
        <w:rPr>
          <w:lang w:val="lt-LT"/>
        </w:rPr>
        <w:t>SPS 1 priedas</w:t>
      </w:r>
    </w:p>
    <w:p w14:paraId="0B827666" w14:textId="77777777" w:rsidR="00F0447B" w:rsidRPr="00F0447B" w:rsidRDefault="00F0447B" w:rsidP="00BA01B3">
      <w:pPr>
        <w:pStyle w:val="Title"/>
        <w:keepNext/>
        <w:spacing w:line="240" w:lineRule="auto"/>
        <w:jc w:val="center"/>
        <w:rPr>
          <w:rFonts w:ascii="Times New Roman" w:hAnsi="Times New Roman"/>
          <w:b/>
          <w:bCs/>
          <w:color w:val="auto"/>
          <w:spacing w:val="0"/>
          <w:sz w:val="24"/>
          <w:szCs w:val="24"/>
          <w:lang w:val="lt-LT"/>
        </w:rPr>
      </w:pPr>
    </w:p>
    <w:p w14:paraId="05239F80" w14:textId="0DAEF1E4" w:rsidR="00EB73AB" w:rsidRPr="00E11E96" w:rsidRDefault="00810110" w:rsidP="00BA01B3">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E11E96">
        <w:rPr>
          <w:rFonts w:ascii="Times New Roman" w:hAnsi="Times New Roman"/>
          <w:b/>
          <w:bCs/>
          <w:color w:val="auto"/>
          <w:spacing w:val="0"/>
          <w:sz w:val="24"/>
          <w:szCs w:val="24"/>
          <w:lang w:val="lt-LT"/>
        </w:rPr>
        <w:t>V</w:t>
      </w:r>
      <w:r w:rsidR="00EB73AB" w:rsidRPr="00E11E96">
        <w:rPr>
          <w:rFonts w:ascii="Times New Roman" w:hAnsi="Times New Roman"/>
          <w:b/>
          <w:bCs/>
          <w:color w:val="auto"/>
          <w:spacing w:val="0"/>
          <w:sz w:val="24"/>
          <w:szCs w:val="24"/>
          <w:lang w:val="lt-LT"/>
        </w:rPr>
        <w:t>ILNIAUS UNIVERSITETO LIGONINĖ SANTAROS KLINIKOS</w:t>
      </w:r>
    </w:p>
    <w:p w14:paraId="42AAAE7E" w14:textId="77777777" w:rsidR="00EB73AB" w:rsidRPr="00E11E96" w:rsidRDefault="00EB73AB" w:rsidP="00BA01B3">
      <w:pPr>
        <w:pStyle w:val="Body"/>
        <w:spacing w:line="240" w:lineRule="auto"/>
        <w:ind w:left="709"/>
        <w:jc w:val="center"/>
        <w:rPr>
          <w:rFonts w:ascii="Times New Roman" w:eastAsia="Times New Roman" w:hAnsi="Times New Roman" w:cs="Times New Roman"/>
          <w:color w:val="auto"/>
          <w:sz w:val="24"/>
          <w:szCs w:val="24"/>
        </w:rPr>
      </w:pPr>
    </w:p>
    <w:p w14:paraId="57112F47" w14:textId="1E60C48B" w:rsidR="006D4854" w:rsidRPr="00E11E96" w:rsidRDefault="00750378" w:rsidP="00CB2D5A">
      <w:pPr>
        <w:pStyle w:val="Title"/>
        <w:keepNext/>
        <w:spacing w:line="240" w:lineRule="auto"/>
        <w:ind w:left="709"/>
        <w:jc w:val="center"/>
        <w:rPr>
          <w:rFonts w:ascii="Times New Roman" w:hAnsi="Times New Roman"/>
          <w:b/>
          <w:bCs/>
          <w:color w:val="auto"/>
          <w:spacing w:val="0"/>
          <w:sz w:val="24"/>
          <w:szCs w:val="24"/>
          <w:lang w:val="lt-LT"/>
        </w:rPr>
      </w:pPr>
      <w:r w:rsidRPr="00E11E96">
        <w:rPr>
          <w:rFonts w:ascii="Times New Roman" w:hAnsi="Times New Roman"/>
          <w:b/>
          <w:bCs/>
          <w:color w:val="auto"/>
          <w:spacing w:val="0"/>
          <w:sz w:val="24"/>
          <w:szCs w:val="24"/>
          <w:lang w:val="lt-LT"/>
        </w:rPr>
        <w:t>TECHNINĖ SPECIFIKACIJA</w:t>
      </w:r>
    </w:p>
    <w:p w14:paraId="351EA612" w14:textId="77777777" w:rsidR="009E7EB5" w:rsidRPr="00E11E96" w:rsidRDefault="009E7EB5" w:rsidP="00C67A38">
      <w:pPr>
        <w:pStyle w:val="Body2"/>
        <w:rPr>
          <w:b/>
          <w:sz w:val="24"/>
          <w:szCs w:val="24"/>
          <w:lang w:val="lt-LT"/>
        </w:rPr>
      </w:pPr>
    </w:p>
    <w:p w14:paraId="7E6273ED" w14:textId="23D0D767" w:rsidR="009E7EB5" w:rsidRPr="00E11E96" w:rsidRDefault="00C57399" w:rsidP="006D4854">
      <w:pPr>
        <w:pStyle w:val="Body2"/>
        <w:jc w:val="center"/>
        <w:rPr>
          <w:b/>
          <w:sz w:val="24"/>
          <w:szCs w:val="24"/>
          <w:lang w:val="lt-LT"/>
        </w:rPr>
      </w:pPr>
      <w:r w:rsidRPr="00E11E96">
        <w:rPr>
          <w:b/>
          <w:sz w:val="24"/>
          <w:szCs w:val="24"/>
          <w:lang w:val="lt-LT"/>
        </w:rPr>
        <w:t>„</w:t>
      </w:r>
      <w:r w:rsidR="00B51CE6" w:rsidRPr="00E11E96">
        <w:rPr>
          <w:b/>
          <w:sz w:val="24"/>
          <w:szCs w:val="24"/>
          <w:lang w:val="lt-LT"/>
        </w:rPr>
        <w:t>ATSPARUMO ĮSILAUŽIMO TESTAVIMO PASLAUGOS</w:t>
      </w:r>
      <w:r w:rsidRPr="00E11E96">
        <w:rPr>
          <w:b/>
          <w:sz w:val="24"/>
          <w:szCs w:val="24"/>
          <w:lang w:val="lt-LT"/>
        </w:rPr>
        <w:t xml:space="preserve"> (11151)“</w:t>
      </w:r>
    </w:p>
    <w:p w14:paraId="7ADF87D8" w14:textId="77777777" w:rsidR="007B67EA" w:rsidRPr="00E11E96" w:rsidRDefault="007B67EA" w:rsidP="006D4854">
      <w:pPr>
        <w:pStyle w:val="Body2"/>
        <w:jc w:val="center"/>
        <w:rPr>
          <w:sz w:val="24"/>
          <w:szCs w:val="24"/>
          <w:lang w:val="lt-LT"/>
        </w:rPr>
      </w:pPr>
    </w:p>
    <w:p w14:paraId="0C106CAA" w14:textId="4045B79D" w:rsidR="00F50233" w:rsidRPr="00E11E96" w:rsidRDefault="00783C2A" w:rsidP="00783C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1004"/>
        <w:jc w:val="center"/>
        <w:rPr>
          <w:b/>
          <w:lang w:val="lt-LT"/>
        </w:rPr>
      </w:pPr>
      <w:r w:rsidRPr="00E11E96">
        <w:rPr>
          <w:b/>
          <w:lang w:val="lt-LT"/>
        </w:rPr>
        <w:t xml:space="preserve">I. </w:t>
      </w:r>
      <w:r w:rsidR="007B67EA" w:rsidRPr="00E11E96">
        <w:rPr>
          <w:b/>
          <w:lang w:val="lt-LT"/>
        </w:rPr>
        <w:t>BENDRA INFORMACIJA</w:t>
      </w:r>
    </w:p>
    <w:p w14:paraId="4F9DF64F" w14:textId="77777777" w:rsidR="00783C2A" w:rsidRPr="00F0447B" w:rsidRDefault="00783C2A" w:rsidP="00783C2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1004"/>
        <w:rPr>
          <w:b/>
          <w:lang w:val="lt-LT"/>
        </w:rPr>
      </w:pPr>
    </w:p>
    <w:p w14:paraId="6D257991" w14:textId="75810649" w:rsidR="00F50233" w:rsidRPr="00F0447B" w:rsidRDefault="00F50233" w:rsidP="000562F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0447B">
        <w:rPr>
          <w:lang w:val="lt-LT"/>
        </w:rPr>
        <w:t xml:space="preserve">Perkančioji organizacija </w:t>
      </w:r>
      <w:r w:rsidRPr="00F0447B">
        <w:rPr>
          <w:color w:val="000000"/>
          <w:lang w:val="lt-LT"/>
        </w:rPr>
        <w:t>Viešoji įstaiga Vilniaus universiteto ligoninė Santaros klinikos</w:t>
      </w:r>
      <w:r w:rsidRPr="00F0447B">
        <w:rPr>
          <w:lang w:val="lt-LT"/>
        </w:rPr>
        <w:t xml:space="preserve">, įgyvendina Europos Sąjungos struktūrinių fondų lėšų bendrai finansuojamą projektą </w:t>
      </w:r>
      <w:r w:rsidR="00CF76D6" w:rsidRPr="00F0447B">
        <w:rPr>
          <w:lang w:val="lt-LT"/>
        </w:rPr>
        <w:t xml:space="preserve">„Miokardo infarkto klasterio skaitmenizavimo, pasinaudojant </w:t>
      </w:r>
      <w:proofErr w:type="spellStart"/>
      <w:r w:rsidR="00CF76D6" w:rsidRPr="00F0447B">
        <w:rPr>
          <w:lang w:val="lt-LT"/>
        </w:rPr>
        <w:t>EuroHeart</w:t>
      </w:r>
      <w:proofErr w:type="spellEnd"/>
      <w:r w:rsidR="00CF76D6" w:rsidRPr="00F0447B">
        <w:rPr>
          <w:lang w:val="lt-LT"/>
        </w:rPr>
        <w:t xml:space="preserve"> sprendimu, bandomąjį projektą</w:t>
      </w:r>
      <w:r w:rsidRPr="00F0447B">
        <w:rPr>
          <w:lang w:val="lt-LT"/>
        </w:rPr>
        <w:t>“ (projekto Nr</w:t>
      </w:r>
      <w:r w:rsidR="00C23CD1" w:rsidRPr="00F0447B">
        <w:rPr>
          <w:lang w:val="lt-LT"/>
        </w:rPr>
        <w:t>.</w:t>
      </w:r>
      <w:r w:rsidR="00C23CD1" w:rsidRPr="00F0447B">
        <w:rPr>
          <w:shd w:val="clear" w:color="auto" w:fill="FFFFFF"/>
          <w:lang w:val="lt-LT"/>
        </w:rPr>
        <w:t xml:space="preserve">  09-069-P-0001</w:t>
      </w:r>
      <w:r w:rsidR="00C23CD1" w:rsidRPr="00F0447B">
        <w:rPr>
          <w:lang w:val="lt-LT"/>
        </w:rPr>
        <w:t xml:space="preserve"> </w:t>
      </w:r>
      <w:r w:rsidRPr="00F0447B">
        <w:rPr>
          <w:lang w:val="lt-LT"/>
        </w:rPr>
        <w:t xml:space="preserve">) (toliau – Projektas), kurio kokybiškam veiklų įgyvendinimui yra reikalinga įsigyti </w:t>
      </w:r>
      <w:r w:rsidR="008D1B2C" w:rsidRPr="00F0447B">
        <w:rPr>
          <w:lang w:val="lt-LT"/>
        </w:rPr>
        <w:t>atsparumo įsilaužimo testavimo paslaugas</w:t>
      </w:r>
      <w:r w:rsidR="009E7EB5" w:rsidRPr="00F0447B">
        <w:rPr>
          <w:lang w:val="lt-LT"/>
        </w:rPr>
        <w:t>.</w:t>
      </w:r>
    </w:p>
    <w:p w14:paraId="51B59846" w14:textId="02D05E06" w:rsidR="00EF339C" w:rsidRPr="00F0447B" w:rsidRDefault="00F50233" w:rsidP="00133D2D">
      <w:pPr>
        <w:pStyle w:val="Body2"/>
        <w:ind w:left="720"/>
        <w:rPr>
          <w:rFonts w:cs="Times New Roman"/>
          <w:sz w:val="24"/>
          <w:szCs w:val="24"/>
          <w:lang w:val="lt-LT"/>
        </w:rPr>
      </w:pPr>
      <w:r w:rsidRPr="00F0447B">
        <w:rPr>
          <w:rFonts w:cs="Times New Roman"/>
          <w:sz w:val="24"/>
          <w:szCs w:val="24"/>
          <w:lang w:val="lt-LT"/>
        </w:rPr>
        <w:t>Projekto</w:t>
      </w:r>
      <w:r w:rsidR="00EF339C" w:rsidRPr="00F0447B">
        <w:rPr>
          <w:rFonts w:cs="Times New Roman"/>
          <w:sz w:val="24"/>
          <w:szCs w:val="24"/>
          <w:lang w:val="lt-LT"/>
        </w:rPr>
        <w:t xml:space="preserve"> tikslas – pagerinti </w:t>
      </w:r>
      <w:r w:rsidR="00A8779B" w:rsidRPr="00F0447B">
        <w:rPr>
          <w:rFonts w:cs="Times New Roman"/>
          <w:sz w:val="24"/>
          <w:szCs w:val="24"/>
          <w:lang w:val="lt-LT"/>
        </w:rPr>
        <w:t>š</w:t>
      </w:r>
      <w:r w:rsidR="00ED457C" w:rsidRPr="00F0447B">
        <w:rPr>
          <w:rFonts w:cs="Times New Roman"/>
          <w:sz w:val="24"/>
          <w:szCs w:val="24"/>
          <w:lang w:val="lt-LT"/>
        </w:rPr>
        <w:t>irdies ir kraujagyslių ligų (toliau – Š</w:t>
      </w:r>
      <w:r w:rsidR="00EF339C" w:rsidRPr="00F0447B">
        <w:rPr>
          <w:rFonts w:cs="Times New Roman"/>
          <w:sz w:val="24"/>
          <w:szCs w:val="24"/>
          <w:lang w:val="lt-LT"/>
        </w:rPr>
        <w:t>KL</w:t>
      </w:r>
      <w:r w:rsidR="00ED457C" w:rsidRPr="00F0447B">
        <w:rPr>
          <w:rFonts w:cs="Times New Roman"/>
          <w:sz w:val="24"/>
          <w:szCs w:val="24"/>
          <w:lang w:val="lt-LT"/>
        </w:rPr>
        <w:t>)</w:t>
      </w:r>
      <w:r w:rsidR="00EF339C" w:rsidRPr="00F0447B">
        <w:rPr>
          <w:rFonts w:cs="Times New Roman"/>
          <w:sz w:val="24"/>
          <w:szCs w:val="24"/>
          <w:lang w:val="lt-LT"/>
        </w:rPr>
        <w:t xml:space="preserve"> valdymui reikalingų duomenų surinkimą nacionaliniu lygiu ir įgalinti jų analizę realiu laiku. </w:t>
      </w:r>
    </w:p>
    <w:p w14:paraId="3E9FA526" w14:textId="33A50622" w:rsidR="00EF339C" w:rsidRPr="00F0447B" w:rsidRDefault="00EF339C" w:rsidP="00133D2D">
      <w:pPr>
        <w:pStyle w:val="Body2"/>
        <w:ind w:left="720"/>
        <w:rPr>
          <w:rFonts w:cs="Times New Roman"/>
          <w:sz w:val="24"/>
          <w:szCs w:val="24"/>
          <w:lang w:val="lt-LT"/>
        </w:rPr>
      </w:pPr>
      <w:r w:rsidRPr="00F0447B">
        <w:rPr>
          <w:rFonts w:cs="Times New Roman"/>
          <w:sz w:val="24"/>
          <w:szCs w:val="24"/>
          <w:lang w:val="lt-LT"/>
        </w:rPr>
        <w:t xml:space="preserve">Vadovaujantis Europos kardiologų draugijos </w:t>
      </w:r>
      <w:proofErr w:type="spellStart"/>
      <w:r w:rsidRPr="00F0447B">
        <w:rPr>
          <w:rFonts w:cs="Times New Roman"/>
          <w:sz w:val="24"/>
          <w:szCs w:val="24"/>
          <w:lang w:val="lt-LT"/>
        </w:rPr>
        <w:t>EuroHeart</w:t>
      </w:r>
      <w:proofErr w:type="spellEnd"/>
      <w:r w:rsidRPr="00F0447B">
        <w:rPr>
          <w:rFonts w:cs="Times New Roman"/>
          <w:sz w:val="24"/>
          <w:szCs w:val="24"/>
          <w:lang w:val="lt-LT"/>
        </w:rPr>
        <w:t xml:space="preserve"> bendradarbiavimo platformos standartu, parengti ŠKL valdymui reikalingą standartizuotą M</w:t>
      </w:r>
      <w:r w:rsidR="00ED457C" w:rsidRPr="00F0447B">
        <w:rPr>
          <w:rFonts w:cs="Times New Roman"/>
          <w:sz w:val="24"/>
          <w:szCs w:val="24"/>
          <w:lang w:val="lt-LT"/>
        </w:rPr>
        <w:t xml:space="preserve">iokardo </w:t>
      </w:r>
      <w:r w:rsidRPr="00F0447B">
        <w:rPr>
          <w:rFonts w:cs="Times New Roman"/>
          <w:sz w:val="24"/>
          <w:szCs w:val="24"/>
          <w:lang w:val="lt-LT"/>
        </w:rPr>
        <w:t>I</w:t>
      </w:r>
      <w:r w:rsidR="00ED457C" w:rsidRPr="00F0447B">
        <w:rPr>
          <w:rFonts w:cs="Times New Roman"/>
          <w:sz w:val="24"/>
          <w:szCs w:val="24"/>
          <w:lang w:val="lt-LT"/>
        </w:rPr>
        <w:t>nfarkto (toliau – MI)</w:t>
      </w:r>
      <w:r w:rsidRPr="00F0447B">
        <w:rPr>
          <w:rFonts w:cs="Times New Roman"/>
          <w:sz w:val="24"/>
          <w:szCs w:val="24"/>
          <w:lang w:val="lt-LT"/>
        </w:rPr>
        <w:t xml:space="preserve"> rodiklių rinkinį ir sukurti įrankius, įgalinančius atlikti automatinį duomenų surinkimą </w:t>
      </w:r>
      <w:r w:rsidR="00317502" w:rsidRPr="00F0447B">
        <w:rPr>
          <w:rFonts w:cs="Times New Roman"/>
          <w:sz w:val="24"/>
          <w:szCs w:val="24"/>
          <w:lang w:val="lt-LT"/>
        </w:rPr>
        <w:t xml:space="preserve">iš VULSK, RŠL, LSMU KK sistemų </w:t>
      </w:r>
      <w:r w:rsidRPr="00F0447B">
        <w:rPr>
          <w:rFonts w:cs="Times New Roman"/>
          <w:sz w:val="24"/>
          <w:szCs w:val="24"/>
          <w:lang w:val="lt-LT"/>
        </w:rPr>
        <w:t>ir detalią duomenų analizę.</w:t>
      </w:r>
    </w:p>
    <w:p w14:paraId="262D02C8" w14:textId="43F52175" w:rsidR="004F0F96" w:rsidRPr="00F0447B" w:rsidRDefault="004F0F96" w:rsidP="00133D2D">
      <w:pPr>
        <w:pStyle w:val="ListParagraph"/>
        <w:tabs>
          <w:tab w:val="left" w:pos="868"/>
          <w:tab w:val="left" w:pos="2268"/>
          <w:tab w:val="left" w:pos="2410"/>
        </w:tabs>
        <w:spacing w:before="120" w:after="120"/>
        <w:jc w:val="both"/>
        <w:rPr>
          <w:rFonts w:eastAsia="Times New Roman"/>
          <w:lang w:val="lt-LT"/>
        </w:rPr>
      </w:pPr>
      <w:r w:rsidRPr="00F0447B">
        <w:rPr>
          <w:rFonts w:eastAsia="Times New Roman"/>
          <w:lang w:val="lt-LT"/>
        </w:rPr>
        <w:t>Santrumpos:</w:t>
      </w:r>
    </w:p>
    <w:p w14:paraId="2E115501" w14:textId="51B78F7D" w:rsidR="004F0F96" w:rsidRPr="00F0447B" w:rsidRDefault="004F0F96" w:rsidP="00133D2D">
      <w:pPr>
        <w:pStyle w:val="ListParagraph"/>
        <w:tabs>
          <w:tab w:val="left" w:pos="868"/>
          <w:tab w:val="left" w:pos="2268"/>
          <w:tab w:val="left" w:pos="2410"/>
        </w:tabs>
        <w:spacing w:before="120" w:after="120"/>
        <w:jc w:val="both"/>
        <w:rPr>
          <w:rFonts w:eastAsia="Times New Roman"/>
          <w:color w:val="000000"/>
          <w:lang w:val="lt-LT"/>
        </w:rPr>
      </w:pPr>
      <w:r w:rsidRPr="00F0447B">
        <w:rPr>
          <w:rFonts w:eastAsia="Times New Roman"/>
          <w:color w:val="000000"/>
          <w:lang w:val="lt-LT"/>
        </w:rPr>
        <w:t xml:space="preserve">ASPĮ </w:t>
      </w:r>
      <w:r w:rsidR="005B531A" w:rsidRPr="00F0447B">
        <w:rPr>
          <w:rFonts w:eastAsia="Times New Roman"/>
          <w:color w:val="000000"/>
          <w:lang w:val="lt-LT"/>
        </w:rPr>
        <w:t xml:space="preserve">– </w:t>
      </w:r>
      <w:r w:rsidRPr="00F0447B">
        <w:rPr>
          <w:rFonts w:eastAsia="Times New Roman"/>
          <w:color w:val="000000"/>
          <w:lang w:val="lt-LT"/>
        </w:rPr>
        <w:t>asmens sveikatos priežiūros įstaigos</w:t>
      </w:r>
      <w:r w:rsidR="00202389" w:rsidRPr="00F0447B">
        <w:rPr>
          <w:rFonts w:eastAsia="Times New Roman"/>
          <w:color w:val="000000"/>
          <w:lang w:val="lt-LT"/>
        </w:rPr>
        <w:t>;</w:t>
      </w:r>
    </w:p>
    <w:p w14:paraId="27D0823B" w14:textId="38509A54" w:rsidR="004F0F96" w:rsidRPr="00F0447B" w:rsidRDefault="004F0F96" w:rsidP="00133D2D">
      <w:pPr>
        <w:pStyle w:val="ListParagraph"/>
        <w:tabs>
          <w:tab w:val="left" w:pos="1276"/>
          <w:tab w:val="left" w:pos="2268"/>
          <w:tab w:val="left" w:pos="2410"/>
        </w:tabs>
        <w:spacing w:before="120" w:after="120"/>
        <w:jc w:val="both"/>
        <w:rPr>
          <w:rFonts w:eastAsia="Times New Roman"/>
          <w:color w:val="000000"/>
          <w:lang w:val="lt-LT"/>
        </w:rPr>
      </w:pPr>
      <w:r w:rsidRPr="00F0447B">
        <w:rPr>
          <w:rFonts w:eastAsia="Times New Roman"/>
          <w:color w:val="000000"/>
          <w:lang w:val="lt-LT"/>
        </w:rPr>
        <w:t>ASPĮ IS – asmens sveikatos priežiūros įstaigų informacinės sistemos</w:t>
      </w:r>
      <w:r w:rsidR="00202389" w:rsidRPr="00F0447B">
        <w:rPr>
          <w:rFonts w:eastAsia="Times New Roman"/>
          <w:color w:val="000000"/>
          <w:lang w:val="lt-LT"/>
        </w:rPr>
        <w:t>;</w:t>
      </w:r>
    </w:p>
    <w:p w14:paraId="7172E98E" w14:textId="073D4762" w:rsidR="004F0F96" w:rsidRPr="00F0447B" w:rsidRDefault="004F0F96" w:rsidP="00133D2D">
      <w:pPr>
        <w:pStyle w:val="ListParagraph"/>
        <w:tabs>
          <w:tab w:val="left" w:pos="1418"/>
        </w:tabs>
        <w:spacing w:before="120" w:after="120"/>
        <w:jc w:val="both"/>
        <w:rPr>
          <w:rFonts w:eastAsia="Times New Roman"/>
          <w:lang w:val="lt-LT"/>
        </w:rPr>
      </w:pPr>
      <w:r w:rsidRPr="00F0447B">
        <w:rPr>
          <w:rFonts w:eastAsia="Times New Roman"/>
          <w:lang w:val="lt-LT"/>
        </w:rPr>
        <w:t>IS – informacinė sistema</w:t>
      </w:r>
      <w:r w:rsidR="00202389" w:rsidRPr="00F0447B">
        <w:rPr>
          <w:rFonts w:eastAsia="Times New Roman"/>
          <w:lang w:val="lt-LT"/>
        </w:rPr>
        <w:t>;</w:t>
      </w:r>
    </w:p>
    <w:p w14:paraId="315A05D1" w14:textId="2F42A9F7" w:rsidR="00CB4608" w:rsidRPr="00F0447B" w:rsidRDefault="00CB4608" w:rsidP="00133D2D">
      <w:pPr>
        <w:pStyle w:val="ListParagraph"/>
        <w:tabs>
          <w:tab w:val="left" w:pos="1418"/>
        </w:tabs>
        <w:spacing w:before="120" w:after="120"/>
        <w:jc w:val="both"/>
        <w:rPr>
          <w:lang w:val="lt-LT" w:eastAsia="lt-LT"/>
        </w:rPr>
      </w:pPr>
      <w:r w:rsidRPr="00F0447B">
        <w:rPr>
          <w:lang w:val="lt-LT" w:eastAsia="lt-LT"/>
        </w:rPr>
        <w:t>LSMU KK</w:t>
      </w:r>
      <w:r w:rsidR="005B531A" w:rsidRPr="00F0447B">
        <w:rPr>
          <w:lang w:val="lt-LT" w:eastAsia="lt-LT"/>
        </w:rPr>
        <w:t xml:space="preserve"> </w:t>
      </w:r>
      <w:r w:rsidR="005B531A" w:rsidRPr="00F0447B">
        <w:rPr>
          <w:rFonts w:eastAsia="Times New Roman"/>
          <w:color w:val="000000"/>
          <w:lang w:val="lt-LT"/>
        </w:rPr>
        <w:t>–</w:t>
      </w:r>
      <w:r w:rsidRPr="00F0447B">
        <w:rPr>
          <w:lang w:val="lt-LT" w:eastAsia="lt-LT"/>
        </w:rPr>
        <w:t xml:space="preserve"> Lietuvos sveikatos mokslų universiteto ligoninė Kauno klinikos</w:t>
      </w:r>
      <w:r w:rsidR="00202389" w:rsidRPr="00F0447B">
        <w:rPr>
          <w:lang w:val="lt-LT" w:eastAsia="lt-LT"/>
        </w:rPr>
        <w:t>;</w:t>
      </w:r>
    </w:p>
    <w:p w14:paraId="4E3489F4" w14:textId="64B64284" w:rsidR="00CB4608" w:rsidRPr="00F0447B" w:rsidRDefault="00CB4608" w:rsidP="00133D2D">
      <w:pPr>
        <w:pStyle w:val="ListParagraph"/>
        <w:tabs>
          <w:tab w:val="left" w:pos="1418"/>
        </w:tabs>
        <w:spacing w:before="120" w:after="120"/>
        <w:jc w:val="both"/>
        <w:rPr>
          <w:rFonts w:eastAsia="Times New Roman"/>
          <w:color w:val="000000"/>
          <w:lang w:val="lt-LT"/>
        </w:rPr>
      </w:pPr>
      <w:r w:rsidRPr="00F0447B">
        <w:rPr>
          <w:rFonts w:eastAsia="Times New Roman"/>
          <w:color w:val="000000"/>
          <w:lang w:val="lt-LT"/>
        </w:rPr>
        <w:t>MI</w:t>
      </w:r>
      <w:r w:rsidR="005B531A" w:rsidRPr="00F0447B">
        <w:rPr>
          <w:rFonts w:eastAsia="Times New Roman"/>
          <w:color w:val="000000"/>
          <w:lang w:val="lt-LT"/>
        </w:rPr>
        <w:t xml:space="preserve"> – </w:t>
      </w:r>
      <w:r w:rsidRPr="00F0447B">
        <w:rPr>
          <w:rFonts w:eastAsia="Times New Roman"/>
          <w:color w:val="000000"/>
          <w:lang w:val="lt-LT"/>
        </w:rPr>
        <w:t>Miokardo infarktas</w:t>
      </w:r>
      <w:r w:rsidR="00A33F62" w:rsidRPr="00F0447B">
        <w:rPr>
          <w:rFonts w:eastAsia="Times New Roman"/>
          <w:color w:val="000000"/>
          <w:lang w:val="lt-LT"/>
        </w:rPr>
        <w:t>;</w:t>
      </w:r>
    </w:p>
    <w:p w14:paraId="6FA9FBEB" w14:textId="58324E7B" w:rsidR="00317502" w:rsidRPr="00F0447B" w:rsidRDefault="00317502" w:rsidP="00133D2D">
      <w:pPr>
        <w:pStyle w:val="ListParagraph"/>
        <w:tabs>
          <w:tab w:val="left" w:pos="1418"/>
        </w:tabs>
        <w:spacing w:before="120" w:after="120"/>
        <w:jc w:val="both"/>
        <w:rPr>
          <w:rFonts w:eastAsia="Times New Roman"/>
          <w:color w:val="000000"/>
          <w:lang w:val="lt-LT"/>
        </w:rPr>
      </w:pPr>
      <w:r w:rsidRPr="00F0447B">
        <w:rPr>
          <w:rFonts w:eastAsia="Times New Roman"/>
          <w:color w:val="000000"/>
          <w:lang w:val="lt-LT"/>
        </w:rPr>
        <w:t>PO – perkančioji organizacija;</w:t>
      </w:r>
    </w:p>
    <w:p w14:paraId="24693D69" w14:textId="5BA17F6B" w:rsidR="00CB4608" w:rsidRPr="00F0447B" w:rsidRDefault="00CB4608" w:rsidP="00133D2D">
      <w:pPr>
        <w:pStyle w:val="ListParagraph"/>
        <w:tabs>
          <w:tab w:val="left" w:pos="1418"/>
        </w:tabs>
        <w:spacing w:before="120" w:after="120"/>
        <w:jc w:val="both"/>
        <w:rPr>
          <w:rFonts w:eastAsia="Times New Roman"/>
          <w:color w:val="000000"/>
          <w:lang w:val="lt-LT"/>
        </w:rPr>
      </w:pPr>
      <w:r w:rsidRPr="00F0447B">
        <w:rPr>
          <w:rFonts w:eastAsia="Times New Roman"/>
          <w:color w:val="000000"/>
          <w:lang w:val="lt-LT"/>
        </w:rPr>
        <w:t>RŠL</w:t>
      </w:r>
      <w:r w:rsidR="005B531A" w:rsidRPr="00F0447B">
        <w:rPr>
          <w:rFonts w:eastAsia="Times New Roman"/>
          <w:color w:val="000000"/>
          <w:lang w:val="lt-LT"/>
        </w:rPr>
        <w:t xml:space="preserve"> –</w:t>
      </w:r>
      <w:r w:rsidRPr="00F0447B">
        <w:rPr>
          <w:rFonts w:eastAsia="Times New Roman"/>
          <w:color w:val="000000"/>
          <w:lang w:val="lt-LT"/>
        </w:rPr>
        <w:t xml:space="preserve"> Respublikinė Šiaulių ligoninė</w:t>
      </w:r>
      <w:r w:rsidR="00A33F62" w:rsidRPr="00F0447B">
        <w:rPr>
          <w:rFonts w:eastAsia="Times New Roman"/>
          <w:color w:val="000000"/>
          <w:lang w:val="lt-LT"/>
        </w:rPr>
        <w:t>;</w:t>
      </w:r>
    </w:p>
    <w:p w14:paraId="5D4EB8D1" w14:textId="6FD0B328" w:rsidR="004F0F96" w:rsidRPr="00F0447B" w:rsidRDefault="004F0F96" w:rsidP="00133D2D">
      <w:pPr>
        <w:pStyle w:val="ListParagraph"/>
        <w:tabs>
          <w:tab w:val="left" w:pos="1418"/>
        </w:tabs>
        <w:spacing w:before="120" w:after="120"/>
        <w:jc w:val="both"/>
        <w:rPr>
          <w:rFonts w:eastAsia="Times New Roman"/>
          <w:lang w:val="lt-LT"/>
        </w:rPr>
      </w:pPr>
      <w:r w:rsidRPr="00F0447B">
        <w:rPr>
          <w:rFonts w:eastAsia="Times New Roman"/>
          <w:lang w:val="lt-LT"/>
        </w:rPr>
        <w:t xml:space="preserve">VULSK </w:t>
      </w:r>
      <w:r w:rsidR="005B531A" w:rsidRPr="00F0447B">
        <w:rPr>
          <w:rFonts w:eastAsia="Times New Roman"/>
          <w:color w:val="000000"/>
          <w:lang w:val="lt-LT"/>
        </w:rPr>
        <w:t>–</w:t>
      </w:r>
      <w:r w:rsidRPr="00F0447B">
        <w:rPr>
          <w:rFonts w:eastAsia="Times New Roman"/>
          <w:lang w:val="lt-LT"/>
        </w:rPr>
        <w:t xml:space="preserve"> Vilniaus universiteto ligoninė Santaros klinikos;</w:t>
      </w:r>
    </w:p>
    <w:p w14:paraId="31534BD9" w14:textId="77777777" w:rsidR="004F0F96" w:rsidRPr="00F0447B" w:rsidRDefault="004F0F96" w:rsidP="004F0F96">
      <w:pPr>
        <w:tabs>
          <w:tab w:val="left" w:pos="1276"/>
          <w:tab w:val="left" w:pos="2268"/>
          <w:tab w:val="left" w:pos="2410"/>
        </w:tabs>
        <w:spacing w:before="120" w:after="120"/>
        <w:ind w:left="851"/>
        <w:jc w:val="both"/>
        <w:rPr>
          <w:rFonts w:eastAsia="Times New Roman"/>
          <w:color w:val="000000"/>
          <w:lang w:val="lt-LT"/>
        </w:rPr>
      </w:pPr>
    </w:p>
    <w:p w14:paraId="0D8F75FA" w14:textId="5D476C7F" w:rsidR="008A716D" w:rsidRPr="00F0447B" w:rsidRDefault="001C4446">
      <w:pPr>
        <w:pStyle w:val="Body2"/>
        <w:jc w:val="center"/>
        <w:rPr>
          <w:rFonts w:cs="Times New Roman"/>
          <w:b/>
          <w:sz w:val="24"/>
          <w:szCs w:val="24"/>
          <w:lang w:val="lt-LT"/>
        </w:rPr>
      </w:pPr>
      <w:r w:rsidRPr="00F0447B">
        <w:rPr>
          <w:rFonts w:cs="Times New Roman"/>
          <w:b/>
          <w:sz w:val="24"/>
          <w:szCs w:val="24"/>
          <w:lang w:val="lt-LT"/>
        </w:rPr>
        <w:t>II. KVALIFIKACINIAI REIKALAVIMAI</w:t>
      </w:r>
    </w:p>
    <w:p w14:paraId="181A3967" w14:textId="77777777" w:rsidR="004A6065" w:rsidRPr="00F0447B" w:rsidRDefault="004A6065">
      <w:pPr>
        <w:pStyle w:val="Body2"/>
        <w:jc w:val="center"/>
        <w:rPr>
          <w:rFonts w:cs="Times New Roman"/>
          <w:sz w:val="24"/>
          <w:szCs w:val="24"/>
          <w:lang w:val="lt-LT"/>
        </w:rPr>
      </w:pPr>
    </w:p>
    <w:p w14:paraId="70F26CB8" w14:textId="23726BFA" w:rsidR="00F0447B" w:rsidRPr="00F0447B" w:rsidRDefault="00F0447B" w:rsidP="00F0447B">
      <w:pPr>
        <w:pStyle w:val="Body2"/>
        <w:numPr>
          <w:ilvl w:val="0"/>
          <w:numId w:val="7"/>
        </w:numPr>
        <w:rPr>
          <w:rFonts w:cs="Times New Roman"/>
          <w:color w:val="auto"/>
          <w:sz w:val="24"/>
          <w:szCs w:val="24"/>
          <w:lang w:val="lt-LT"/>
        </w:rPr>
      </w:pPr>
      <w:r w:rsidRPr="00F0447B">
        <w:rPr>
          <w:rFonts w:cs="Times New Roman"/>
          <w:color w:val="000000" w:themeColor="text1"/>
          <w:sz w:val="24"/>
          <w:szCs w:val="24"/>
          <w:lang w:val="lt-LT"/>
        </w:rPr>
        <w:t>Tiekėjas, dalyvaujantis pirkime, turi atitikti kvalifikacinius reikalavimus ir, jeigu taikytina, laikytis kokybės vadybos sistemos ir (arba) aplinkos apsaugos vadybos sistemos standartų, taip pat turi atitikti reikalavimus, susijusius su nacionaliniu saugumu</w:t>
      </w:r>
      <w:r w:rsidRPr="00F0447B">
        <w:rPr>
          <w:rFonts w:cs="Times New Roman"/>
          <w:color w:val="auto"/>
          <w:sz w:val="24"/>
          <w:szCs w:val="24"/>
          <w:lang w:val="lt-LT"/>
        </w:rPr>
        <w:t xml:space="preserve"> (SPS 11 punkto 1, 2 lentelės).</w:t>
      </w:r>
    </w:p>
    <w:p w14:paraId="35CB29A6" w14:textId="77777777" w:rsidR="000562F3" w:rsidRPr="00F0447B" w:rsidRDefault="000562F3" w:rsidP="00D6647B">
      <w:pPr>
        <w:tabs>
          <w:tab w:val="left" w:pos="540"/>
          <w:tab w:val="left" w:pos="9180"/>
        </w:tabs>
        <w:overflowPunct w:val="0"/>
        <w:autoSpaceDE w:val="0"/>
        <w:autoSpaceDN w:val="0"/>
        <w:adjustRightInd w:val="0"/>
        <w:jc w:val="center"/>
        <w:rPr>
          <w:b/>
          <w:sz w:val="22"/>
          <w:szCs w:val="22"/>
          <w:lang w:val="lt-LT"/>
        </w:rPr>
      </w:pPr>
    </w:p>
    <w:p w14:paraId="1CDC3615" w14:textId="4E099986" w:rsidR="00D6647B" w:rsidRPr="00F0447B" w:rsidRDefault="00D6647B" w:rsidP="00D6647B">
      <w:pPr>
        <w:tabs>
          <w:tab w:val="left" w:pos="540"/>
          <w:tab w:val="left" w:pos="9180"/>
        </w:tabs>
        <w:overflowPunct w:val="0"/>
        <w:autoSpaceDE w:val="0"/>
        <w:autoSpaceDN w:val="0"/>
        <w:adjustRightInd w:val="0"/>
        <w:jc w:val="center"/>
        <w:rPr>
          <w:b/>
          <w:sz w:val="22"/>
          <w:szCs w:val="22"/>
          <w:lang w:val="lt-LT"/>
        </w:rPr>
      </w:pPr>
      <w:r w:rsidRPr="00F0447B">
        <w:rPr>
          <w:b/>
          <w:sz w:val="22"/>
          <w:szCs w:val="22"/>
          <w:lang w:val="lt-LT"/>
        </w:rPr>
        <w:t>III. SPECIALISTŲ KEITIMO PAGRINDAI IR TVARKA</w:t>
      </w:r>
    </w:p>
    <w:p w14:paraId="294ED689" w14:textId="77777777" w:rsidR="000562F3" w:rsidRPr="00F0447B" w:rsidRDefault="000562F3" w:rsidP="001220A9">
      <w:pPr>
        <w:tabs>
          <w:tab w:val="left" w:pos="540"/>
          <w:tab w:val="left" w:pos="9180"/>
        </w:tabs>
        <w:overflowPunct w:val="0"/>
        <w:autoSpaceDE w:val="0"/>
        <w:autoSpaceDN w:val="0"/>
        <w:adjustRightInd w:val="0"/>
        <w:rPr>
          <w:b/>
          <w:sz w:val="22"/>
          <w:szCs w:val="22"/>
          <w:lang w:val="lt-LT"/>
        </w:rPr>
      </w:pPr>
    </w:p>
    <w:p w14:paraId="47138C89" w14:textId="3338063B" w:rsidR="00D6647B" w:rsidRPr="00F0447B" w:rsidRDefault="00D6647B" w:rsidP="00F0447B">
      <w:pPr>
        <w:pStyle w:val="Normal1"/>
        <w:numPr>
          <w:ilvl w:val="0"/>
          <w:numId w:val="7"/>
        </w:numPr>
        <w:spacing w:line="240" w:lineRule="auto"/>
      </w:pPr>
      <w:r w:rsidRPr="00F0447B">
        <w:t>Paslaugų teikėjas negali keisti nurodytų specialistų dėl kurių buvo susitarta Sutarties sudarymo metu, visam arba iki Sutarties įvykdymo pabaigos likusiam Sutarties vykdymo terminui prieš tai raštu nepranešęs Klientui ir negavęs jo raštiško sutikimo. Keičiamas specialistas turi turėti ne žemesnę, nei nurodyta Konkurso dokumentuose, kvalifikaciją.</w:t>
      </w:r>
    </w:p>
    <w:p w14:paraId="5403337E" w14:textId="0753DC47" w:rsidR="00D6647B" w:rsidRPr="00F0447B" w:rsidRDefault="00D6647B" w:rsidP="00F0447B">
      <w:pPr>
        <w:pStyle w:val="Normal1"/>
        <w:numPr>
          <w:ilvl w:val="0"/>
          <w:numId w:val="7"/>
        </w:numPr>
        <w:spacing w:line="240" w:lineRule="auto"/>
      </w:pPr>
      <w:r w:rsidRPr="00F0447B">
        <w:t>Klientas Sutarties vykdymo metu gali inicijuoti Paslaugų teikėjo specialisto keitimą, nurodydamas tokio keitimo motyvus.</w:t>
      </w:r>
    </w:p>
    <w:p w14:paraId="11F1A7A4" w14:textId="2713112B" w:rsidR="00507941" w:rsidRPr="00F0447B" w:rsidRDefault="000562F3" w:rsidP="00F0447B">
      <w:pPr>
        <w:pStyle w:val="ListParagraph"/>
        <w:numPr>
          <w:ilvl w:val="0"/>
          <w:numId w:val="7"/>
        </w:numPr>
        <w:tabs>
          <w:tab w:val="left" w:pos="540"/>
          <w:tab w:val="left" w:pos="9180"/>
        </w:tabs>
        <w:overflowPunct w:val="0"/>
        <w:autoSpaceDE w:val="0"/>
        <w:autoSpaceDN w:val="0"/>
        <w:adjustRightInd w:val="0"/>
        <w:jc w:val="both"/>
        <w:rPr>
          <w:lang w:val="lt-LT"/>
        </w:rPr>
      </w:pPr>
      <w:r w:rsidRPr="00F0447B">
        <w:rPr>
          <w:lang w:val="lt-LT"/>
        </w:rPr>
        <w:t xml:space="preserve">   </w:t>
      </w:r>
      <w:r w:rsidR="00D6647B" w:rsidRPr="00F0447B">
        <w:rPr>
          <w:lang w:val="lt-LT"/>
        </w:rPr>
        <w:t>Paslaugų teikėjas, siekdamas pakeisti specialistą, turi raštu informuoti Klientą prieš 3 (tris) darbo dienas ir gauti Kliento sutikimą. Klientas kartu su Paslaugų teikėju raštu sudaro susitarimą dėl specialisto pakeitimo, kurį pasirašo Šalys. Šis susitarimas yra neatskiriama Sutarties dalis.</w:t>
      </w:r>
    </w:p>
    <w:p w14:paraId="21865EE9" w14:textId="3AF3E4A4" w:rsidR="00507941" w:rsidRPr="00F0447B" w:rsidRDefault="00507941" w:rsidP="00507941">
      <w:pPr>
        <w:pStyle w:val="ListParagraph"/>
        <w:tabs>
          <w:tab w:val="left" w:pos="540"/>
          <w:tab w:val="left" w:pos="9180"/>
        </w:tabs>
        <w:overflowPunct w:val="0"/>
        <w:autoSpaceDE w:val="0"/>
        <w:autoSpaceDN w:val="0"/>
        <w:adjustRightInd w:val="0"/>
        <w:jc w:val="both"/>
        <w:rPr>
          <w:lang w:val="lt-LT"/>
        </w:rPr>
      </w:pPr>
    </w:p>
    <w:p w14:paraId="399732CF" w14:textId="7884F0C2" w:rsidR="00507941" w:rsidRPr="00F0447B" w:rsidRDefault="00507941" w:rsidP="00507941">
      <w:pPr>
        <w:pStyle w:val="ListParagraph"/>
        <w:tabs>
          <w:tab w:val="left" w:pos="540"/>
          <w:tab w:val="left" w:pos="9180"/>
        </w:tabs>
        <w:overflowPunct w:val="0"/>
        <w:autoSpaceDE w:val="0"/>
        <w:autoSpaceDN w:val="0"/>
        <w:adjustRightInd w:val="0"/>
        <w:jc w:val="both"/>
        <w:rPr>
          <w:lang w:val="lt-LT"/>
        </w:rPr>
      </w:pPr>
    </w:p>
    <w:p w14:paraId="1F154035" w14:textId="443B09C4" w:rsidR="00507941" w:rsidRPr="00F0447B" w:rsidRDefault="00507941" w:rsidP="00507941">
      <w:pPr>
        <w:pStyle w:val="ListParagraph"/>
        <w:tabs>
          <w:tab w:val="left" w:pos="540"/>
          <w:tab w:val="left" w:pos="9180"/>
        </w:tabs>
        <w:overflowPunct w:val="0"/>
        <w:autoSpaceDE w:val="0"/>
        <w:autoSpaceDN w:val="0"/>
        <w:adjustRightInd w:val="0"/>
        <w:jc w:val="center"/>
        <w:rPr>
          <w:b/>
          <w:lang w:val="lt-LT"/>
        </w:rPr>
      </w:pPr>
      <w:r w:rsidRPr="00F0447B">
        <w:rPr>
          <w:b/>
          <w:lang w:val="lt-LT"/>
        </w:rPr>
        <w:t>IV. NACIONALINIO SAUGUMO NUOSTATOS</w:t>
      </w:r>
    </w:p>
    <w:p w14:paraId="27F26BC3" w14:textId="1A1CDD3A" w:rsidR="00507941" w:rsidRPr="00F0447B" w:rsidRDefault="00507941" w:rsidP="00507941">
      <w:pPr>
        <w:pStyle w:val="ListParagraph"/>
        <w:tabs>
          <w:tab w:val="left" w:pos="540"/>
          <w:tab w:val="left" w:pos="9180"/>
        </w:tabs>
        <w:overflowPunct w:val="0"/>
        <w:autoSpaceDE w:val="0"/>
        <w:autoSpaceDN w:val="0"/>
        <w:adjustRightInd w:val="0"/>
        <w:jc w:val="center"/>
        <w:rPr>
          <w:b/>
          <w:lang w:val="lt-LT"/>
        </w:rPr>
      </w:pPr>
    </w:p>
    <w:p w14:paraId="3C4D10BE" w14:textId="0E618099" w:rsidR="003B47E7" w:rsidRPr="00F0447B" w:rsidRDefault="00507941" w:rsidP="00F0447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lt-LT"/>
        </w:rPr>
      </w:pPr>
      <w:bookmarkStart w:id="0" w:name="_Hlk206417254"/>
      <w:r w:rsidRPr="00F0447B">
        <w:rPr>
          <w:lang w:val="lt-LT"/>
        </w:rPr>
        <w:t xml:space="preserve">Tiekėjo siūlomos paslaugos neturi kelti grėsmės nacionaliniam saugumui – vadovaujantis Lietuvos Respublikos viešųjų pirkimų įstatymo (toliau – VPĮ) 37 straipsnio 9 dalies 2 punktu, </w:t>
      </w:r>
      <w:r w:rsidRPr="00F0447B">
        <w:rPr>
          <w:color w:val="000000"/>
          <w:shd w:val="clear" w:color="auto" w:fill="FFFFFF"/>
          <w:lang w:val="lt-LT"/>
        </w:rPr>
        <w:t xml:space="preserve">paslaugų teikimas </w:t>
      </w:r>
      <w:r w:rsidR="000C4626">
        <w:rPr>
          <w:color w:val="000000"/>
          <w:shd w:val="clear" w:color="auto" w:fill="FFFFFF"/>
          <w:lang w:val="lt-LT"/>
        </w:rPr>
        <w:t xml:space="preserve">negali būti </w:t>
      </w:r>
      <w:r w:rsidRPr="00F0447B">
        <w:rPr>
          <w:color w:val="000000"/>
          <w:shd w:val="clear" w:color="auto" w:fill="FFFFFF"/>
          <w:lang w:val="lt-LT"/>
        </w:rPr>
        <w:t>vykdomas iš šio įstatymo 92 straipsnio 14 dalyje numatytame sąraše nurodytų valstybių ar teritorijų.</w:t>
      </w:r>
      <w:r w:rsidRPr="00F0447B">
        <w:rPr>
          <w:lang w:val="lt-LT"/>
        </w:rPr>
        <w:t xml:space="preserve"> Atitikimas šio punkto reikalavimui tikrinamas pagal VPĮ 39 straipsnio 3 dalį</w:t>
      </w:r>
      <w:bookmarkEnd w:id="0"/>
      <w:r w:rsidR="000C4626">
        <w:rPr>
          <w:lang w:val="lt-LT"/>
        </w:rPr>
        <w:t xml:space="preserve"> (SPS 11 punkto 1 lentelės 2 punktas). </w:t>
      </w:r>
    </w:p>
    <w:p w14:paraId="0B64CA95" w14:textId="77777777" w:rsidR="003B47E7" w:rsidRPr="00F0447B" w:rsidRDefault="003B47E7" w:rsidP="003B47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p w14:paraId="4EB7E539" w14:textId="224A088A" w:rsidR="00981124" w:rsidRDefault="00D6647B" w:rsidP="001220A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b/>
          <w:lang w:val="lt-LT"/>
        </w:rPr>
      </w:pPr>
      <w:r w:rsidRPr="00F0447B">
        <w:rPr>
          <w:b/>
          <w:lang w:val="lt-LT"/>
        </w:rPr>
        <w:t>V</w:t>
      </w:r>
      <w:r w:rsidR="009B6342" w:rsidRPr="00F0447B">
        <w:rPr>
          <w:b/>
          <w:lang w:val="lt-LT"/>
        </w:rPr>
        <w:t xml:space="preserve">. </w:t>
      </w:r>
      <w:r w:rsidR="00981124" w:rsidRPr="00F0447B">
        <w:rPr>
          <w:b/>
          <w:lang w:val="lt-LT"/>
        </w:rPr>
        <w:t>PIRKIMO OBJEKTAS</w:t>
      </w:r>
      <w:r w:rsidR="009B6342" w:rsidRPr="00F0447B">
        <w:rPr>
          <w:b/>
          <w:lang w:val="lt-LT"/>
        </w:rPr>
        <w:t>, TEIKIMO SĄLYGOS IR TVARKA</w:t>
      </w:r>
    </w:p>
    <w:p w14:paraId="7A05910F" w14:textId="77777777" w:rsidR="001220A9" w:rsidRPr="001220A9" w:rsidRDefault="001220A9" w:rsidP="001220A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b/>
          <w:lang w:val="lt-LT"/>
        </w:rPr>
      </w:pPr>
    </w:p>
    <w:p w14:paraId="53808EAC" w14:textId="26D298C0" w:rsidR="00C1003D" w:rsidRPr="001220A9" w:rsidRDefault="00C1003D" w:rsidP="001220A9">
      <w:pPr>
        <w:pStyle w:val="ListParagraph"/>
        <w:numPr>
          <w:ilvl w:val="0"/>
          <w:numId w:val="7"/>
        </w:numPr>
        <w:jc w:val="both"/>
        <w:rPr>
          <w:vanish/>
          <w:lang w:val="lt-LT" w:eastAsia="lt-LT"/>
        </w:rPr>
      </w:pPr>
      <w:r w:rsidRPr="00F0447B">
        <w:rPr>
          <w:lang w:val="lt-LT" w:eastAsia="lt-LT"/>
        </w:rPr>
        <w:t>Pirkimo objektas – vidiniame tinkle pasiekiamų WEB aplikacijų ir REST API saugumo pažeidžiamumų vertinimas (testavimas), siekiant nustatyti ir įvertinti galimas saugumo spragas bei pateikti rekomendacijas jų šalinimui. Tiekėjas turės vykdyti žemiau įvardintas užduotis, kurios bus atliekamos kiekvienai organizacijai atskirai: VšĮ Vilniaus universiteto Santaros klinikoms (VULSK), Lietuvos sveikatos mokslų universiteto ligoninei Kauno klinikoms (LSMU KK) ir Respublikinės Šiaulių ligoninei (RŠL):</w:t>
      </w:r>
    </w:p>
    <w:p w14:paraId="05EE51AD" w14:textId="6C15E956" w:rsidR="00C1003D" w:rsidRPr="00F0447B" w:rsidRDefault="003B173F" w:rsidP="00C1003D">
      <w:pPr>
        <w:pStyle w:val="ListParagraph"/>
        <w:numPr>
          <w:ilvl w:val="1"/>
          <w:numId w:val="15"/>
        </w:numPr>
        <w:jc w:val="both"/>
        <w:rPr>
          <w:lang w:val="lt-LT" w:eastAsia="lt-LT"/>
        </w:rPr>
      </w:pPr>
      <w:r>
        <w:rPr>
          <w:lang w:val="lt-LT" w:eastAsia="lt-LT"/>
        </w:rPr>
        <w:t xml:space="preserve"> </w:t>
      </w:r>
      <w:r w:rsidR="00C1003D" w:rsidRPr="00F0447B">
        <w:rPr>
          <w:lang w:val="lt-LT" w:eastAsia="lt-LT"/>
        </w:rPr>
        <w:t>Parengti atsparumo įsilaužimams metodiką ir testavimo planą, suderintą su užsakovu.</w:t>
      </w:r>
    </w:p>
    <w:p w14:paraId="22C0109F" w14:textId="77777777" w:rsidR="00C1003D" w:rsidRPr="00F0447B" w:rsidRDefault="00C1003D" w:rsidP="00C1003D">
      <w:pPr>
        <w:pStyle w:val="ListParagraph"/>
        <w:numPr>
          <w:ilvl w:val="1"/>
          <w:numId w:val="15"/>
        </w:numPr>
        <w:jc w:val="both"/>
        <w:rPr>
          <w:lang w:val="lt-LT" w:eastAsia="lt-LT"/>
        </w:rPr>
      </w:pPr>
      <w:r w:rsidRPr="00F0447B">
        <w:rPr>
          <w:lang w:val="lt-LT" w:eastAsia="lt-LT"/>
        </w:rPr>
        <w:t>Atlikti automatizuotą ir rankinį informacinių sistemų atsparumo įsilaužimams testavimą, naudojant specializuotus programinius įrankius ir ekspertinį vertinimą.</w:t>
      </w:r>
    </w:p>
    <w:p w14:paraId="3D4A7522" w14:textId="77777777" w:rsidR="00C1003D" w:rsidRPr="00F0447B" w:rsidRDefault="00C1003D" w:rsidP="00C1003D">
      <w:pPr>
        <w:pStyle w:val="ListParagraph"/>
        <w:numPr>
          <w:ilvl w:val="1"/>
          <w:numId w:val="15"/>
        </w:numPr>
        <w:jc w:val="both"/>
        <w:rPr>
          <w:lang w:val="lt-LT" w:eastAsia="lt-LT"/>
        </w:rPr>
      </w:pPr>
      <w:r w:rsidRPr="00F0447B">
        <w:rPr>
          <w:lang w:val="lt-LT" w:eastAsia="lt-LT"/>
        </w:rPr>
        <w:t xml:space="preserve">Patikrinti dešimt svarbiausių pažeidžiamumų pagal OWASP (ar lygiavertę) metodiką, vadovaujantis „OWASP </w:t>
      </w:r>
      <w:proofErr w:type="spellStart"/>
      <w:r w:rsidRPr="00F0447B">
        <w:rPr>
          <w:lang w:val="lt-LT" w:eastAsia="lt-LT"/>
        </w:rPr>
        <w:t>Testing</w:t>
      </w:r>
      <w:proofErr w:type="spellEnd"/>
      <w:r w:rsidRPr="00F0447B">
        <w:rPr>
          <w:lang w:val="lt-LT" w:eastAsia="lt-LT"/>
        </w:rPr>
        <w:t xml:space="preserve"> </w:t>
      </w:r>
      <w:proofErr w:type="spellStart"/>
      <w:r w:rsidRPr="00F0447B">
        <w:rPr>
          <w:lang w:val="lt-LT" w:eastAsia="lt-LT"/>
        </w:rPr>
        <w:t>Guide</w:t>
      </w:r>
      <w:proofErr w:type="spellEnd"/>
      <w:r w:rsidRPr="00F0447B">
        <w:rPr>
          <w:lang w:val="lt-LT" w:eastAsia="lt-LT"/>
        </w:rPr>
        <w:t>“ (ar lygiaverte metodika).</w:t>
      </w:r>
    </w:p>
    <w:p w14:paraId="6C7C7D3B" w14:textId="77777777" w:rsidR="00C1003D" w:rsidRPr="00F0447B" w:rsidRDefault="00C1003D" w:rsidP="00C1003D">
      <w:pPr>
        <w:pStyle w:val="ListParagraph"/>
        <w:numPr>
          <w:ilvl w:val="1"/>
          <w:numId w:val="15"/>
        </w:numPr>
        <w:jc w:val="both"/>
        <w:rPr>
          <w:lang w:val="lt-LT" w:eastAsia="lt-LT"/>
        </w:rPr>
      </w:pPr>
      <w:r w:rsidRPr="00F0447B">
        <w:rPr>
          <w:lang w:val="lt-LT" w:eastAsia="lt-LT"/>
        </w:rPr>
        <w:t>Identifikuoti saugumo trūkumus taikant kryptingas (tikslines) atakas prieš naujai įdiegtus funkcionalumus.</w:t>
      </w:r>
    </w:p>
    <w:p w14:paraId="7EDD1F24" w14:textId="77777777" w:rsidR="00C1003D" w:rsidRPr="00F0447B" w:rsidRDefault="00C1003D" w:rsidP="00C1003D">
      <w:pPr>
        <w:pStyle w:val="ListParagraph"/>
        <w:numPr>
          <w:ilvl w:val="1"/>
          <w:numId w:val="15"/>
        </w:numPr>
        <w:jc w:val="both"/>
        <w:rPr>
          <w:lang w:val="lt-LT" w:eastAsia="lt-LT"/>
        </w:rPr>
      </w:pPr>
      <w:r w:rsidRPr="00F0447B">
        <w:rPr>
          <w:lang w:val="lt-LT" w:eastAsia="lt-LT"/>
        </w:rPr>
        <w:t>Pateikti rekomendacijas pažeidžiamumų ištaisymui ir rizikų mažinimui.</w:t>
      </w:r>
    </w:p>
    <w:p w14:paraId="040098B3" w14:textId="77777777" w:rsidR="00C1003D" w:rsidRPr="00F0447B" w:rsidRDefault="00C1003D" w:rsidP="00C1003D">
      <w:pPr>
        <w:pStyle w:val="ListParagraph"/>
        <w:numPr>
          <w:ilvl w:val="1"/>
          <w:numId w:val="15"/>
        </w:numPr>
        <w:jc w:val="both"/>
        <w:rPr>
          <w:lang w:val="lt-LT" w:eastAsia="lt-LT"/>
        </w:rPr>
      </w:pPr>
      <w:r w:rsidRPr="00F0447B">
        <w:rPr>
          <w:lang w:val="lt-LT" w:eastAsia="lt-LT"/>
        </w:rPr>
        <w:t>Atlikti WEB aplikacijų testavimą (kiekvienai organizacijai):</w:t>
      </w:r>
    </w:p>
    <w:p w14:paraId="25EEBECE" w14:textId="77777777" w:rsidR="00C1003D" w:rsidRPr="00F0447B" w:rsidRDefault="00C1003D" w:rsidP="00C1003D">
      <w:pPr>
        <w:pStyle w:val="ListParagraph"/>
        <w:numPr>
          <w:ilvl w:val="2"/>
          <w:numId w:val="15"/>
        </w:numPr>
        <w:jc w:val="both"/>
        <w:rPr>
          <w:lang w:val="lt-LT" w:eastAsia="lt-LT"/>
        </w:rPr>
      </w:pPr>
      <w:r w:rsidRPr="00F0447B">
        <w:rPr>
          <w:lang w:val="lt-LT" w:eastAsia="lt-LT"/>
        </w:rPr>
        <w:t>Ištestuoti ne mažiau kaip 1 (vieną) WEB aplikaciją.</w:t>
      </w:r>
    </w:p>
    <w:p w14:paraId="531AAC04" w14:textId="77777777" w:rsidR="00C1003D" w:rsidRPr="00F0447B" w:rsidRDefault="00C1003D" w:rsidP="00C1003D">
      <w:pPr>
        <w:pStyle w:val="ListParagraph"/>
        <w:numPr>
          <w:ilvl w:val="2"/>
          <w:numId w:val="15"/>
        </w:numPr>
        <w:jc w:val="both"/>
        <w:rPr>
          <w:lang w:val="lt-LT" w:eastAsia="lt-LT"/>
        </w:rPr>
      </w:pPr>
      <w:r w:rsidRPr="00F0447B">
        <w:rPr>
          <w:lang w:val="lt-LT" w:eastAsia="lt-LT"/>
        </w:rPr>
        <w:t>Atlikti testus dviem autorizacijos scenarijais: (i) autorizuotas naudotojas; (ii) neautorizuotas naudotojas.</w:t>
      </w:r>
    </w:p>
    <w:p w14:paraId="414604B9" w14:textId="77777777" w:rsidR="00C1003D" w:rsidRPr="00F0447B" w:rsidRDefault="00C1003D" w:rsidP="00C1003D">
      <w:pPr>
        <w:pStyle w:val="ListParagraph"/>
        <w:numPr>
          <w:ilvl w:val="2"/>
          <w:numId w:val="15"/>
        </w:numPr>
        <w:jc w:val="both"/>
        <w:rPr>
          <w:lang w:val="lt-LT" w:eastAsia="lt-LT"/>
        </w:rPr>
      </w:pPr>
      <w:r w:rsidRPr="00F0447B">
        <w:rPr>
          <w:lang w:val="lt-LT" w:eastAsia="lt-LT"/>
        </w:rPr>
        <w:t>Į testų apimtį įtraukti iki 10 dinaminių URL.</w:t>
      </w:r>
    </w:p>
    <w:p w14:paraId="362FFCEF" w14:textId="77777777" w:rsidR="00C1003D" w:rsidRPr="00F0447B" w:rsidRDefault="00C1003D" w:rsidP="00C1003D">
      <w:pPr>
        <w:pStyle w:val="ListParagraph"/>
        <w:numPr>
          <w:ilvl w:val="2"/>
          <w:numId w:val="15"/>
        </w:numPr>
        <w:jc w:val="both"/>
        <w:rPr>
          <w:lang w:val="lt-LT" w:eastAsia="lt-LT"/>
        </w:rPr>
      </w:pPr>
      <w:r w:rsidRPr="00F0447B">
        <w:rPr>
          <w:lang w:val="lt-LT" w:eastAsia="lt-LT"/>
        </w:rPr>
        <w:t>Į testų apimtį įtraukti iki 200 unikalių įvesties parametrų.</w:t>
      </w:r>
    </w:p>
    <w:p w14:paraId="6A071A7D" w14:textId="77777777" w:rsidR="00C1003D" w:rsidRPr="00F0447B" w:rsidRDefault="00C1003D" w:rsidP="00C1003D">
      <w:pPr>
        <w:pStyle w:val="ListParagraph"/>
        <w:numPr>
          <w:ilvl w:val="1"/>
          <w:numId w:val="15"/>
        </w:numPr>
        <w:jc w:val="both"/>
        <w:rPr>
          <w:lang w:val="lt-LT" w:eastAsia="lt-LT"/>
        </w:rPr>
      </w:pPr>
      <w:r w:rsidRPr="00F0447B">
        <w:rPr>
          <w:lang w:val="lt-LT" w:eastAsia="lt-LT"/>
        </w:rPr>
        <w:t>Atlikti REST API testavimą (kiekvienai organizacijai):</w:t>
      </w:r>
    </w:p>
    <w:p w14:paraId="2D901A0F" w14:textId="77777777" w:rsidR="00C1003D" w:rsidRPr="00F0447B" w:rsidRDefault="00C1003D" w:rsidP="00C1003D">
      <w:pPr>
        <w:pStyle w:val="ListParagraph"/>
        <w:numPr>
          <w:ilvl w:val="2"/>
          <w:numId w:val="15"/>
        </w:numPr>
        <w:jc w:val="both"/>
        <w:rPr>
          <w:lang w:val="lt-LT" w:eastAsia="lt-LT"/>
        </w:rPr>
      </w:pPr>
      <w:r w:rsidRPr="00F0447B">
        <w:rPr>
          <w:lang w:val="lt-LT" w:eastAsia="lt-LT"/>
        </w:rPr>
        <w:t>Ištestuoti ne mažiau kaip 1 (vieną) API.</w:t>
      </w:r>
    </w:p>
    <w:p w14:paraId="0C447377" w14:textId="77777777" w:rsidR="00C1003D" w:rsidRPr="00F0447B" w:rsidRDefault="00C1003D" w:rsidP="00C1003D">
      <w:pPr>
        <w:pStyle w:val="ListParagraph"/>
        <w:numPr>
          <w:ilvl w:val="2"/>
          <w:numId w:val="15"/>
        </w:numPr>
        <w:jc w:val="both"/>
        <w:rPr>
          <w:lang w:val="lt-LT" w:eastAsia="lt-LT"/>
        </w:rPr>
      </w:pPr>
      <w:r w:rsidRPr="00F0447B">
        <w:rPr>
          <w:lang w:val="lt-LT" w:eastAsia="lt-LT"/>
        </w:rPr>
        <w:t>Ištestuoti ne mažiau kaip 10 (dešimt) API galinių taškų (</w:t>
      </w:r>
      <w:proofErr w:type="spellStart"/>
      <w:r w:rsidRPr="00F0447B">
        <w:rPr>
          <w:lang w:val="lt-LT" w:eastAsia="lt-LT"/>
        </w:rPr>
        <w:t>endpointų</w:t>
      </w:r>
      <w:proofErr w:type="spellEnd"/>
      <w:r w:rsidRPr="00F0447B">
        <w:rPr>
          <w:lang w:val="lt-LT" w:eastAsia="lt-LT"/>
        </w:rPr>
        <w:t>).</w:t>
      </w:r>
    </w:p>
    <w:p w14:paraId="390E50AE" w14:textId="77777777" w:rsidR="00C1003D" w:rsidRPr="00F0447B" w:rsidRDefault="00C1003D" w:rsidP="00C1003D">
      <w:pPr>
        <w:pStyle w:val="ListParagraph"/>
        <w:numPr>
          <w:ilvl w:val="2"/>
          <w:numId w:val="15"/>
        </w:numPr>
        <w:jc w:val="both"/>
        <w:rPr>
          <w:lang w:val="lt-LT" w:eastAsia="lt-LT"/>
        </w:rPr>
      </w:pPr>
      <w:r w:rsidRPr="00F0447B">
        <w:rPr>
          <w:lang w:val="lt-LT" w:eastAsia="lt-LT"/>
        </w:rPr>
        <w:t>Testuoti eilinio neprivilegijuoto naudotojo teisėmis.</w:t>
      </w:r>
    </w:p>
    <w:p w14:paraId="753A02BE" w14:textId="77777777" w:rsidR="00C1003D" w:rsidRPr="00F0447B" w:rsidRDefault="00C1003D" w:rsidP="00C1003D">
      <w:pPr>
        <w:pStyle w:val="ListParagraph"/>
        <w:numPr>
          <w:ilvl w:val="1"/>
          <w:numId w:val="15"/>
        </w:numPr>
        <w:jc w:val="both"/>
        <w:rPr>
          <w:lang w:val="lt-LT" w:eastAsia="lt-LT"/>
        </w:rPr>
      </w:pPr>
      <w:r w:rsidRPr="00F0447B">
        <w:rPr>
          <w:lang w:val="lt-LT" w:eastAsia="lt-LT"/>
        </w:rPr>
        <w:t>Atlikti tinklo testavimą (kiekvienai organizacijai):</w:t>
      </w:r>
    </w:p>
    <w:p w14:paraId="4D882391" w14:textId="77777777" w:rsidR="00C1003D" w:rsidRPr="00F0447B" w:rsidRDefault="00C1003D" w:rsidP="00C1003D">
      <w:pPr>
        <w:pStyle w:val="ListParagraph"/>
        <w:numPr>
          <w:ilvl w:val="2"/>
          <w:numId w:val="15"/>
        </w:numPr>
        <w:jc w:val="both"/>
        <w:rPr>
          <w:lang w:val="lt-LT" w:eastAsia="lt-LT"/>
        </w:rPr>
      </w:pPr>
      <w:r w:rsidRPr="00F0447B">
        <w:rPr>
          <w:lang w:val="lt-LT" w:eastAsia="lt-LT"/>
        </w:rPr>
        <w:t>Ištestuoti ne mažiau kaip 5 (penkis) IP potinklius vidiniame tinkle.</w:t>
      </w:r>
    </w:p>
    <w:p w14:paraId="7AC944EB" w14:textId="77777777" w:rsidR="00C1003D" w:rsidRPr="00F0447B" w:rsidRDefault="00C1003D" w:rsidP="00C1003D">
      <w:pPr>
        <w:pStyle w:val="ListParagraph"/>
        <w:numPr>
          <w:ilvl w:val="1"/>
          <w:numId w:val="15"/>
        </w:numPr>
        <w:jc w:val="both"/>
        <w:rPr>
          <w:lang w:val="lt-LT" w:eastAsia="lt-LT"/>
        </w:rPr>
      </w:pPr>
      <w:bookmarkStart w:id="1" w:name="_Hlk208391082"/>
      <w:r w:rsidRPr="00F0447B">
        <w:rPr>
          <w:lang w:val="lt-LT" w:eastAsia="lt-LT"/>
        </w:rPr>
        <w:t>Pateikti ataskaitas kiekvienai iš trijų organizacijų atskirai (VULSK, LSMU KK, RŠL), įtraukiant tik joms aktualius pažeidžiamumus ir rezultatus:</w:t>
      </w:r>
    </w:p>
    <w:p w14:paraId="1665E402" w14:textId="77777777" w:rsidR="00C1003D" w:rsidRPr="00F0447B" w:rsidRDefault="00C1003D" w:rsidP="00C1003D">
      <w:pPr>
        <w:pStyle w:val="ListParagraph"/>
        <w:numPr>
          <w:ilvl w:val="2"/>
          <w:numId w:val="15"/>
        </w:numPr>
        <w:jc w:val="both"/>
        <w:rPr>
          <w:lang w:val="lt-LT" w:eastAsia="lt-LT"/>
        </w:rPr>
      </w:pPr>
      <w:r w:rsidRPr="00F0447B">
        <w:rPr>
          <w:lang w:val="lt-LT" w:eastAsia="lt-LT"/>
        </w:rPr>
        <w:t>Tikrintų objektų aprašymą (nurodant, kokie testavimai atlikti).</w:t>
      </w:r>
    </w:p>
    <w:p w14:paraId="5DE8E549" w14:textId="77777777" w:rsidR="00C1003D" w:rsidRPr="00F0447B" w:rsidRDefault="00C1003D" w:rsidP="00C1003D">
      <w:pPr>
        <w:pStyle w:val="ListParagraph"/>
        <w:numPr>
          <w:ilvl w:val="2"/>
          <w:numId w:val="15"/>
        </w:numPr>
        <w:jc w:val="both"/>
        <w:rPr>
          <w:lang w:val="lt-LT" w:eastAsia="lt-LT"/>
        </w:rPr>
      </w:pPr>
      <w:r w:rsidRPr="00F0447B">
        <w:rPr>
          <w:lang w:val="lt-LT" w:eastAsia="lt-LT"/>
        </w:rPr>
        <w:t>Patikrinimo tikslus, eigą, taikytus metodus ir identifikuotas problemas.</w:t>
      </w:r>
    </w:p>
    <w:p w14:paraId="4AB10313" w14:textId="77777777" w:rsidR="00C1003D" w:rsidRPr="00F0447B" w:rsidRDefault="00C1003D" w:rsidP="00C1003D">
      <w:pPr>
        <w:pStyle w:val="ListParagraph"/>
        <w:numPr>
          <w:ilvl w:val="2"/>
          <w:numId w:val="15"/>
        </w:numPr>
        <w:jc w:val="both"/>
        <w:rPr>
          <w:lang w:val="lt-LT" w:eastAsia="lt-LT"/>
        </w:rPr>
      </w:pPr>
      <w:r w:rsidRPr="00F0447B">
        <w:rPr>
          <w:lang w:val="lt-LT" w:eastAsia="lt-LT"/>
        </w:rPr>
        <w:t>Rezultatus, įskaitant:</w:t>
      </w:r>
    </w:p>
    <w:p w14:paraId="03CFDCC7" w14:textId="77777777" w:rsidR="00C1003D" w:rsidRPr="00F0447B" w:rsidRDefault="00C1003D" w:rsidP="00C1003D">
      <w:pPr>
        <w:pStyle w:val="ListParagraph"/>
        <w:numPr>
          <w:ilvl w:val="3"/>
          <w:numId w:val="15"/>
        </w:numPr>
        <w:ind w:hanging="735"/>
        <w:jc w:val="both"/>
        <w:rPr>
          <w:lang w:val="lt-LT" w:eastAsia="lt-LT"/>
        </w:rPr>
      </w:pPr>
      <w:r w:rsidRPr="00F0447B">
        <w:rPr>
          <w:lang w:val="lt-LT" w:eastAsia="lt-LT"/>
        </w:rPr>
        <w:t>Aptiktų spragų aprašą, įrodymus ir šalinimo rekomendacijas.</w:t>
      </w:r>
    </w:p>
    <w:p w14:paraId="58556ED8" w14:textId="77777777" w:rsidR="00C1003D" w:rsidRPr="00F0447B" w:rsidRDefault="00C1003D" w:rsidP="00C1003D">
      <w:pPr>
        <w:pStyle w:val="ListParagraph"/>
        <w:numPr>
          <w:ilvl w:val="3"/>
          <w:numId w:val="15"/>
        </w:numPr>
        <w:ind w:hanging="735"/>
        <w:jc w:val="both"/>
        <w:rPr>
          <w:lang w:val="lt-LT" w:eastAsia="lt-LT"/>
        </w:rPr>
      </w:pPr>
      <w:r w:rsidRPr="00F0447B">
        <w:rPr>
          <w:lang w:val="lt-LT" w:eastAsia="lt-LT"/>
        </w:rPr>
        <w:t>Įsilaužimo scenarijus – detalią veiksmų seką, kaip išnaudoti konkretų technologinį trūkumą (pateikiama, kai nustatomas technologinis pažeidžiamumas).</w:t>
      </w:r>
    </w:p>
    <w:p w14:paraId="608A4948" w14:textId="77777777" w:rsidR="00C1003D" w:rsidRPr="00F0447B" w:rsidRDefault="00C1003D" w:rsidP="00C1003D">
      <w:pPr>
        <w:pStyle w:val="ListParagraph"/>
        <w:numPr>
          <w:ilvl w:val="3"/>
          <w:numId w:val="15"/>
        </w:numPr>
        <w:ind w:hanging="735"/>
        <w:jc w:val="both"/>
        <w:rPr>
          <w:lang w:val="lt-LT" w:eastAsia="lt-LT"/>
        </w:rPr>
      </w:pPr>
      <w:r w:rsidRPr="00F0447B">
        <w:rPr>
          <w:lang w:val="lt-LT" w:eastAsia="lt-LT"/>
        </w:rPr>
        <w:t>Pasiūlymus, kaip pašalinti pažeidžiamumus.</w:t>
      </w:r>
    </w:p>
    <w:p w14:paraId="342A2FD1" w14:textId="77777777" w:rsidR="00C1003D" w:rsidRPr="00F0447B" w:rsidRDefault="00C1003D" w:rsidP="00C1003D">
      <w:pPr>
        <w:pStyle w:val="ListParagraph"/>
        <w:numPr>
          <w:ilvl w:val="3"/>
          <w:numId w:val="15"/>
        </w:numPr>
        <w:ind w:hanging="735"/>
        <w:jc w:val="both"/>
        <w:rPr>
          <w:lang w:val="lt-LT" w:eastAsia="lt-LT"/>
        </w:rPr>
      </w:pPr>
      <w:r w:rsidRPr="00F0447B">
        <w:rPr>
          <w:lang w:val="lt-LT" w:eastAsia="lt-LT"/>
        </w:rPr>
        <w:t>Kiekvienam pažeidžiamumui priskirtus rizikos įverčius pagal poveikį ir pasireiškimo tikimybę (žema, vidutinė, aukšta, kritinė) ir metodiką, pagal kurią įverčiai priskiriami.</w:t>
      </w:r>
    </w:p>
    <w:p w14:paraId="5179248A" w14:textId="77777777" w:rsidR="00C1003D" w:rsidRPr="00F0447B" w:rsidRDefault="00C1003D" w:rsidP="00C1003D">
      <w:pPr>
        <w:pStyle w:val="ListParagraph"/>
        <w:numPr>
          <w:ilvl w:val="2"/>
          <w:numId w:val="15"/>
        </w:numPr>
        <w:jc w:val="both"/>
        <w:rPr>
          <w:lang w:val="lt-LT" w:eastAsia="lt-LT"/>
        </w:rPr>
      </w:pPr>
      <w:r w:rsidRPr="00F0447B">
        <w:rPr>
          <w:lang w:val="lt-LT" w:eastAsia="lt-LT"/>
        </w:rPr>
        <w:t>Išvadas.</w:t>
      </w:r>
    </w:p>
    <w:bookmarkEnd w:id="1"/>
    <w:p w14:paraId="2F7BA424" w14:textId="77777777" w:rsidR="00C1003D" w:rsidRPr="00F0447B" w:rsidRDefault="00C1003D" w:rsidP="00C1003D">
      <w:pPr>
        <w:pStyle w:val="ListParagraph"/>
        <w:numPr>
          <w:ilvl w:val="1"/>
          <w:numId w:val="15"/>
        </w:numPr>
        <w:ind w:hanging="508"/>
        <w:jc w:val="both"/>
        <w:rPr>
          <w:lang w:val="lt-LT" w:eastAsia="lt-LT"/>
        </w:rPr>
      </w:pPr>
      <w:r w:rsidRPr="00F0447B">
        <w:rPr>
          <w:lang w:val="lt-LT" w:eastAsia="lt-LT"/>
        </w:rPr>
        <w:t>Organizacijoms pašalinus nustatytus pažeidžiamumus, atlikti pakartotinį atsparumo įsilaužimams testavimą ir atnaujinti ataskaitas, nurodant informaciją apie identifikuotų saugos trūkumų pašalinimą.</w:t>
      </w:r>
    </w:p>
    <w:p w14:paraId="3554C309" w14:textId="77777777" w:rsidR="00C1003D" w:rsidRPr="00F0447B" w:rsidRDefault="00C1003D" w:rsidP="00C1003D">
      <w:pPr>
        <w:pStyle w:val="ListParagraph"/>
        <w:numPr>
          <w:ilvl w:val="1"/>
          <w:numId w:val="15"/>
        </w:numPr>
        <w:ind w:hanging="508"/>
        <w:jc w:val="both"/>
        <w:rPr>
          <w:lang w:val="lt-LT" w:eastAsia="lt-LT"/>
        </w:rPr>
      </w:pPr>
      <w:r w:rsidRPr="00F0447B">
        <w:rPr>
          <w:lang w:val="lt-LT" w:eastAsia="lt-LT"/>
        </w:rPr>
        <w:lastRenderedPageBreak/>
        <w:t>Visi darbai turi būti vykdomi kiekvienai organizacijai individualiai, testuojant jų vidiniame tinkle pasiekiamus objektus, o rezultatai ir rekomendacijos – pritaikyti konkrečiai organizacijai.</w:t>
      </w:r>
    </w:p>
    <w:p w14:paraId="0A6CC1F8" w14:textId="6AEC654C" w:rsidR="00981124" w:rsidRPr="00F0447B" w:rsidRDefault="00C1003D" w:rsidP="00F46D17">
      <w:pPr>
        <w:pStyle w:val="ListParagraph"/>
        <w:numPr>
          <w:ilvl w:val="1"/>
          <w:numId w:val="15"/>
        </w:numPr>
        <w:ind w:hanging="508"/>
        <w:jc w:val="both"/>
        <w:rPr>
          <w:lang w:val="lt-LT" w:eastAsia="lt-LT"/>
        </w:rPr>
      </w:pPr>
      <w:r w:rsidRPr="00F0447B">
        <w:rPr>
          <w:lang w:val="lt-LT" w:eastAsia="lt-LT"/>
        </w:rPr>
        <w:t>Tiekėjas privalo užtikrinti, kad testavimo metu nebus pažeistas sistemų veikimo tęstinumas ir duomenų vientisumas; prieš aktyvius testus turi būti suderinti laiko langai ir kontaktiniai asmenys kiekvienoje organizacijoje.</w:t>
      </w:r>
    </w:p>
    <w:p w14:paraId="7842E7A4" w14:textId="08B75CE8" w:rsidR="00DF083F" w:rsidRPr="00F0447B" w:rsidRDefault="002E63BD" w:rsidP="00F0447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eastAsia="lt-LT"/>
        </w:rPr>
      </w:pPr>
      <w:r w:rsidRPr="00F0447B">
        <w:rPr>
          <w:lang w:val="lt-LT" w:eastAsia="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w:t>
      </w:r>
      <w:r w:rsidR="009314BD" w:rsidRPr="00F0447B">
        <w:rPr>
          <w:lang w:val="lt-LT" w:eastAsia="lt-LT"/>
        </w:rPr>
        <w:t xml:space="preserve"> </w:t>
      </w:r>
      <w:r w:rsidRPr="00F0447B">
        <w:rPr>
          <w:lang w:val="lt-LT" w:eastAsia="lt-LT"/>
        </w:rPr>
        <w:t>ar gamyba, sertifikatai, standartai turi būti suprantami su žodžiais „arba lygiavertis</w:t>
      </w:r>
      <w:r w:rsidR="00C17840" w:rsidRPr="00F0447B">
        <w:rPr>
          <w:lang w:val="lt-LT" w:eastAsia="lt-LT"/>
        </w:rPr>
        <w:t>”.</w:t>
      </w:r>
    </w:p>
    <w:p w14:paraId="02362C3E" w14:textId="7383E6CD" w:rsidR="00523B25" w:rsidRDefault="00EC2CB9" w:rsidP="00F0447B">
      <w:pPr>
        <w:pStyle w:val="ListParagraph"/>
        <w:numPr>
          <w:ilvl w:val="0"/>
          <w:numId w:val="7"/>
        </w:numPr>
        <w:jc w:val="both"/>
        <w:rPr>
          <w:color w:val="000000"/>
          <w:shd w:val="clear" w:color="auto" w:fill="FFFFFF"/>
          <w:lang w:val="lt-LT"/>
        </w:rPr>
      </w:pPr>
      <w:r w:rsidRPr="00F0447B">
        <w:rPr>
          <w:color w:val="000000"/>
          <w:shd w:val="clear" w:color="auto" w:fill="FFFFFF"/>
          <w:lang w:val="lt-LT"/>
        </w:rPr>
        <w:t>Atsparumo įsilaužimo testavimo paslaugos</w:t>
      </w:r>
      <w:r w:rsidR="00A21FFD" w:rsidRPr="00F0447B">
        <w:rPr>
          <w:color w:val="000000"/>
          <w:shd w:val="clear" w:color="auto" w:fill="FFFFFF"/>
          <w:lang w:val="lt-LT"/>
        </w:rPr>
        <w:t xml:space="preserve">, įskaitant ataskaitų parengimą, </w:t>
      </w:r>
      <w:r w:rsidRPr="00F0447B">
        <w:rPr>
          <w:color w:val="000000"/>
          <w:shd w:val="clear" w:color="auto" w:fill="FFFFFF"/>
          <w:lang w:val="lt-LT"/>
        </w:rPr>
        <w:t xml:space="preserve"> turi būti suteiktos iki Projekto veiklų</w:t>
      </w:r>
      <w:r w:rsidR="00A21FFD" w:rsidRPr="00F0447B">
        <w:rPr>
          <w:color w:val="000000"/>
          <w:shd w:val="clear" w:color="auto" w:fill="FFFFFF"/>
          <w:lang w:val="lt-LT"/>
        </w:rPr>
        <w:t xml:space="preserve"> </w:t>
      </w:r>
      <w:r w:rsidRPr="00F0447B">
        <w:rPr>
          <w:color w:val="000000"/>
          <w:shd w:val="clear" w:color="auto" w:fill="FFFFFF"/>
          <w:lang w:val="lt-LT"/>
        </w:rPr>
        <w:t>įgyvendinimo pabaigos (2025-12-31)</w:t>
      </w:r>
      <w:r w:rsidR="00523B25" w:rsidRPr="00F0447B">
        <w:rPr>
          <w:color w:val="000000"/>
          <w:shd w:val="clear" w:color="auto" w:fill="FFFFFF"/>
          <w:lang w:val="lt-LT"/>
        </w:rPr>
        <w:t>.</w:t>
      </w:r>
      <w:r w:rsidRPr="00F0447B">
        <w:rPr>
          <w:color w:val="000000"/>
          <w:shd w:val="clear" w:color="auto" w:fill="FFFFFF"/>
          <w:lang w:val="lt-LT"/>
        </w:rPr>
        <w:t xml:space="preserve"> </w:t>
      </w:r>
    </w:p>
    <w:p w14:paraId="4C1D1823" w14:textId="7D941C5E" w:rsidR="00C65A3D" w:rsidRPr="00F0447B" w:rsidRDefault="00C65A3D" w:rsidP="00F0447B">
      <w:pPr>
        <w:pStyle w:val="ListParagraph"/>
        <w:numPr>
          <w:ilvl w:val="0"/>
          <w:numId w:val="7"/>
        </w:numPr>
        <w:jc w:val="both"/>
        <w:rPr>
          <w:color w:val="000000"/>
          <w:shd w:val="clear" w:color="auto" w:fill="FFFFFF"/>
          <w:lang w:val="lt-LT"/>
        </w:rPr>
      </w:pPr>
      <w:r w:rsidRPr="00C65A3D">
        <w:rPr>
          <w:color w:val="000000"/>
          <w:shd w:val="clear" w:color="auto" w:fill="FFFFFF"/>
          <w:lang w:val="lt-LT"/>
        </w:rPr>
        <w:t>Atsparumo įsilaužimo testavimo paslaugos  gali būti teikiamos nuotoliu ir/arba Partnerių patalpose. Į paslaugų kainą turi būti įtrauktos visos kelionių išlaidos lankantis PO ir Partnerių įstaigose, nurodytais adresais: VULSK (Santariškių g. 2, Vilnius), LSMU KK (Eivenių g. 2, Kaunas), RŠL (V. Kudirkos g. 99, Šiauliai), VDA (Gedimino pr. 29, Vilnius).</w:t>
      </w:r>
    </w:p>
    <w:p w14:paraId="67B3B008" w14:textId="36523E5C" w:rsidR="00B47B22" w:rsidRPr="00F0447B" w:rsidRDefault="00C17840" w:rsidP="00F0447B">
      <w:pPr>
        <w:pStyle w:val="ListParagraph"/>
        <w:numPr>
          <w:ilvl w:val="0"/>
          <w:numId w:val="7"/>
        </w:numPr>
        <w:jc w:val="both"/>
        <w:rPr>
          <w:lang w:val="lt-LT"/>
        </w:rPr>
      </w:pPr>
      <w:bookmarkStart w:id="2" w:name="_Hlk208391529"/>
      <w:bookmarkStart w:id="3" w:name="_Hlk208391963"/>
      <w:r w:rsidRPr="00F0447B">
        <w:rPr>
          <w:lang w:val="lt-LT"/>
        </w:rPr>
        <w:t>Tiekėjui</w:t>
      </w:r>
      <w:r w:rsidR="006D168D" w:rsidRPr="00F0447B">
        <w:rPr>
          <w:lang w:val="lt-LT"/>
        </w:rPr>
        <w:t xml:space="preserve">, įvykdžius </w:t>
      </w:r>
      <w:r w:rsidR="005229FC" w:rsidRPr="00F0447B">
        <w:rPr>
          <w:lang w:val="lt-LT"/>
        </w:rPr>
        <w:t>atsparumo įsilaužimo testavimo paslaugas</w:t>
      </w:r>
      <w:r w:rsidR="00133D2D" w:rsidRPr="00F0447B">
        <w:rPr>
          <w:lang w:val="lt-LT"/>
        </w:rPr>
        <w:t xml:space="preserve"> </w:t>
      </w:r>
      <w:r w:rsidR="00CB3C4E" w:rsidRPr="00F0447B">
        <w:rPr>
          <w:lang w:val="lt-LT"/>
        </w:rPr>
        <w:t xml:space="preserve">visose nurodytose ASPĮ, </w:t>
      </w:r>
      <w:r w:rsidR="003B75A6" w:rsidRPr="00F0447B">
        <w:rPr>
          <w:lang w:val="lt-LT"/>
        </w:rPr>
        <w:t>bus pasirašom</w:t>
      </w:r>
      <w:r w:rsidR="008A5699" w:rsidRPr="00F0447B">
        <w:rPr>
          <w:lang w:val="lt-LT"/>
        </w:rPr>
        <w:t>as</w:t>
      </w:r>
      <w:r w:rsidR="003B75A6" w:rsidRPr="00F0447B">
        <w:rPr>
          <w:lang w:val="lt-LT"/>
        </w:rPr>
        <w:t xml:space="preserve"> priėmimo-perdavimo akta</w:t>
      </w:r>
      <w:r w:rsidR="007F481D" w:rsidRPr="00F0447B">
        <w:rPr>
          <w:lang w:val="lt-LT"/>
        </w:rPr>
        <w:t>s</w:t>
      </w:r>
      <w:r w:rsidR="003B75A6" w:rsidRPr="00F0447B">
        <w:rPr>
          <w:lang w:val="lt-LT"/>
        </w:rPr>
        <w:t>.</w:t>
      </w:r>
      <w:r w:rsidR="00523B25" w:rsidRPr="00F0447B">
        <w:rPr>
          <w:lang w:val="lt-LT"/>
        </w:rPr>
        <w:t xml:space="preserve"> </w:t>
      </w:r>
      <w:r w:rsidR="007F481D" w:rsidRPr="00F0447B">
        <w:rPr>
          <w:lang w:val="lt-LT"/>
        </w:rPr>
        <w:t>P</w:t>
      </w:r>
      <w:r w:rsidR="003B75A6" w:rsidRPr="00F0447B">
        <w:rPr>
          <w:lang w:val="lt-LT"/>
        </w:rPr>
        <w:t>askirtas ekspertas</w:t>
      </w:r>
      <w:r w:rsidRPr="00F0447B">
        <w:rPr>
          <w:lang w:val="lt-LT"/>
        </w:rPr>
        <w:t xml:space="preserve"> įvertina atliktų paslaugų kokybę. Jeigu eksperta</w:t>
      </w:r>
      <w:r w:rsidR="007F481D" w:rsidRPr="00F0447B">
        <w:rPr>
          <w:lang w:val="lt-LT"/>
        </w:rPr>
        <w:t>s</w:t>
      </w:r>
      <w:r w:rsidRPr="00F0447B">
        <w:rPr>
          <w:lang w:val="lt-LT"/>
        </w:rPr>
        <w:t xml:space="preserve"> nustato trūkumus, tai pažymima priėmimo- perdavimo akte nurodant ne ilgesnį kaip </w:t>
      </w:r>
      <w:r w:rsidR="006F5120" w:rsidRPr="00F0447B">
        <w:rPr>
          <w:lang w:val="lt-LT"/>
        </w:rPr>
        <w:t>2</w:t>
      </w:r>
      <w:r w:rsidRPr="00F0447B">
        <w:rPr>
          <w:lang w:val="lt-LT"/>
        </w:rPr>
        <w:t xml:space="preserve"> (</w:t>
      </w:r>
      <w:r w:rsidR="006F5120" w:rsidRPr="00F0447B">
        <w:rPr>
          <w:lang w:val="lt-LT"/>
        </w:rPr>
        <w:t>dviejų</w:t>
      </w:r>
      <w:r w:rsidRPr="00F0447B">
        <w:rPr>
          <w:lang w:val="lt-LT"/>
        </w:rPr>
        <w:t xml:space="preserve">) savaičių terminą trūkumams pašalinti. Pašalinus paslaugų perdavimo-priėmimo akte nurodytus neatitikimus ar trūkumus, Šalys pasirašo naują perdavimo – priėmimo aktą (be trūkumų). Jeigu  ekspertas įvertina, kad paslaugų perdavimo-priėmimo akte nurodyti trūkumai nėra pašalinti, PO turi </w:t>
      </w:r>
      <w:r w:rsidR="00E90539" w:rsidRPr="00F0447B">
        <w:rPr>
          <w:lang w:val="lt-LT"/>
        </w:rPr>
        <w:t>teisę</w:t>
      </w:r>
      <w:r w:rsidRPr="00F0447B">
        <w:rPr>
          <w:lang w:val="lt-LT"/>
        </w:rPr>
        <w:t xml:space="preserve"> sutartį su Tiekėju nutraukti viešojo pirkimo sutartyje nustatyta tvarka.</w:t>
      </w:r>
    </w:p>
    <w:p w14:paraId="63F6975A" w14:textId="17D63D8C" w:rsidR="00B47B22" w:rsidRPr="00F0447B" w:rsidRDefault="00C17840" w:rsidP="000562F3">
      <w:pPr>
        <w:ind w:left="720"/>
        <w:jc w:val="both"/>
        <w:rPr>
          <w:lang w:val="lt-LT"/>
        </w:rPr>
      </w:pPr>
      <w:r w:rsidRPr="00F0447B">
        <w:rPr>
          <w:lang w:val="lt-LT"/>
        </w:rPr>
        <w:t>Remiantis Tiekėjo ir PO pasirašyt</w:t>
      </w:r>
      <w:r w:rsidR="007F481D" w:rsidRPr="00F0447B">
        <w:rPr>
          <w:lang w:val="lt-LT"/>
        </w:rPr>
        <w:t>u</w:t>
      </w:r>
      <w:r w:rsidRPr="00F0447B">
        <w:rPr>
          <w:lang w:val="lt-LT"/>
        </w:rPr>
        <w:t xml:space="preserve"> galutini</w:t>
      </w:r>
      <w:r w:rsidR="007F481D" w:rsidRPr="00F0447B">
        <w:rPr>
          <w:lang w:val="lt-LT"/>
        </w:rPr>
        <w:t>u</w:t>
      </w:r>
      <w:r w:rsidRPr="00F0447B">
        <w:rPr>
          <w:lang w:val="lt-LT"/>
        </w:rPr>
        <w:t xml:space="preserve"> perdavimo-priėmimo akt</w:t>
      </w:r>
      <w:r w:rsidR="007F481D" w:rsidRPr="00F0447B">
        <w:rPr>
          <w:lang w:val="lt-LT"/>
        </w:rPr>
        <w:t>u</w:t>
      </w:r>
      <w:r w:rsidRPr="00F0447B">
        <w:rPr>
          <w:lang w:val="lt-LT"/>
        </w:rPr>
        <w:t xml:space="preserve"> (be trūkumų), Tiekėjas PO išrašo sąskaitą-faktūrą už</w:t>
      </w:r>
      <w:r w:rsidR="00215A4C" w:rsidRPr="00F0447B">
        <w:rPr>
          <w:lang w:val="lt-LT"/>
        </w:rPr>
        <w:t xml:space="preserve"> visas faktiškai</w:t>
      </w:r>
      <w:r w:rsidRPr="00F0447B">
        <w:rPr>
          <w:lang w:val="lt-LT"/>
        </w:rPr>
        <w:t xml:space="preserve"> suteiktas paslaugas.</w:t>
      </w:r>
      <w:r w:rsidR="00133D2D" w:rsidRPr="00F0447B">
        <w:rPr>
          <w:lang w:val="lt-LT"/>
        </w:rPr>
        <w:t xml:space="preserve"> Sąskaita -faktūra išrašoma po pakartotino atsparumo įsilaužimo testavimo ir pateikus atnaujintą ataskaitą.</w:t>
      </w:r>
      <w:r w:rsidR="00D02CF1" w:rsidRPr="00F0447B">
        <w:rPr>
          <w:lang w:val="lt-LT"/>
        </w:rPr>
        <w:t xml:space="preserve"> </w:t>
      </w:r>
      <w:r w:rsidR="00CA7410" w:rsidRPr="00F0447B">
        <w:rPr>
          <w:lang w:val="lt-LT"/>
        </w:rPr>
        <w:t xml:space="preserve">Už paslaugas bus apmokama tik pilnai atlikus </w:t>
      </w:r>
      <w:r w:rsidR="00297B87" w:rsidRPr="00F0447B">
        <w:rPr>
          <w:lang w:val="lt-LT"/>
        </w:rPr>
        <w:t xml:space="preserve">visas atsparumo įsilaužimo  testavimo paslaugas </w:t>
      </w:r>
      <w:r w:rsidRPr="00F0447B">
        <w:rPr>
          <w:lang w:val="lt-LT"/>
        </w:rPr>
        <w:t>per 30 darbo dienų nuo sąskaitos – faktūros išrašymo. Jei mokėjimai pagal sutartis visiškai arba iš dalies atliekami iš tarpinių finansuojančių organizacijų gautomis lėšomis, taip pat kitomis objektyviai pagrįstomis aplinkybėmis, atsiskaitymo terminą PO gali pratęsti iki 60 dienų nuo sąskaitos faktūros gavimo dienos</w:t>
      </w:r>
      <w:bookmarkEnd w:id="2"/>
      <w:r w:rsidRPr="00F0447B">
        <w:rPr>
          <w:lang w:val="lt-LT"/>
        </w:rPr>
        <w:t>.</w:t>
      </w:r>
    </w:p>
    <w:bookmarkEnd w:id="3"/>
    <w:p w14:paraId="3B37E208" w14:textId="3848711A" w:rsidR="00C17840" w:rsidRPr="00F0447B" w:rsidRDefault="00C17840" w:rsidP="00F0447B">
      <w:pPr>
        <w:pStyle w:val="ListParagraph"/>
        <w:numPr>
          <w:ilvl w:val="0"/>
          <w:numId w:val="7"/>
        </w:numPr>
        <w:jc w:val="both"/>
        <w:rPr>
          <w:lang w:val="lt-LT"/>
        </w:rPr>
      </w:pPr>
      <w:r w:rsidRPr="00F0447B">
        <w:rPr>
          <w:lang w:val="lt-LT"/>
        </w:rPr>
        <w:t>Atsiradus poreikiui gali būti rengiami PO ir Tiekėjo atstovų susitikimai. Atskiri klausimai, PO</w:t>
      </w:r>
      <w:r w:rsidR="00133D2D" w:rsidRPr="00F0447B">
        <w:rPr>
          <w:lang w:val="lt-LT"/>
        </w:rPr>
        <w:t xml:space="preserve"> </w:t>
      </w:r>
      <w:r w:rsidRPr="00F0447B">
        <w:rPr>
          <w:lang w:val="lt-LT"/>
        </w:rPr>
        <w:t>sutikus, gali būti derinami bendraujant elektroniniu paštu.</w:t>
      </w:r>
    </w:p>
    <w:p w14:paraId="76748B81" w14:textId="77777777" w:rsidR="00D83FC2" w:rsidRPr="00F0447B" w:rsidRDefault="00D83FC2" w:rsidP="00FD11A7">
      <w:pPr>
        <w:jc w:val="center"/>
        <w:rPr>
          <w:b/>
          <w:lang w:val="lt-LT"/>
        </w:rPr>
      </w:pPr>
    </w:p>
    <w:p w14:paraId="212E04FC" w14:textId="79233130" w:rsidR="00C17840" w:rsidRPr="00F0447B" w:rsidRDefault="00C17840" w:rsidP="00FD11A7">
      <w:pPr>
        <w:jc w:val="center"/>
        <w:rPr>
          <w:b/>
          <w:lang w:val="lt-LT"/>
        </w:rPr>
      </w:pPr>
      <w:r w:rsidRPr="00F0447B">
        <w:rPr>
          <w:b/>
          <w:lang w:val="lt-LT"/>
        </w:rPr>
        <w:t>V</w:t>
      </w:r>
      <w:r w:rsidR="00507941" w:rsidRPr="00F0447B">
        <w:rPr>
          <w:b/>
          <w:lang w:val="lt-LT"/>
        </w:rPr>
        <w:t>I</w:t>
      </w:r>
      <w:r w:rsidRPr="00F0447B">
        <w:rPr>
          <w:b/>
          <w:lang w:val="lt-LT"/>
        </w:rPr>
        <w:t>. KITOS SĄLYGOS</w:t>
      </w:r>
    </w:p>
    <w:p w14:paraId="7D81EE04" w14:textId="77777777" w:rsidR="00C17840" w:rsidRPr="00F0447B" w:rsidRDefault="00C17840" w:rsidP="00377231">
      <w:pPr>
        <w:rPr>
          <w:b/>
          <w:lang w:val="lt-LT"/>
        </w:rPr>
      </w:pPr>
    </w:p>
    <w:p w14:paraId="7C9511AD" w14:textId="01F42A7D" w:rsidR="00C17840" w:rsidRPr="00F0447B" w:rsidRDefault="00C17840" w:rsidP="00F0447B">
      <w:pPr>
        <w:pStyle w:val="ListParagraph"/>
        <w:numPr>
          <w:ilvl w:val="0"/>
          <w:numId w:val="7"/>
        </w:numPr>
        <w:jc w:val="both"/>
        <w:rPr>
          <w:b/>
          <w:lang w:val="lt-LT"/>
        </w:rPr>
      </w:pPr>
      <w:r w:rsidRPr="00F0447B">
        <w:rPr>
          <w:lang w:val="lt-LT"/>
        </w:rPr>
        <w:t>Tiekėjas, teikdamas paslaugas privalės užtikrinti, kad visa gauta informacija ir visos autorių ir (ar) bet kurios kitos intelektinės nuosavybės teisės bus saugomos ir nebus viešinamos trečiosioms šalims, nebent tiek, kiek tai yra būtina teikiant paslaugas arba LR teisės aktų numatytais atvejais.</w:t>
      </w:r>
    </w:p>
    <w:p w14:paraId="7DD40E5C" w14:textId="47983C22" w:rsidR="00C17840" w:rsidRPr="00F0447B" w:rsidRDefault="00C17840" w:rsidP="00F0447B">
      <w:pPr>
        <w:pStyle w:val="ListParagraph"/>
        <w:numPr>
          <w:ilvl w:val="0"/>
          <w:numId w:val="7"/>
        </w:numPr>
        <w:jc w:val="both"/>
        <w:rPr>
          <w:b/>
          <w:lang w:val="lt-LT"/>
        </w:rPr>
      </w:pPr>
      <w:r w:rsidRPr="00F0447B">
        <w:rPr>
          <w:lang w:val="lt-LT"/>
        </w:rPr>
        <w:t>PO ir Partnerių komunikacija su Tiekėju vykdoma lietuvių kalba. Tiekėjo visa dokumentacija turi būti parengta lietuvių kalba.</w:t>
      </w:r>
    </w:p>
    <w:p w14:paraId="3665F315" w14:textId="174CA626" w:rsidR="00C17840" w:rsidRPr="00F0447B" w:rsidRDefault="00C17840" w:rsidP="00F0447B">
      <w:pPr>
        <w:pStyle w:val="ListParagraph"/>
        <w:numPr>
          <w:ilvl w:val="0"/>
          <w:numId w:val="7"/>
        </w:numPr>
        <w:jc w:val="both"/>
        <w:rPr>
          <w:b/>
          <w:lang w:val="lt-LT"/>
        </w:rPr>
      </w:pPr>
      <w:r w:rsidRPr="00F0447B">
        <w:rPr>
          <w:lang w:val="lt-LT"/>
        </w:rPr>
        <w:t>Paslaugų teikėjas įsipareigoja teikti tik kokybiškas ir profesionalias paslaugas pagal geriausius visuotinai pripažįstamus profesinius, techninius standartus ir praktiką, panaudodamas visus reikiamus įgūdžius, žinias.</w:t>
      </w:r>
    </w:p>
    <w:p w14:paraId="002B4FFD" w14:textId="1D5E51C1" w:rsidR="00C17840" w:rsidRPr="00F0447B" w:rsidRDefault="00C17840" w:rsidP="00F0447B">
      <w:pPr>
        <w:pStyle w:val="ListParagraph"/>
        <w:numPr>
          <w:ilvl w:val="0"/>
          <w:numId w:val="7"/>
        </w:numPr>
        <w:jc w:val="both"/>
        <w:rPr>
          <w:b/>
          <w:lang w:val="lt-LT"/>
        </w:rPr>
      </w:pPr>
      <w:r w:rsidRPr="00F0447B">
        <w:rPr>
          <w:lang w:val="lt-LT"/>
        </w:rPr>
        <w:t>Tiekėjas yra atsakingas už visų dokumentų, informacijos, kurią, suteikdamas paslaugas, privalės parengti pagal šią techninę specifikaciją, kokybę. Tiekėjas privalo atsižvelgti į dokumentų derinimo metu PO pateikiamas pastabas ir pasiūlymus bei atitinkamai koreguoti derinamus dokumentus.</w:t>
      </w:r>
    </w:p>
    <w:p w14:paraId="4A14BF77" w14:textId="28E191D7" w:rsidR="005B531A" w:rsidRPr="001220A9" w:rsidRDefault="00C17840" w:rsidP="001220A9">
      <w:pPr>
        <w:pStyle w:val="ListParagraph"/>
        <w:numPr>
          <w:ilvl w:val="0"/>
          <w:numId w:val="7"/>
        </w:numPr>
        <w:jc w:val="both"/>
        <w:rPr>
          <w:b/>
          <w:lang w:val="lt-LT"/>
        </w:rPr>
      </w:pPr>
      <w:r w:rsidRPr="00F0447B">
        <w:rPr>
          <w:lang w:val="lt-LT"/>
        </w:rPr>
        <w:t xml:space="preserve">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 (perkamos paslaugos yra nematerialaus pobūdžio intelektinės paslaugos, </w:t>
      </w:r>
      <w:r w:rsidRPr="00F0447B">
        <w:rPr>
          <w:lang w:val="lt-LT"/>
        </w:rPr>
        <w:lastRenderedPageBreak/>
        <w:t>nesusijusios su materialaus objekto sukūrimu, kurių teikimo metu nebus sukurtas neigiamas poveikis aplinkai, taip pat nebus sukuriamas taršos šaltinis ar generuojamos atliekos).</w:t>
      </w:r>
    </w:p>
    <w:sectPr w:rsidR="005B531A" w:rsidRPr="001220A9" w:rsidSect="00C76E4F">
      <w:headerReference w:type="default" r:id="rId11"/>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EAF2" w14:textId="77777777" w:rsidR="00004341" w:rsidRDefault="00004341" w:rsidP="00D6647B">
      <w:r>
        <w:separator/>
      </w:r>
    </w:p>
  </w:endnote>
  <w:endnote w:type="continuationSeparator" w:id="0">
    <w:p w14:paraId="3F8C8DC9" w14:textId="77777777" w:rsidR="00004341" w:rsidRDefault="00004341" w:rsidP="00D6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24D1" w14:textId="77777777" w:rsidR="00004341" w:rsidRDefault="00004341" w:rsidP="00D6647B">
      <w:r>
        <w:separator/>
      </w:r>
    </w:p>
  </w:footnote>
  <w:footnote w:type="continuationSeparator" w:id="0">
    <w:p w14:paraId="00BDDF0F" w14:textId="77777777" w:rsidR="00004341" w:rsidRDefault="00004341" w:rsidP="00D6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19847"/>
      <w:docPartObj>
        <w:docPartGallery w:val="Page Numbers (Top of Page)"/>
        <w:docPartUnique/>
      </w:docPartObj>
    </w:sdtPr>
    <w:sdtContent>
      <w:p w14:paraId="087702AB" w14:textId="38E1E26E" w:rsidR="00C76E4F" w:rsidRDefault="00C76E4F">
        <w:pPr>
          <w:pStyle w:val="Header"/>
          <w:jc w:val="center"/>
        </w:pPr>
        <w:r>
          <w:fldChar w:fldCharType="begin"/>
        </w:r>
        <w:r>
          <w:instrText>PAGE   \* MERGEFORMAT</w:instrText>
        </w:r>
        <w:r>
          <w:fldChar w:fldCharType="separate"/>
        </w:r>
        <w:r>
          <w:rPr>
            <w:lang w:val="lt-LT"/>
          </w:rPr>
          <w:t>2</w:t>
        </w:r>
        <w:r>
          <w:fldChar w:fldCharType="end"/>
        </w:r>
      </w:p>
    </w:sdtContent>
  </w:sdt>
  <w:p w14:paraId="3C836AA0" w14:textId="77777777" w:rsidR="00C76E4F" w:rsidRDefault="00C76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666"/>
    <w:multiLevelType w:val="multilevel"/>
    <w:tmpl w:val="CD0C00D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7.%2.%3."/>
      <w:lvlJc w:val="left"/>
      <w:pPr>
        <w:ind w:left="1224" w:hanging="504"/>
      </w:pPr>
      <w:rPr>
        <w:rFonts w:hint="default"/>
      </w:rPr>
    </w:lvl>
    <w:lvl w:ilvl="3">
      <w:start w:val="1"/>
      <w:numFmt w:val="decimal"/>
      <w:lvlText w:val="7.%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94080F"/>
    <w:multiLevelType w:val="multilevel"/>
    <w:tmpl w:val="B0BCC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46F9F"/>
    <w:multiLevelType w:val="hybridMultilevel"/>
    <w:tmpl w:val="7396B214"/>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932F9F"/>
    <w:multiLevelType w:val="hybridMultilevel"/>
    <w:tmpl w:val="CEDEC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881625"/>
    <w:multiLevelType w:val="hybridMultilevel"/>
    <w:tmpl w:val="6B9229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4604D8"/>
    <w:multiLevelType w:val="hybridMultilevel"/>
    <w:tmpl w:val="E3B4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55206F"/>
    <w:multiLevelType w:val="hybridMultilevel"/>
    <w:tmpl w:val="5EC2AA8E"/>
    <w:lvl w:ilvl="0" w:tplc="985C732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D4567A"/>
    <w:multiLevelType w:val="hybridMultilevel"/>
    <w:tmpl w:val="0F06A8EE"/>
    <w:lvl w:ilvl="0" w:tplc="159C5212">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4F4F5556"/>
    <w:multiLevelType w:val="multilevel"/>
    <w:tmpl w:val="3530BC5C"/>
    <w:lvl w:ilvl="0">
      <w:start w:val="1"/>
      <w:numFmt w:val="decimal"/>
      <w:lvlText w:val="%1."/>
      <w:lvlJc w:val="left"/>
      <w:pPr>
        <w:ind w:left="360" w:hanging="360"/>
      </w:pPr>
      <w:rPr>
        <w:rFonts w:hint="default"/>
      </w:rPr>
    </w:lvl>
    <w:lvl w:ilvl="1">
      <w:start w:val="4"/>
      <w:numFmt w:val="decimal"/>
      <w:isLgl/>
      <w:lvlText w:val="%1.%2"/>
      <w:lvlJc w:val="left"/>
      <w:pPr>
        <w:ind w:left="126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900" w:hanging="1440"/>
      </w:pPr>
      <w:rPr>
        <w:rFonts w:hint="default"/>
      </w:rPr>
    </w:lvl>
    <w:lvl w:ilvl="8">
      <w:start w:val="1"/>
      <w:numFmt w:val="decimal"/>
      <w:isLgl/>
      <w:lvlText w:val="%1.%2.%3.%4.%5.%6.%7.%8.%9"/>
      <w:lvlJc w:val="left"/>
      <w:pPr>
        <w:ind w:left="8040" w:hanging="1800"/>
      </w:pPr>
      <w:rPr>
        <w:rFonts w:hint="default"/>
      </w:rPr>
    </w:lvl>
  </w:abstractNum>
  <w:abstractNum w:abstractNumId="9" w15:restartNumberingAfterBreak="0">
    <w:nsid w:val="5C5C7F5A"/>
    <w:multiLevelType w:val="multilevel"/>
    <w:tmpl w:val="8D1E3C26"/>
    <w:lvl w:ilvl="0">
      <w:start w:val="1"/>
      <w:numFmt w:val="decimal"/>
      <w:pStyle w:val="Pirmasnuostatlygis"/>
      <w:lvlText w:val="%1."/>
      <w:lvlJc w:val="left"/>
      <w:pPr>
        <w:tabs>
          <w:tab w:val="num" w:pos="710"/>
        </w:tabs>
        <w:ind w:left="313"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snuostatlygis"/>
      <w:lvlText w:val="%1.%2."/>
      <w:lvlJc w:val="left"/>
      <w:pPr>
        <w:tabs>
          <w:tab w:val="num" w:pos="5104"/>
        </w:tabs>
        <w:ind w:left="4707" w:firstLine="397"/>
      </w:pPr>
      <w:rPr>
        <w:rFonts w:hint="default"/>
      </w:rPr>
    </w:lvl>
    <w:lvl w:ilvl="2">
      <w:start w:val="1"/>
      <w:numFmt w:val="decimal"/>
      <w:pStyle w:val="Treiasnuostatlygis"/>
      <w:lvlText w:val="%1.%2.%3."/>
      <w:lvlJc w:val="left"/>
      <w:pPr>
        <w:tabs>
          <w:tab w:val="num" w:pos="4112"/>
        </w:tabs>
        <w:ind w:left="3715" w:firstLine="397"/>
      </w:pPr>
      <w:rPr>
        <w:rFonts w:hint="default"/>
      </w:rPr>
    </w:lvl>
    <w:lvl w:ilvl="3">
      <w:start w:val="1"/>
      <w:numFmt w:val="decimal"/>
      <w:pStyle w:val="Ketvirtasnuostatlygis"/>
      <w:lvlText w:val="%1.%2.%3.%4."/>
      <w:lvlJc w:val="left"/>
      <w:pPr>
        <w:tabs>
          <w:tab w:val="num" w:pos="397"/>
        </w:tabs>
        <w:ind w:left="0" w:firstLine="397"/>
      </w:pPr>
      <w:rPr>
        <w:rFonts w:hint="default"/>
      </w:rPr>
    </w:lvl>
    <w:lvl w:ilvl="4">
      <w:start w:val="1"/>
      <w:numFmt w:val="decimal"/>
      <w:pStyle w:val="Penktasnuostatlygis"/>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6306237D"/>
    <w:multiLevelType w:val="hybridMultilevel"/>
    <w:tmpl w:val="7396B214"/>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392E2E"/>
    <w:multiLevelType w:val="hybridMultilevel"/>
    <w:tmpl w:val="C562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70FA5"/>
    <w:multiLevelType w:val="hybridMultilevel"/>
    <w:tmpl w:val="F9E444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734482"/>
    <w:multiLevelType w:val="hybridMultilevel"/>
    <w:tmpl w:val="58D8E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349302">
    <w:abstractNumId w:val="1"/>
  </w:num>
  <w:num w:numId="2" w16cid:durableId="1024747736">
    <w:abstractNumId w:val="5"/>
  </w:num>
  <w:num w:numId="3" w16cid:durableId="783109108">
    <w:abstractNumId w:val="9"/>
  </w:num>
  <w:num w:numId="4" w16cid:durableId="633872880">
    <w:abstractNumId w:val="8"/>
  </w:num>
  <w:num w:numId="5" w16cid:durableId="1564481961">
    <w:abstractNumId w:val="10"/>
  </w:num>
  <w:num w:numId="6" w16cid:durableId="729572607">
    <w:abstractNumId w:val="3"/>
  </w:num>
  <w:num w:numId="7" w16cid:durableId="164368202">
    <w:abstractNumId w:val="6"/>
  </w:num>
  <w:num w:numId="8" w16cid:durableId="1188180217">
    <w:abstractNumId w:val="7"/>
  </w:num>
  <w:num w:numId="9" w16cid:durableId="1432697361">
    <w:abstractNumId w:val="12"/>
  </w:num>
  <w:num w:numId="10" w16cid:durableId="1178349003">
    <w:abstractNumId w:val="4"/>
  </w:num>
  <w:num w:numId="11" w16cid:durableId="1323587680">
    <w:abstractNumId w:val="13"/>
  </w:num>
  <w:num w:numId="12" w16cid:durableId="315425906">
    <w:abstractNumId w:val="11"/>
  </w:num>
  <w:num w:numId="13" w16cid:durableId="1319575300">
    <w:abstractNumId w:val="14"/>
  </w:num>
  <w:num w:numId="14" w16cid:durableId="1105076731">
    <w:abstractNumId w:val="2"/>
  </w:num>
  <w:num w:numId="15" w16cid:durableId="127482117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37"/>
    <w:rsid w:val="00004341"/>
    <w:rsid w:val="00004B34"/>
    <w:rsid w:val="0001313C"/>
    <w:rsid w:val="0002557D"/>
    <w:rsid w:val="00030713"/>
    <w:rsid w:val="00037FA5"/>
    <w:rsid w:val="00055432"/>
    <w:rsid w:val="000562F3"/>
    <w:rsid w:val="00061C27"/>
    <w:rsid w:val="00064137"/>
    <w:rsid w:val="00064192"/>
    <w:rsid w:val="00064557"/>
    <w:rsid w:val="00067914"/>
    <w:rsid w:val="00081DCB"/>
    <w:rsid w:val="00086CB3"/>
    <w:rsid w:val="00086DCB"/>
    <w:rsid w:val="000933AE"/>
    <w:rsid w:val="000B454E"/>
    <w:rsid w:val="000C4626"/>
    <w:rsid w:val="000C7943"/>
    <w:rsid w:val="000C7C85"/>
    <w:rsid w:val="000D1B37"/>
    <w:rsid w:val="000D2F2F"/>
    <w:rsid w:val="000D688E"/>
    <w:rsid w:val="000D6B5F"/>
    <w:rsid w:val="000F4D17"/>
    <w:rsid w:val="00111824"/>
    <w:rsid w:val="001220A9"/>
    <w:rsid w:val="0012469D"/>
    <w:rsid w:val="00124754"/>
    <w:rsid w:val="00133D2D"/>
    <w:rsid w:val="00134936"/>
    <w:rsid w:val="00135AA8"/>
    <w:rsid w:val="001527AB"/>
    <w:rsid w:val="00157EE9"/>
    <w:rsid w:val="001634B5"/>
    <w:rsid w:val="001640AB"/>
    <w:rsid w:val="00172586"/>
    <w:rsid w:val="00173FCE"/>
    <w:rsid w:val="00174FF6"/>
    <w:rsid w:val="001752F1"/>
    <w:rsid w:val="00176CF4"/>
    <w:rsid w:val="00177F10"/>
    <w:rsid w:val="00187577"/>
    <w:rsid w:val="00194954"/>
    <w:rsid w:val="001971F6"/>
    <w:rsid w:val="001A5F05"/>
    <w:rsid w:val="001A60FA"/>
    <w:rsid w:val="001B2736"/>
    <w:rsid w:val="001C4446"/>
    <w:rsid w:val="001E0D0E"/>
    <w:rsid w:val="001E23AB"/>
    <w:rsid w:val="001E467F"/>
    <w:rsid w:val="001E7C1E"/>
    <w:rsid w:val="001F1A43"/>
    <w:rsid w:val="001F2A87"/>
    <w:rsid w:val="001F7419"/>
    <w:rsid w:val="00202389"/>
    <w:rsid w:val="00207036"/>
    <w:rsid w:val="00212278"/>
    <w:rsid w:val="002122CD"/>
    <w:rsid w:val="00215A4C"/>
    <w:rsid w:val="002166F8"/>
    <w:rsid w:val="00227850"/>
    <w:rsid w:val="002336F3"/>
    <w:rsid w:val="002346D5"/>
    <w:rsid w:val="00241E6F"/>
    <w:rsid w:val="00247E2C"/>
    <w:rsid w:val="00250742"/>
    <w:rsid w:val="002535FC"/>
    <w:rsid w:val="0026099D"/>
    <w:rsid w:val="002623FE"/>
    <w:rsid w:val="002758D6"/>
    <w:rsid w:val="00280B07"/>
    <w:rsid w:val="00283DAB"/>
    <w:rsid w:val="00297338"/>
    <w:rsid w:val="00297B87"/>
    <w:rsid w:val="002A48EA"/>
    <w:rsid w:val="002B5C7C"/>
    <w:rsid w:val="002B723F"/>
    <w:rsid w:val="002C2FBB"/>
    <w:rsid w:val="002C6FCD"/>
    <w:rsid w:val="002E0009"/>
    <w:rsid w:val="002E08EC"/>
    <w:rsid w:val="002E63BD"/>
    <w:rsid w:val="002E6B01"/>
    <w:rsid w:val="002F4147"/>
    <w:rsid w:val="002F7A74"/>
    <w:rsid w:val="00317502"/>
    <w:rsid w:val="00321489"/>
    <w:rsid w:val="003236DF"/>
    <w:rsid w:val="00327E02"/>
    <w:rsid w:val="00360960"/>
    <w:rsid w:val="0036523A"/>
    <w:rsid w:val="00377231"/>
    <w:rsid w:val="00380382"/>
    <w:rsid w:val="0038273E"/>
    <w:rsid w:val="003845B2"/>
    <w:rsid w:val="00392F49"/>
    <w:rsid w:val="00392F6A"/>
    <w:rsid w:val="00395FCB"/>
    <w:rsid w:val="003B173F"/>
    <w:rsid w:val="003B47E7"/>
    <w:rsid w:val="003B6777"/>
    <w:rsid w:val="003B75A6"/>
    <w:rsid w:val="003C25B5"/>
    <w:rsid w:val="003D37FB"/>
    <w:rsid w:val="003F0753"/>
    <w:rsid w:val="003F1B34"/>
    <w:rsid w:val="003F3BB8"/>
    <w:rsid w:val="004051C8"/>
    <w:rsid w:val="00406378"/>
    <w:rsid w:val="00413C71"/>
    <w:rsid w:val="004165A2"/>
    <w:rsid w:val="00420F67"/>
    <w:rsid w:val="00427037"/>
    <w:rsid w:val="00430A3F"/>
    <w:rsid w:val="00434D9F"/>
    <w:rsid w:val="004360E9"/>
    <w:rsid w:val="00443F5D"/>
    <w:rsid w:val="0045077A"/>
    <w:rsid w:val="004643B3"/>
    <w:rsid w:val="00464536"/>
    <w:rsid w:val="00476B18"/>
    <w:rsid w:val="00476DCD"/>
    <w:rsid w:val="00493BF6"/>
    <w:rsid w:val="00494B9A"/>
    <w:rsid w:val="004A6065"/>
    <w:rsid w:val="004A70D6"/>
    <w:rsid w:val="004C5D81"/>
    <w:rsid w:val="004E0E6C"/>
    <w:rsid w:val="004E1049"/>
    <w:rsid w:val="004E7550"/>
    <w:rsid w:val="004F0F96"/>
    <w:rsid w:val="004F4F0D"/>
    <w:rsid w:val="004F5E03"/>
    <w:rsid w:val="004F79BC"/>
    <w:rsid w:val="00503DBD"/>
    <w:rsid w:val="005047C8"/>
    <w:rsid w:val="00507941"/>
    <w:rsid w:val="005107C8"/>
    <w:rsid w:val="005108A6"/>
    <w:rsid w:val="005206E9"/>
    <w:rsid w:val="005229FC"/>
    <w:rsid w:val="00523658"/>
    <w:rsid w:val="00523B25"/>
    <w:rsid w:val="00547E18"/>
    <w:rsid w:val="00552DF6"/>
    <w:rsid w:val="00562192"/>
    <w:rsid w:val="005627F3"/>
    <w:rsid w:val="00577409"/>
    <w:rsid w:val="005803A7"/>
    <w:rsid w:val="00587250"/>
    <w:rsid w:val="00593242"/>
    <w:rsid w:val="0059361B"/>
    <w:rsid w:val="005A1C91"/>
    <w:rsid w:val="005A2E93"/>
    <w:rsid w:val="005A7DDE"/>
    <w:rsid w:val="005B1D06"/>
    <w:rsid w:val="005B207E"/>
    <w:rsid w:val="005B43D0"/>
    <w:rsid w:val="005B531A"/>
    <w:rsid w:val="005C5CFE"/>
    <w:rsid w:val="005C6DB6"/>
    <w:rsid w:val="005D1FD6"/>
    <w:rsid w:val="005D4484"/>
    <w:rsid w:val="005E3117"/>
    <w:rsid w:val="005E351A"/>
    <w:rsid w:val="005F4FFC"/>
    <w:rsid w:val="005F789E"/>
    <w:rsid w:val="006010C3"/>
    <w:rsid w:val="00604442"/>
    <w:rsid w:val="00605081"/>
    <w:rsid w:val="00611B65"/>
    <w:rsid w:val="00613AAF"/>
    <w:rsid w:val="00621218"/>
    <w:rsid w:val="00622094"/>
    <w:rsid w:val="00622385"/>
    <w:rsid w:val="00645B6B"/>
    <w:rsid w:val="00654E73"/>
    <w:rsid w:val="00655649"/>
    <w:rsid w:val="00660095"/>
    <w:rsid w:val="0067078F"/>
    <w:rsid w:val="00685037"/>
    <w:rsid w:val="006A04F2"/>
    <w:rsid w:val="006C2BC1"/>
    <w:rsid w:val="006D106D"/>
    <w:rsid w:val="006D168D"/>
    <w:rsid w:val="006D1D29"/>
    <w:rsid w:val="006D4854"/>
    <w:rsid w:val="006F5120"/>
    <w:rsid w:val="006F5BA1"/>
    <w:rsid w:val="00706210"/>
    <w:rsid w:val="00722538"/>
    <w:rsid w:val="00734437"/>
    <w:rsid w:val="00734AB9"/>
    <w:rsid w:val="00735CF2"/>
    <w:rsid w:val="00741767"/>
    <w:rsid w:val="00744619"/>
    <w:rsid w:val="00750378"/>
    <w:rsid w:val="00750ED1"/>
    <w:rsid w:val="007520C2"/>
    <w:rsid w:val="007558E5"/>
    <w:rsid w:val="00756961"/>
    <w:rsid w:val="00756E16"/>
    <w:rsid w:val="0076019F"/>
    <w:rsid w:val="007604DB"/>
    <w:rsid w:val="007626EB"/>
    <w:rsid w:val="007759A1"/>
    <w:rsid w:val="00777D50"/>
    <w:rsid w:val="00783C2A"/>
    <w:rsid w:val="0078711D"/>
    <w:rsid w:val="00791F98"/>
    <w:rsid w:val="007A3DDA"/>
    <w:rsid w:val="007A6D5C"/>
    <w:rsid w:val="007B17F8"/>
    <w:rsid w:val="007B67EA"/>
    <w:rsid w:val="007B73C8"/>
    <w:rsid w:val="007C183E"/>
    <w:rsid w:val="007C67B2"/>
    <w:rsid w:val="007C74F4"/>
    <w:rsid w:val="007E1911"/>
    <w:rsid w:val="007E45A5"/>
    <w:rsid w:val="007F091E"/>
    <w:rsid w:val="007F481D"/>
    <w:rsid w:val="007F519B"/>
    <w:rsid w:val="007F7AD7"/>
    <w:rsid w:val="00802D49"/>
    <w:rsid w:val="00804DD8"/>
    <w:rsid w:val="00805ED2"/>
    <w:rsid w:val="00810110"/>
    <w:rsid w:val="008117CB"/>
    <w:rsid w:val="0081795E"/>
    <w:rsid w:val="00820AE9"/>
    <w:rsid w:val="0082278A"/>
    <w:rsid w:val="008563CE"/>
    <w:rsid w:val="00856CD0"/>
    <w:rsid w:val="008738FE"/>
    <w:rsid w:val="00873E35"/>
    <w:rsid w:val="0087730D"/>
    <w:rsid w:val="00884253"/>
    <w:rsid w:val="00886B39"/>
    <w:rsid w:val="00892BC3"/>
    <w:rsid w:val="0089301A"/>
    <w:rsid w:val="00894F69"/>
    <w:rsid w:val="00895D55"/>
    <w:rsid w:val="008960E1"/>
    <w:rsid w:val="008A0168"/>
    <w:rsid w:val="008A04CA"/>
    <w:rsid w:val="008A11D9"/>
    <w:rsid w:val="008A5699"/>
    <w:rsid w:val="008A716D"/>
    <w:rsid w:val="008A7BE7"/>
    <w:rsid w:val="008B4E6A"/>
    <w:rsid w:val="008C57DC"/>
    <w:rsid w:val="008C6A2D"/>
    <w:rsid w:val="008D0607"/>
    <w:rsid w:val="008D1B2C"/>
    <w:rsid w:val="008D7DE3"/>
    <w:rsid w:val="008E4102"/>
    <w:rsid w:val="008E7543"/>
    <w:rsid w:val="008F77A5"/>
    <w:rsid w:val="00914E0D"/>
    <w:rsid w:val="00916BE0"/>
    <w:rsid w:val="009314BD"/>
    <w:rsid w:val="00950684"/>
    <w:rsid w:val="00954C11"/>
    <w:rsid w:val="00957194"/>
    <w:rsid w:val="00961A4E"/>
    <w:rsid w:val="009675CA"/>
    <w:rsid w:val="009704A7"/>
    <w:rsid w:val="00981124"/>
    <w:rsid w:val="0098114F"/>
    <w:rsid w:val="00990037"/>
    <w:rsid w:val="009963FA"/>
    <w:rsid w:val="00997D12"/>
    <w:rsid w:val="009B389A"/>
    <w:rsid w:val="009B6342"/>
    <w:rsid w:val="009D3ADF"/>
    <w:rsid w:val="009D57F0"/>
    <w:rsid w:val="009E7EB5"/>
    <w:rsid w:val="009E7EE3"/>
    <w:rsid w:val="009F12AE"/>
    <w:rsid w:val="009F310D"/>
    <w:rsid w:val="00A0152B"/>
    <w:rsid w:val="00A0376D"/>
    <w:rsid w:val="00A05DFE"/>
    <w:rsid w:val="00A21FFD"/>
    <w:rsid w:val="00A338DF"/>
    <w:rsid w:val="00A33F62"/>
    <w:rsid w:val="00A36652"/>
    <w:rsid w:val="00A41B7F"/>
    <w:rsid w:val="00A61186"/>
    <w:rsid w:val="00A64439"/>
    <w:rsid w:val="00A7108E"/>
    <w:rsid w:val="00A8779B"/>
    <w:rsid w:val="00A92CB2"/>
    <w:rsid w:val="00A936BD"/>
    <w:rsid w:val="00AA4015"/>
    <w:rsid w:val="00AB6C08"/>
    <w:rsid w:val="00AB7D80"/>
    <w:rsid w:val="00AC0E4E"/>
    <w:rsid w:val="00AE1858"/>
    <w:rsid w:val="00AF7923"/>
    <w:rsid w:val="00B01C23"/>
    <w:rsid w:val="00B01F93"/>
    <w:rsid w:val="00B14FA1"/>
    <w:rsid w:val="00B176E7"/>
    <w:rsid w:val="00B358CA"/>
    <w:rsid w:val="00B35A80"/>
    <w:rsid w:val="00B47B22"/>
    <w:rsid w:val="00B51CE6"/>
    <w:rsid w:val="00B54642"/>
    <w:rsid w:val="00B70E90"/>
    <w:rsid w:val="00B73CC8"/>
    <w:rsid w:val="00B820A9"/>
    <w:rsid w:val="00B87F6F"/>
    <w:rsid w:val="00BA01B3"/>
    <w:rsid w:val="00BA476D"/>
    <w:rsid w:val="00BC5ABC"/>
    <w:rsid w:val="00BC6F4D"/>
    <w:rsid w:val="00BD0FDC"/>
    <w:rsid w:val="00BE4CB1"/>
    <w:rsid w:val="00BF6400"/>
    <w:rsid w:val="00BF7B12"/>
    <w:rsid w:val="00C1003D"/>
    <w:rsid w:val="00C12B69"/>
    <w:rsid w:val="00C14A74"/>
    <w:rsid w:val="00C17840"/>
    <w:rsid w:val="00C23CD1"/>
    <w:rsid w:val="00C2444C"/>
    <w:rsid w:val="00C4111E"/>
    <w:rsid w:val="00C518AA"/>
    <w:rsid w:val="00C57399"/>
    <w:rsid w:val="00C62F4C"/>
    <w:rsid w:val="00C65A3D"/>
    <w:rsid w:val="00C67807"/>
    <w:rsid w:val="00C67A38"/>
    <w:rsid w:val="00C76E4F"/>
    <w:rsid w:val="00C8173D"/>
    <w:rsid w:val="00C87443"/>
    <w:rsid w:val="00C87739"/>
    <w:rsid w:val="00C95008"/>
    <w:rsid w:val="00CA7410"/>
    <w:rsid w:val="00CB2D5A"/>
    <w:rsid w:val="00CB3C4E"/>
    <w:rsid w:val="00CB4608"/>
    <w:rsid w:val="00CB7EC5"/>
    <w:rsid w:val="00CC0CA1"/>
    <w:rsid w:val="00CC6EE7"/>
    <w:rsid w:val="00CE0589"/>
    <w:rsid w:val="00CE2391"/>
    <w:rsid w:val="00CF20C3"/>
    <w:rsid w:val="00CF76D6"/>
    <w:rsid w:val="00D01EC7"/>
    <w:rsid w:val="00D02CF1"/>
    <w:rsid w:val="00D0498D"/>
    <w:rsid w:val="00D15BB2"/>
    <w:rsid w:val="00D2060C"/>
    <w:rsid w:val="00D20757"/>
    <w:rsid w:val="00D2773B"/>
    <w:rsid w:val="00D27A90"/>
    <w:rsid w:val="00D316D2"/>
    <w:rsid w:val="00D3504D"/>
    <w:rsid w:val="00D35B77"/>
    <w:rsid w:val="00D43772"/>
    <w:rsid w:val="00D56D2B"/>
    <w:rsid w:val="00D638B1"/>
    <w:rsid w:val="00D6647B"/>
    <w:rsid w:val="00D83FC2"/>
    <w:rsid w:val="00D91FAB"/>
    <w:rsid w:val="00D95C02"/>
    <w:rsid w:val="00DA6EBD"/>
    <w:rsid w:val="00DC4479"/>
    <w:rsid w:val="00DC6457"/>
    <w:rsid w:val="00DC64EB"/>
    <w:rsid w:val="00DD48FF"/>
    <w:rsid w:val="00DE4713"/>
    <w:rsid w:val="00DE5205"/>
    <w:rsid w:val="00DE5F8D"/>
    <w:rsid w:val="00DF083F"/>
    <w:rsid w:val="00DF3604"/>
    <w:rsid w:val="00DF7A55"/>
    <w:rsid w:val="00E0093B"/>
    <w:rsid w:val="00E11E96"/>
    <w:rsid w:val="00E169A7"/>
    <w:rsid w:val="00E25F30"/>
    <w:rsid w:val="00E339DD"/>
    <w:rsid w:val="00E36CF6"/>
    <w:rsid w:val="00E40910"/>
    <w:rsid w:val="00E44554"/>
    <w:rsid w:val="00E46656"/>
    <w:rsid w:val="00E5695D"/>
    <w:rsid w:val="00E67EB9"/>
    <w:rsid w:val="00E71E37"/>
    <w:rsid w:val="00E73860"/>
    <w:rsid w:val="00E75E8F"/>
    <w:rsid w:val="00E90539"/>
    <w:rsid w:val="00E92F3C"/>
    <w:rsid w:val="00E932AD"/>
    <w:rsid w:val="00E976BC"/>
    <w:rsid w:val="00EB4532"/>
    <w:rsid w:val="00EB73AB"/>
    <w:rsid w:val="00EC2CB9"/>
    <w:rsid w:val="00EC4992"/>
    <w:rsid w:val="00ED070E"/>
    <w:rsid w:val="00ED0E21"/>
    <w:rsid w:val="00ED457C"/>
    <w:rsid w:val="00EE4174"/>
    <w:rsid w:val="00EE5685"/>
    <w:rsid w:val="00EF339C"/>
    <w:rsid w:val="00EF51BD"/>
    <w:rsid w:val="00EF7F45"/>
    <w:rsid w:val="00F00452"/>
    <w:rsid w:val="00F0377A"/>
    <w:rsid w:val="00F03C3C"/>
    <w:rsid w:val="00F0447B"/>
    <w:rsid w:val="00F13014"/>
    <w:rsid w:val="00F21638"/>
    <w:rsid w:val="00F25A80"/>
    <w:rsid w:val="00F25EDA"/>
    <w:rsid w:val="00F369CB"/>
    <w:rsid w:val="00F436CE"/>
    <w:rsid w:val="00F444EF"/>
    <w:rsid w:val="00F450D4"/>
    <w:rsid w:val="00F46D17"/>
    <w:rsid w:val="00F50233"/>
    <w:rsid w:val="00F51208"/>
    <w:rsid w:val="00F54BCC"/>
    <w:rsid w:val="00F61E01"/>
    <w:rsid w:val="00F649F4"/>
    <w:rsid w:val="00F661FC"/>
    <w:rsid w:val="00F66339"/>
    <w:rsid w:val="00F70806"/>
    <w:rsid w:val="00F766D4"/>
    <w:rsid w:val="00F77025"/>
    <w:rsid w:val="00F7716E"/>
    <w:rsid w:val="00F91669"/>
    <w:rsid w:val="00F959F5"/>
    <w:rsid w:val="00F96BEC"/>
    <w:rsid w:val="00FA2B58"/>
    <w:rsid w:val="00FC055C"/>
    <w:rsid w:val="00FC0878"/>
    <w:rsid w:val="00FC370E"/>
    <w:rsid w:val="00FD021E"/>
    <w:rsid w:val="00FD11A7"/>
    <w:rsid w:val="00FD5C31"/>
    <w:rsid w:val="00FE0AD5"/>
    <w:rsid w:val="00FE35E4"/>
    <w:rsid w:val="00FE4DF8"/>
    <w:rsid w:val="00FF3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889EB"/>
  <w15:chartTrackingRefBased/>
  <w15:docId w15:val="{0980C009-AB05-4C80-BD60-AE0F32D0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00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73AB"/>
    <w:rPr>
      <w:u w:val="single"/>
    </w:rPr>
  </w:style>
  <w:style w:type="paragraph" w:styleId="Title">
    <w:name w:val="Title"/>
    <w:next w:val="Body2"/>
    <w:link w:val="TitleChar"/>
    <w:rsid w:val="00EB73A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EB73A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B73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EB73A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NormalWeb">
    <w:name w:val="Normal (Web)"/>
    <w:basedOn w:val="Normal"/>
    <w:uiPriority w:val="99"/>
    <w:semiHidden/>
    <w:unhideWhenUsed/>
    <w:rsid w:val="00EB73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Numbered List"/>
    <w:basedOn w:val="Normal"/>
    <w:link w:val="ListParagraphChar"/>
    <w:uiPriority w:val="34"/>
    <w:qFormat/>
    <w:rsid w:val="00EB73AB"/>
    <w:pPr>
      <w:ind w:left="720"/>
      <w:contextualSpacing/>
    </w:pPr>
  </w:style>
  <w:style w:type="character" w:customStyle="1" w:styleId="xslt-doc-title-itself">
    <w:name w:val="xslt-doc-title-itself"/>
    <w:basedOn w:val="DefaultParagraphFont"/>
    <w:rsid w:val="00EB73AB"/>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EB73AB"/>
    <w:rPr>
      <w:rFonts w:ascii="Times New Roman" w:eastAsia="Arial Unicode MS" w:hAnsi="Times New Roman" w:cs="Times New Roman"/>
      <w:sz w:val="24"/>
      <w:szCs w:val="24"/>
      <w:bdr w:val="nil"/>
      <w:lang w:val="en-US"/>
    </w:rPr>
  </w:style>
  <w:style w:type="paragraph" w:styleId="BodyText">
    <w:name w:val="Body Text"/>
    <w:basedOn w:val="Normal"/>
    <w:link w:val="BodyTextChar"/>
    <w:uiPriority w:val="99"/>
    <w:rsid w:val="00F5023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rPr>
  </w:style>
  <w:style w:type="character" w:customStyle="1" w:styleId="BodyTextChar">
    <w:name w:val="Body Text Char"/>
    <w:basedOn w:val="DefaultParagraphFont"/>
    <w:link w:val="BodyText"/>
    <w:uiPriority w:val="99"/>
    <w:rsid w:val="00F50233"/>
    <w:rPr>
      <w:rFonts w:ascii="Times New Roman" w:eastAsia="Times New Roman" w:hAnsi="Times New Roman" w:cs="Times New Roman"/>
      <w:sz w:val="24"/>
      <w:szCs w:val="24"/>
    </w:rPr>
  </w:style>
  <w:style w:type="paragraph" w:styleId="NoSpacing">
    <w:name w:val="No Spacing"/>
    <w:uiPriority w:val="1"/>
    <w:qFormat/>
    <w:rsid w:val="00CB7E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xmsonormal">
    <w:name w:val="x_msonormal"/>
    <w:basedOn w:val="Normal"/>
    <w:rsid w:val="00F649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styleId="TableGrid">
    <w:name w:val="Table Grid"/>
    <w:basedOn w:val="TableNormal"/>
    <w:uiPriority w:val="39"/>
    <w:rsid w:val="0096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9BC"/>
    <w:rPr>
      <w:sz w:val="16"/>
      <w:szCs w:val="16"/>
    </w:rPr>
  </w:style>
  <w:style w:type="paragraph" w:styleId="CommentText">
    <w:name w:val="annotation text"/>
    <w:basedOn w:val="Normal"/>
    <w:link w:val="CommentTextChar"/>
    <w:uiPriority w:val="99"/>
    <w:unhideWhenUsed/>
    <w:rsid w:val="004F79BC"/>
    <w:rPr>
      <w:sz w:val="20"/>
      <w:szCs w:val="20"/>
    </w:rPr>
  </w:style>
  <w:style w:type="character" w:customStyle="1" w:styleId="CommentTextChar">
    <w:name w:val="Comment Text Char"/>
    <w:basedOn w:val="DefaultParagraphFont"/>
    <w:link w:val="CommentText"/>
    <w:uiPriority w:val="99"/>
    <w:rsid w:val="004F79BC"/>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4F79BC"/>
    <w:rPr>
      <w:b/>
      <w:bCs/>
    </w:rPr>
  </w:style>
  <w:style w:type="character" w:customStyle="1" w:styleId="CommentSubjectChar">
    <w:name w:val="Comment Subject Char"/>
    <w:basedOn w:val="CommentTextChar"/>
    <w:link w:val="CommentSubject"/>
    <w:uiPriority w:val="99"/>
    <w:semiHidden/>
    <w:rsid w:val="004F79BC"/>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7A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DA"/>
    <w:rPr>
      <w:rFonts w:ascii="Segoe UI" w:eastAsia="Arial Unicode MS" w:hAnsi="Segoe UI" w:cs="Segoe UI"/>
      <w:sz w:val="18"/>
      <w:szCs w:val="18"/>
      <w:bdr w:val="nil"/>
      <w:lang w:val="en-US"/>
    </w:rPr>
  </w:style>
  <w:style w:type="paragraph" w:styleId="Revision">
    <w:name w:val="Revision"/>
    <w:hidden/>
    <w:uiPriority w:val="99"/>
    <w:semiHidden/>
    <w:rsid w:val="00406378"/>
    <w:pPr>
      <w:spacing w:after="0" w:line="240" w:lineRule="auto"/>
    </w:pPr>
    <w:rPr>
      <w:rFonts w:ascii="Times New Roman" w:eastAsia="Arial Unicode MS" w:hAnsi="Times New Roman" w:cs="Times New Roman"/>
      <w:sz w:val="24"/>
      <w:szCs w:val="24"/>
      <w:bdr w:val="nil"/>
      <w:lang w:val="en-US"/>
    </w:rPr>
  </w:style>
  <w:style w:type="paragraph" w:styleId="Header">
    <w:name w:val="header"/>
    <w:aliases w:val=" Char Char, Char Char Char Char Char,Char Char,Char Char Char Char Char, Char, Char Char Char Char, Diagrama2,Diagrama2"/>
    <w:basedOn w:val="Normal"/>
    <w:link w:val="HeaderChar"/>
    <w:uiPriority w:val="99"/>
    <w:unhideWhenUsed/>
    <w:rsid w:val="00706210"/>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706210"/>
    <w:rPr>
      <w:rFonts w:ascii="Times New Roman" w:eastAsia="Arial Unicode MS" w:hAnsi="Times New Roman" w:cs="Times New Roman"/>
      <w:sz w:val="24"/>
      <w:szCs w:val="24"/>
      <w:bdr w:val="nil"/>
      <w:lang w:val="en-US"/>
    </w:rPr>
  </w:style>
  <w:style w:type="paragraph" w:customStyle="1" w:styleId="Default">
    <w:name w:val="Default"/>
    <w:rsid w:val="001E0D0E"/>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5B531A"/>
    <w:pPr>
      <w:spacing w:after="200"/>
    </w:pPr>
    <w:rPr>
      <w:i/>
      <w:iCs/>
      <w:color w:val="44546A" w:themeColor="text2"/>
      <w:sz w:val="18"/>
      <w:szCs w:val="18"/>
    </w:rPr>
  </w:style>
  <w:style w:type="paragraph" w:customStyle="1" w:styleId="Antrasnuostatlygis">
    <w:name w:val="Antras nuostatų lygis"/>
    <w:basedOn w:val="Normal"/>
    <w:qFormat/>
    <w:rsid w:val="005C5CF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overflowPunct w:val="0"/>
      <w:autoSpaceDE w:val="0"/>
      <w:autoSpaceDN w:val="0"/>
      <w:adjustRightInd w:val="0"/>
      <w:ind w:right="141"/>
      <w:contextualSpacing/>
      <w:jc w:val="both"/>
      <w:textAlignment w:val="baseline"/>
    </w:pPr>
    <w:rPr>
      <w:rFonts w:eastAsia="SimSun"/>
      <w:bdr w:val="none" w:sz="0" w:space="0" w:color="auto"/>
      <w:lang w:val="lt-LT"/>
    </w:rPr>
  </w:style>
  <w:style w:type="paragraph" w:customStyle="1" w:styleId="Ketvirtasnuostatlygis">
    <w:name w:val="Ketvirtas nuostatų lygis"/>
    <w:basedOn w:val="Normal"/>
    <w:link w:val="KetvirtasnuostatlygisDiagrama"/>
    <w:autoRedefine/>
    <w:qFormat/>
    <w:rsid w:val="005C5CFE"/>
    <w:pPr>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overflowPunct w:val="0"/>
      <w:autoSpaceDE w:val="0"/>
      <w:autoSpaceDN w:val="0"/>
      <w:adjustRightInd w:val="0"/>
      <w:contextualSpacing/>
      <w:jc w:val="both"/>
      <w:textAlignment w:val="baseline"/>
    </w:pPr>
    <w:rPr>
      <w:rFonts w:eastAsia="SimSun"/>
      <w:bdr w:val="none" w:sz="0" w:space="0" w:color="auto"/>
      <w:lang w:val="lt-LT"/>
    </w:rPr>
  </w:style>
  <w:style w:type="character" w:customStyle="1" w:styleId="KetvirtasnuostatlygisDiagrama">
    <w:name w:val="Ketvirtas nuostatų lygis Diagrama"/>
    <w:basedOn w:val="DefaultParagraphFont"/>
    <w:link w:val="Ketvirtasnuostatlygis"/>
    <w:rsid w:val="005C5CFE"/>
    <w:rPr>
      <w:rFonts w:ascii="Times New Roman" w:eastAsia="SimSun" w:hAnsi="Times New Roman" w:cs="Times New Roman"/>
      <w:sz w:val="24"/>
      <w:szCs w:val="24"/>
    </w:rPr>
  </w:style>
  <w:style w:type="paragraph" w:customStyle="1" w:styleId="Penktasnuostatlygis">
    <w:name w:val="Penktas nuostatų lygis"/>
    <w:basedOn w:val="Ketvirtasnuostatlygis"/>
    <w:link w:val="PenktasnuostatlygisDiagrama"/>
    <w:autoRedefine/>
    <w:qFormat/>
    <w:rsid w:val="005C5CFE"/>
    <w:pPr>
      <w:numPr>
        <w:ilvl w:val="4"/>
      </w:numPr>
      <w:tabs>
        <w:tab w:val="clear" w:pos="397"/>
        <w:tab w:val="left" w:pos="1418"/>
      </w:tabs>
      <w:ind w:left="3600" w:hanging="360"/>
    </w:pPr>
  </w:style>
  <w:style w:type="paragraph" w:customStyle="1" w:styleId="Pirmasnuostatlygis">
    <w:name w:val="Pirmas nuostatų lygis"/>
    <w:basedOn w:val="Normal"/>
    <w:qFormat/>
    <w:rsid w:val="005C5CFE"/>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right="142"/>
      <w:jc w:val="both"/>
    </w:pPr>
    <w:rPr>
      <w:rFonts w:eastAsia="SimSun"/>
      <w:bdr w:val="none" w:sz="0" w:space="0" w:color="auto"/>
      <w:lang w:val="lt-LT"/>
    </w:rPr>
  </w:style>
  <w:style w:type="paragraph" w:customStyle="1" w:styleId="Treiasnuostatlygis">
    <w:name w:val="Trečias nuostatų lygis"/>
    <w:basedOn w:val="Antrasnuostatlygis"/>
    <w:autoRedefine/>
    <w:qFormat/>
    <w:rsid w:val="005C5CFE"/>
    <w:pPr>
      <w:numPr>
        <w:ilvl w:val="2"/>
      </w:numPr>
      <w:tabs>
        <w:tab w:val="clear" w:pos="4112"/>
        <w:tab w:val="left" w:pos="709"/>
        <w:tab w:val="left" w:pos="1276"/>
        <w:tab w:val="num" w:pos="1418"/>
      </w:tabs>
    </w:pPr>
    <w:rPr>
      <w:szCs w:val="22"/>
    </w:rPr>
  </w:style>
  <w:style w:type="paragraph" w:customStyle="1" w:styleId="Normal1">
    <w:name w:val="Normal1"/>
    <w:rsid w:val="00D6647B"/>
    <w:pPr>
      <w:widowControl w:val="0"/>
      <w:spacing w:after="0" w:line="360" w:lineRule="auto"/>
      <w:ind w:firstLine="426"/>
      <w:jc w:val="both"/>
    </w:pPr>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D6647B"/>
    <w:pPr>
      <w:tabs>
        <w:tab w:val="center" w:pos="4819"/>
        <w:tab w:val="right" w:pos="9638"/>
      </w:tabs>
    </w:pPr>
  </w:style>
  <w:style w:type="character" w:customStyle="1" w:styleId="FooterChar">
    <w:name w:val="Footer Char"/>
    <w:basedOn w:val="DefaultParagraphFont"/>
    <w:link w:val="Footer"/>
    <w:uiPriority w:val="99"/>
    <w:rsid w:val="00D6647B"/>
    <w:rPr>
      <w:rFonts w:ascii="Times New Roman" w:eastAsia="Arial Unicode MS" w:hAnsi="Times New Roman" w:cs="Times New Roman"/>
      <w:sz w:val="24"/>
      <w:szCs w:val="24"/>
      <w:bdr w:val="nil"/>
      <w:lang w:val="en-US"/>
    </w:rPr>
  </w:style>
  <w:style w:type="character" w:customStyle="1" w:styleId="PenktasnuostatlygisDiagrama">
    <w:name w:val="Penktas nuostatų lygis Diagrama"/>
    <w:basedOn w:val="KetvirtasnuostatlygisDiagrama"/>
    <w:link w:val="Penktasnuostatlygis"/>
    <w:rsid w:val="002336F3"/>
    <w:rPr>
      <w:rFonts w:ascii="Times New Roman" w:eastAsia="SimSun" w:hAnsi="Times New Roman" w:cs="Times New Roman"/>
      <w:sz w:val="24"/>
      <w:szCs w:val="24"/>
    </w:rPr>
  </w:style>
  <w:style w:type="paragraph" w:customStyle="1" w:styleId="Point1">
    <w:name w:val="Point 1"/>
    <w:basedOn w:val="Normal"/>
    <w:link w:val="Point1Char1"/>
    <w:uiPriority w:val="99"/>
    <w:rsid w:val="00434D9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customStyle="1" w:styleId="Point1Char1">
    <w:name w:val="Point 1 Char1"/>
    <w:link w:val="Point1"/>
    <w:uiPriority w:val="99"/>
    <w:locked/>
    <w:rsid w:val="00434D9F"/>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6347">
      <w:bodyDiv w:val="1"/>
      <w:marLeft w:val="0"/>
      <w:marRight w:val="0"/>
      <w:marTop w:val="0"/>
      <w:marBottom w:val="0"/>
      <w:divBdr>
        <w:top w:val="none" w:sz="0" w:space="0" w:color="auto"/>
        <w:left w:val="none" w:sz="0" w:space="0" w:color="auto"/>
        <w:bottom w:val="none" w:sz="0" w:space="0" w:color="auto"/>
        <w:right w:val="none" w:sz="0" w:space="0" w:color="auto"/>
      </w:divBdr>
    </w:div>
    <w:div w:id="1276132606">
      <w:bodyDiv w:val="1"/>
      <w:marLeft w:val="0"/>
      <w:marRight w:val="0"/>
      <w:marTop w:val="0"/>
      <w:marBottom w:val="0"/>
      <w:divBdr>
        <w:top w:val="none" w:sz="0" w:space="0" w:color="auto"/>
        <w:left w:val="none" w:sz="0" w:space="0" w:color="auto"/>
        <w:bottom w:val="none" w:sz="0" w:space="0" w:color="auto"/>
        <w:right w:val="none" w:sz="0" w:space="0" w:color="auto"/>
      </w:divBdr>
    </w:div>
    <w:div w:id="20670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37A1945F94545AC452461316391B1" ma:contentTypeVersion="14" ma:contentTypeDescription="Create a new document." ma:contentTypeScope="" ma:versionID="af299e2f346bbbccad8a19acf7d6f223">
  <xsd:schema xmlns:xsd="http://www.w3.org/2001/XMLSchema" xmlns:xs="http://www.w3.org/2001/XMLSchema" xmlns:p="http://schemas.microsoft.com/office/2006/metadata/properties" xmlns:ns3="ae3425ee-9f4a-4555-9e15-f0e0af7fc2d8" xmlns:ns4="d5db1026-e5b3-47cb-9b09-bb32cd81fefb" targetNamespace="http://schemas.microsoft.com/office/2006/metadata/properties" ma:root="true" ma:fieldsID="935c901db4f0ed74a4e3eaaaffe6e44d" ns3:_="" ns4:_="">
    <xsd:import namespace="ae3425ee-9f4a-4555-9e15-f0e0af7fc2d8"/>
    <xsd:import namespace="d5db1026-e5b3-47cb-9b09-bb32cd81f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425ee-9f4a-4555-9e15-f0e0af7f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b1026-e5b3-47cb-9b09-bb32cd81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e3425ee-9f4a-4555-9e15-f0e0af7fc2d8" xsi:nil="true"/>
  </documentManagement>
</p:properties>
</file>

<file path=customXml/itemProps1.xml><?xml version="1.0" encoding="utf-8"?>
<ds:datastoreItem xmlns:ds="http://schemas.openxmlformats.org/officeDocument/2006/customXml" ds:itemID="{B072ABBD-6498-4C90-AF5A-42C501F9436E}">
  <ds:schemaRefs>
    <ds:schemaRef ds:uri="http://schemas.openxmlformats.org/officeDocument/2006/bibliography"/>
  </ds:schemaRefs>
</ds:datastoreItem>
</file>

<file path=customXml/itemProps2.xml><?xml version="1.0" encoding="utf-8"?>
<ds:datastoreItem xmlns:ds="http://schemas.openxmlformats.org/officeDocument/2006/customXml" ds:itemID="{5B68402C-0EA0-4F0A-8C6C-D23242A2B6E3}">
  <ds:schemaRefs>
    <ds:schemaRef ds:uri="http://schemas.microsoft.com/sharepoint/v3/contenttype/forms"/>
  </ds:schemaRefs>
</ds:datastoreItem>
</file>

<file path=customXml/itemProps3.xml><?xml version="1.0" encoding="utf-8"?>
<ds:datastoreItem xmlns:ds="http://schemas.openxmlformats.org/officeDocument/2006/customXml" ds:itemID="{577226B6-7BC9-4C6D-845E-DDA1B434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425ee-9f4a-4555-9e15-f0e0af7fc2d8"/>
    <ds:schemaRef ds:uri="d5db1026-e5b3-47cb-9b09-bb32cd81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7B68E-019D-4E06-BEE5-5FECDDBCA2D3}">
  <ds:schemaRefs>
    <ds:schemaRef ds:uri="http://schemas.microsoft.com/office/2006/metadata/properties"/>
    <ds:schemaRef ds:uri="http://schemas.microsoft.com/office/infopath/2007/PartnerControls"/>
    <ds:schemaRef ds:uri="ae3425ee-9f4a-4555-9e15-f0e0af7fc2d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6542</Words>
  <Characters>3729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Dišytė</dc:creator>
  <cp:keywords/>
  <dc:description/>
  <cp:lastModifiedBy>Indrė Rulevičiūtė</cp:lastModifiedBy>
  <cp:revision>18</cp:revision>
  <cp:lastPrinted>2024-04-17T13:41:00Z</cp:lastPrinted>
  <dcterms:created xsi:type="dcterms:W3CDTF">2025-09-10T11:33:00Z</dcterms:created>
  <dcterms:modified xsi:type="dcterms:W3CDTF">2025-10-06T06:40:00Z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0x010100FF337A1945F94545AC452461316391B1</vt:lpwstr>
  </property>
  <property fmtid="{D5CDD505-2E9C-101B-9397-08002B2CF9AE}" pid="3" name="GrammarlyDocumentId">
    <vt:lpwstr>0b4e49ef8ddec6cee04cee7c0dee9a3e23447fccbe23825ceb5aec04904fce7e</vt:lpwstr>
  </property>
</Properties>
</file>