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577960"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7B5515" w:rsidRPr="007B5515">
            <w:rPr>
              <w:rFonts w:ascii="Times New Roman" w:hAnsi="Times New Roman" w:cs="Times New Roman"/>
              <w:b/>
              <w:sz w:val="28"/>
              <w:szCs w:val="28"/>
            </w:rPr>
            <w:t>NEŠIOJAMŲJŲ  RADIO STOTELIŲ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EB3E9D">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EB3E9D">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EB3E9D">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EB3E9D">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EB3E9D">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EB3E9D">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EB3E9D">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EB3E9D">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EB3E9D"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77812005" w:rsidR="00FB3C75" w:rsidRPr="007B5515" w:rsidRDefault="4A330118" w:rsidP="007B5515">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FB3C75" w:rsidRPr="007944E7">
        <w:rPr>
          <w:rFonts w:ascii="Times New Roman" w:eastAsia="Calibri" w:hAnsi="Times New Roman" w:cs="Times New Roman"/>
          <w:b/>
          <w:color w:val="000000" w:themeColor="text1"/>
          <w:sz w:val="24"/>
          <w:szCs w:val="24"/>
        </w:rPr>
        <w:t>įsigyti</w:t>
      </w:r>
      <w:r w:rsidR="007B5515">
        <w:rPr>
          <w:rFonts w:ascii="Times New Roman" w:eastAsia="Calibri" w:hAnsi="Times New Roman" w:cs="Times New Roman"/>
          <w:b/>
          <w:color w:val="000000" w:themeColor="text1"/>
          <w:sz w:val="24"/>
          <w:szCs w:val="24"/>
        </w:rPr>
        <w:t xml:space="preserve"> nešiojamąsias radijo stoteles (60 </w:t>
      </w:r>
      <w:r w:rsidR="007944E7" w:rsidRPr="007B5515">
        <w:rPr>
          <w:rFonts w:ascii="Times New Roman" w:eastAsia="Calibri" w:hAnsi="Times New Roman" w:cs="Times New Roman"/>
          <w:b/>
          <w:color w:val="000000" w:themeColor="text1"/>
          <w:sz w:val="24"/>
          <w:szCs w:val="24"/>
        </w:rPr>
        <w:t>vnt.)</w:t>
      </w:r>
      <w:r w:rsidR="00981CC1" w:rsidRPr="007B5515">
        <w:rPr>
          <w:rFonts w:ascii="Times New Roman" w:eastAsia="Calibri" w:hAnsi="Times New Roman" w:cs="Times New Roman"/>
          <w:color w:val="000000" w:themeColor="text1"/>
          <w:sz w:val="24"/>
          <w:szCs w:val="24"/>
        </w:rPr>
        <w:t>.</w:t>
      </w:r>
      <w:r w:rsidR="00FB3C75" w:rsidRPr="007B5515">
        <w:rPr>
          <w:rFonts w:ascii="Times New Roman" w:hAnsi="Times New Roman" w:cs="Times New Roman"/>
          <w:sz w:val="24"/>
          <w:szCs w:val="24"/>
        </w:rPr>
        <w:t xml:space="preserve"> Reikalavimai </w:t>
      </w:r>
      <w:r w:rsidR="00966703" w:rsidRPr="007B5515">
        <w:rPr>
          <w:rFonts w:ascii="Times New Roman" w:hAnsi="Times New Roman" w:cs="Times New Roman"/>
          <w:sz w:val="24"/>
          <w:szCs w:val="24"/>
        </w:rPr>
        <w:t>p</w:t>
      </w:r>
      <w:r w:rsidR="00FB3C75" w:rsidRPr="007B5515">
        <w:rPr>
          <w:rFonts w:ascii="Times New Roman" w:hAnsi="Times New Roman" w:cs="Times New Roman"/>
          <w:sz w:val="24"/>
          <w:szCs w:val="24"/>
        </w:rPr>
        <w:t>irkimo objektui nustatyti</w:t>
      </w:r>
      <w:r w:rsidR="00AE2AEF" w:rsidRPr="007B5515">
        <w:rPr>
          <w:rFonts w:ascii="Times New Roman" w:hAnsi="Times New Roman" w:cs="Times New Roman"/>
          <w:sz w:val="24"/>
          <w:szCs w:val="24"/>
        </w:rPr>
        <w:t xml:space="preserve"> </w:t>
      </w:r>
      <w:r w:rsidR="00966703" w:rsidRPr="007B5515">
        <w:rPr>
          <w:rFonts w:ascii="Times New Roman" w:hAnsi="Times New Roman" w:cs="Times New Roman"/>
          <w:sz w:val="24"/>
          <w:szCs w:val="24"/>
        </w:rPr>
        <w:t>s</w:t>
      </w:r>
      <w:r w:rsidR="00044836" w:rsidRPr="007B5515">
        <w:rPr>
          <w:rFonts w:ascii="Times New Roman" w:hAnsi="Times New Roman" w:cs="Times New Roman"/>
          <w:sz w:val="24"/>
          <w:szCs w:val="24"/>
        </w:rPr>
        <w:t>pecialiųjų p</w:t>
      </w:r>
      <w:r w:rsidR="00AE2AEF" w:rsidRPr="007B5515">
        <w:rPr>
          <w:rFonts w:ascii="Times New Roman" w:hAnsi="Times New Roman" w:cs="Times New Roman"/>
          <w:sz w:val="24"/>
          <w:szCs w:val="24"/>
        </w:rPr>
        <w:t xml:space="preserve">irkimo sąlygų </w:t>
      </w:r>
      <w:r w:rsidR="002212E3" w:rsidRPr="007B5515">
        <w:rPr>
          <w:rFonts w:ascii="Times New Roman" w:hAnsi="Times New Roman" w:cs="Times New Roman"/>
          <w:color w:val="000000" w:themeColor="text1"/>
          <w:sz w:val="24"/>
          <w:szCs w:val="24"/>
        </w:rPr>
        <w:t>4</w:t>
      </w:r>
      <w:r w:rsidR="00AE2AEF" w:rsidRPr="007B5515">
        <w:rPr>
          <w:rFonts w:ascii="Times New Roman" w:hAnsi="Times New Roman" w:cs="Times New Roman"/>
          <w:color w:val="00B050"/>
          <w:sz w:val="24"/>
          <w:szCs w:val="24"/>
        </w:rPr>
        <w:t xml:space="preserve"> </w:t>
      </w:r>
      <w:r w:rsidR="00AE2AEF" w:rsidRPr="007B5515">
        <w:rPr>
          <w:rFonts w:ascii="Times New Roman" w:hAnsi="Times New Roman" w:cs="Times New Roman"/>
          <w:sz w:val="24"/>
          <w:szCs w:val="24"/>
        </w:rPr>
        <w:t>priede.</w:t>
      </w:r>
      <w:r w:rsidR="007B5515" w:rsidRPr="007B5515">
        <w:rPr>
          <w:rFonts w:ascii="Times New Roman" w:hAnsi="Times New Roman" w:cs="Times New Roman"/>
          <w:sz w:val="24"/>
          <w:szCs w:val="24"/>
        </w:rPr>
        <w:t xml:space="preserve"> </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lastRenderedPageBreak/>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77456200"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3BCD98DB" w14:textId="50129109" w:rsidR="007B5515" w:rsidRDefault="00A37F33" w:rsidP="00023FEE">
      <w:pPr>
        <w:pStyle w:val="paragrafesrasas2lygis"/>
      </w:pPr>
      <w:r>
        <w:t>Reikalavimai nurodyti skelbiamos apklausos specialiųjų sąlygų 2 priede.</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lastRenderedPageBreak/>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6E24AFB4" w:rsidR="00346407" w:rsidRPr="001235A9"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981CC1">
        <w:rPr>
          <w:rStyle w:val="cf01"/>
          <w:rFonts w:ascii="Times New Roman" w:hAnsi="Times New Roman" w:cs="Times New Roman"/>
          <w:b/>
          <w:sz w:val="24"/>
          <w:szCs w:val="24"/>
        </w:rPr>
        <w:t>atmes</w:t>
      </w:r>
      <w:r w:rsidRPr="00172324">
        <w:rPr>
          <w:rStyle w:val="cf01"/>
          <w:rFonts w:ascii="Times New Roman" w:hAnsi="Times New Roman" w:cs="Times New Roman"/>
          <w:sz w:val="24"/>
          <w:szCs w:val="24"/>
        </w:rPr>
        <w:t xml:space="preserve">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 xml:space="preserve">laisvos formos tiekėjo deklaracija dėl </w:t>
      </w:r>
      <w:r w:rsidR="001235A9">
        <w:rPr>
          <w:rStyle w:val="cf01"/>
          <w:rFonts w:ascii="Times New Roman" w:hAnsi="Times New Roman" w:cs="Times New Roman"/>
          <w:b/>
          <w:sz w:val="24"/>
          <w:szCs w:val="24"/>
        </w:rPr>
        <w:t>finansinio, ekonominio pajėgumo</w:t>
      </w:r>
      <w:r w:rsidR="00346407" w:rsidRPr="005A6C1E">
        <w:rPr>
          <w:rStyle w:val="cf01"/>
          <w:rFonts w:ascii="Times New Roman" w:hAnsi="Times New Roman" w:cs="Times New Roman"/>
          <w:b/>
          <w:sz w:val="24"/>
          <w:szCs w:val="24"/>
        </w:rPr>
        <w:t xml:space="preserve">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w:t>
      </w:r>
      <w:r w:rsidR="001235A9">
        <w:rPr>
          <w:rFonts w:ascii="Times New Roman" w:eastAsia="Arial" w:hAnsi="Times New Roman" w:cs="Times New Roman"/>
          <w:b/>
          <w:color w:val="000000"/>
          <w:sz w:val="24"/>
          <w:szCs w:val="24"/>
        </w:rPr>
        <w:t xml:space="preserve">ra taikomi pašalinimo pagrindai.  </w:t>
      </w:r>
      <w:r w:rsidR="001235A9" w:rsidRPr="001235A9">
        <w:rPr>
          <w:rFonts w:ascii="Times New Roman" w:hAnsi="Times New Roman" w:cs="Times New Roman"/>
          <w:b/>
          <w:sz w:val="24"/>
          <w:szCs w:val="24"/>
        </w:rPr>
        <w:t>Kvalifikacijos reikalavimus įrodantys dokumentai</w:t>
      </w:r>
      <w:r w:rsidR="001235A9">
        <w:rPr>
          <w:rFonts w:ascii="Times New Roman" w:hAnsi="Times New Roman" w:cs="Times New Roman"/>
          <w:b/>
          <w:sz w:val="24"/>
          <w:szCs w:val="24"/>
        </w:rPr>
        <w:t>.</w:t>
      </w:r>
      <w:bookmarkStart w:id="17" w:name="_GoBack"/>
      <w:bookmarkEnd w:id="17"/>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172324">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C4C3B4A" w14:textId="77777777" w:rsidR="00346407" w:rsidRPr="00EF61F5" w:rsidRDefault="00346407" w:rsidP="00346407">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981CC1">
        <w:rPr>
          <w:rFonts w:ascii="Times New Roman" w:eastAsia="Calibri" w:hAnsi="Times New Roman" w:cs="Times New Roman"/>
          <w:b/>
          <w:sz w:val="24"/>
          <w:szCs w:val="24"/>
          <w:bdr w:val="none" w:sz="0" w:space="0" w:color="auto" w:frame="1"/>
          <w:shd w:val="clear" w:color="auto" w:fill="FFFFFF"/>
        </w:rPr>
        <w:t>VPĮ 46 str. 2</w:t>
      </w:r>
      <w:r w:rsidRPr="00981CC1">
        <w:rPr>
          <w:rFonts w:ascii="Times New Roman" w:eastAsia="Calibri" w:hAnsi="Times New Roman" w:cs="Times New Roman"/>
          <w:b/>
          <w:sz w:val="24"/>
          <w:szCs w:val="24"/>
          <w:bdr w:val="none" w:sz="0" w:space="0" w:color="auto" w:frame="1"/>
          <w:shd w:val="clear" w:color="auto" w:fill="FFFFFF"/>
          <w:vertAlign w:val="superscript"/>
        </w:rPr>
        <w:t>1 </w:t>
      </w:r>
      <w:r w:rsidRPr="00981CC1">
        <w:rPr>
          <w:rFonts w:ascii="Times New Roman" w:eastAsia="Calibri" w:hAnsi="Times New Roman" w:cs="Times New Roman"/>
          <w:b/>
          <w:sz w:val="24"/>
          <w:szCs w:val="24"/>
          <w:bdr w:val="none" w:sz="0" w:space="0" w:color="auto" w:frame="1"/>
          <w:shd w:val="clear" w:color="auto" w:fill="FFFFFF"/>
        </w:rPr>
        <w:t>nuostata</w:t>
      </w:r>
      <w:r w:rsidRPr="007F0873">
        <w:rPr>
          <w:rFonts w:ascii="Times New Roman" w:eastAsia="Calibri" w:hAnsi="Times New Roman" w:cs="Times New Roman"/>
          <w:sz w:val="24"/>
          <w:szCs w:val="24"/>
          <w:bdr w:val="none" w:sz="0" w:space="0" w:color="auto" w:frame="1"/>
          <w:shd w:val="clear" w:color="auto" w:fill="FFFFFF"/>
        </w:rPr>
        <w:t xml:space="preserve">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38B5130" w14:textId="77777777" w:rsidR="00346407" w:rsidRPr="00EF61F5" w:rsidRDefault="00346407" w:rsidP="00346407">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EB3E9D"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6213ED6C" w:rsidR="000B1465" w:rsidRPr="00172324" w:rsidRDefault="0026415E" w:rsidP="0026415E">
            <w:pPr>
              <w:spacing w:before="60" w:after="60" w:line="257" w:lineRule="auto"/>
              <w:jc w:val="left"/>
              <w:rPr>
                <w:rFonts w:eastAsiaTheme="minorHAnsi"/>
                <w:sz w:val="24"/>
                <w:szCs w:val="24"/>
              </w:rPr>
            </w:pPr>
            <w:r>
              <w:rPr>
                <w:rFonts w:eastAsiaTheme="minorHAnsi"/>
                <w:sz w:val="24"/>
                <w:szCs w:val="24"/>
              </w:rPr>
              <w:t xml:space="preserve">1.2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3EEA1FD0" w:rsidR="000B1465" w:rsidRPr="00172324" w:rsidRDefault="0026415E" w:rsidP="0026415E">
            <w:pPr>
              <w:pStyle w:val="paragrafesrasas2lygis"/>
            </w:pPr>
            <w:r w:rsidRPr="00172324">
              <w:rPr>
                <w:sz w:val="24"/>
                <w:szCs w:val="24"/>
              </w:rPr>
              <w:t>Tiekėjų kvalifikacijos reikalavimai</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38A5E6CE" w:rsidR="000B1465" w:rsidRPr="00172324" w:rsidRDefault="0026415E" w:rsidP="0026415E">
            <w:pPr>
              <w:autoSpaceDE w:val="0"/>
              <w:autoSpaceDN w:val="0"/>
              <w:adjustRightInd w:val="0"/>
              <w:ind w:firstLine="0"/>
              <w:rPr>
                <w:color w:val="000000"/>
                <w:sz w:val="24"/>
                <w:szCs w:val="24"/>
              </w:rPr>
            </w:pPr>
            <w:r>
              <w:rPr>
                <w:color w:val="000000"/>
                <w:sz w:val="24"/>
                <w:szCs w:val="24"/>
              </w:rPr>
              <w:t>Pridedami atskiru dokumentu.</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w:t>
              </w:r>
              <w:r w:rsidR="00C6135B" w:rsidRPr="00172324">
                <w:rPr>
                  <w:rStyle w:val="Hyperlink"/>
                  <w:sz w:val="24"/>
                  <w:szCs w:val="24"/>
                </w:rPr>
                <w:lastRenderedPageBreak/>
                <w:t>pirkdami prekes, paslaugas 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67336CE5" w:rsidR="000B1465" w:rsidRPr="007944E7" w:rsidRDefault="0026415E" w:rsidP="0026415E">
            <w:pPr>
              <w:autoSpaceDE w:val="0"/>
              <w:autoSpaceDN w:val="0"/>
              <w:adjustRightInd w:val="0"/>
              <w:ind w:firstLine="0"/>
              <w:rPr>
                <w:b/>
                <w:color w:val="000000"/>
                <w:sz w:val="24"/>
                <w:szCs w:val="24"/>
              </w:rPr>
            </w:pPr>
            <w:r>
              <w:rPr>
                <w:b/>
                <w:color w:val="000000"/>
                <w:sz w:val="24"/>
                <w:szCs w:val="24"/>
              </w:rPr>
              <w:t xml:space="preserve">Nacionalinio saugumo </w:t>
            </w:r>
            <w:r w:rsidR="00346407" w:rsidRPr="007944E7">
              <w:rPr>
                <w:b/>
                <w:color w:val="000000"/>
                <w:sz w:val="24"/>
                <w:szCs w:val="24"/>
              </w:rPr>
              <w:t>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28FA4D08" w14:textId="55D3FCB7" w:rsidR="00A37F33" w:rsidRPr="00A37F33" w:rsidRDefault="00346407" w:rsidP="00A37F33">
            <w:pPr>
              <w:ind w:firstLine="0"/>
              <w:jc w:val="left"/>
              <w:rPr>
                <w:sz w:val="24"/>
                <w:szCs w:val="24"/>
              </w:rPr>
            </w:pPr>
            <w:r w:rsidRPr="005A6C1E">
              <w:rPr>
                <w:sz w:val="24"/>
                <w:szCs w:val="24"/>
              </w:rPr>
              <w:t xml:space="preserve">Reikalavimai, </w:t>
            </w:r>
            <w:r w:rsidR="00A37F33">
              <w:rPr>
                <w:sz w:val="24"/>
                <w:szCs w:val="24"/>
              </w:rPr>
              <w:t>susiję su nacionaliniu saugumu:</w:t>
            </w:r>
            <w:r w:rsidR="00A37F33" w:rsidRPr="00A37F33">
              <w:rPr>
                <w:sz w:val="24"/>
                <w:szCs w:val="24"/>
              </w:rPr>
              <w:t xml:space="preserve"> tiekėjo siūlomos prekės nekelia grėsmės nacionaliniam saugumui </w:t>
            </w:r>
            <w:r w:rsidR="00A37F33" w:rsidRPr="00A37F33">
              <w:rPr>
                <w:color w:val="000000"/>
                <w:sz w:val="24"/>
                <w:szCs w:val="24"/>
                <w:bdr w:val="none" w:sz="0" w:space="0" w:color="auto" w:frame="1"/>
              </w:rPr>
              <w:t>–</w:t>
            </w:r>
            <w:r w:rsidR="00A37F33" w:rsidRPr="00A37F33">
              <w:rPr>
                <w:sz w:val="24"/>
                <w:szCs w:val="24"/>
              </w:rPr>
              <w:t xml:space="preserve"> vadovaujantis Lietuvos Respublikos viešųjų pirkimų įstatymo (toliau – VPĮ) 37 straipsnio 9 dalies 1 punktu, prekių gamintojas ar jį kontroliuojantis asmuo</w:t>
            </w:r>
            <w:r w:rsidR="00A37F33" w:rsidRPr="00A37F33">
              <w:rPr>
                <w:color w:val="000000"/>
                <w:sz w:val="24"/>
                <w:szCs w:val="24"/>
              </w:rPr>
              <w:t xml:space="preserve"> </w:t>
            </w:r>
            <w:r w:rsidR="00A37F33" w:rsidRPr="00A37F33">
              <w:rPr>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29F224A2" w14:textId="72118A8B" w:rsidR="00346407" w:rsidRPr="00A37F33" w:rsidRDefault="00A37F33" w:rsidP="00A37F33">
            <w:pPr>
              <w:ind w:firstLine="0"/>
              <w:jc w:val="left"/>
              <w:rPr>
                <w:color w:val="000000"/>
                <w:sz w:val="24"/>
                <w:szCs w:val="24"/>
              </w:rPr>
            </w:pPr>
            <w:r w:rsidRPr="00A37F33">
              <w:rPr>
                <w:sz w:val="24"/>
                <w:szCs w:val="24"/>
              </w:rPr>
              <w:t>Tiekėjas neturi interesų, galinčių kelti grėsmę nacionaliniam saugumui – vadovaujantis VPĮ 47 straipsnio 9 dalimi, jis pats,</w:t>
            </w:r>
            <w:r w:rsidRPr="00A37F33">
              <w:rPr>
                <w:color w:val="000000"/>
                <w:sz w:val="24"/>
                <w:szCs w:val="24"/>
                <w:bdr w:val="none" w:sz="0" w:space="0" w:color="auto" w:frame="1"/>
              </w:rPr>
              <w:t xml:space="preserve"> jo subtiekėjai ar ūkio subjektai, kurių </w:t>
            </w:r>
            <w:proofErr w:type="spellStart"/>
            <w:r w:rsidRPr="00A37F33">
              <w:rPr>
                <w:color w:val="000000"/>
                <w:sz w:val="24"/>
                <w:szCs w:val="24"/>
                <w:bdr w:val="none" w:sz="0" w:space="0" w:color="auto" w:frame="1"/>
              </w:rPr>
              <w:t>pajėgumais</w:t>
            </w:r>
            <w:proofErr w:type="spellEnd"/>
            <w:r w:rsidRPr="00A37F33">
              <w:rPr>
                <w:color w:val="000000"/>
                <w:sz w:val="24"/>
                <w:szCs w:val="24"/>
                <w:bdr w:val="none" w:sz="0" w:space="0" w:color="auto" w:frame="1"/>
              </w:rPr>
              <w:t xml:space="preserve"> remiamasi ar juos kontroliuojantys asmenys nėra registruoti (jeigu tiekėjas, jo subtiekėjas, ūkio subjektas, kurio </w:t>
            </w:r>
            <w:proofErr w:type="spellStart"/>
            <w:r w:rsidRPr="00A37F33">
              <w:rPr>
                <w:color w:val="000000"/>
                <w:sz w:val="24"/>
                <w:szCs w:val="24"/>
                <w:bdr w:val="none" w:sz="0" w:space="0" w:color="auto" w:frame="1"/>
              </w:rPr>
              <w:t>pajėgumais</w:t>
            </w:r>
            <w:proofErr w:type="spellEnd"/>
            <w:r w:rsidRPr="00A37F33">
              <w:rPr>
                <w:color w:val="000000"/>
                <w:sz w:val="24"/>
                <w:szCs w:val="24"/>
                <w:bdr w:val="none" w:sz="0" w:space="0" w:color="auto" w:frame="1"/>
              </w:rPr>
              <w:t xml:space="preserve"> remiamasi, ar kontroliuojantis asmuo yra </w:t>
            </w:r>
            <w:r w:rsidRPr="00A37F33">
              <w:rPr>
                <w:color w:val="000000"/>
                <w:sz w:val="24"/>
                <w:szCs w:val="24"/>
                <w:bdr w:val="none" w:sz="0" w:space="0" w:color="auto" w:frame="1"/>
              </w:rPr>
              <w:lastRenderedPageBreak/>
              <w:t>fizinis asmuo – nuolat gyvenantis ar turintis pilietybę) VPĮ 92 straipsnio 14 dalyje numatytame sąraše nurodytose valstybėse ar teritorijose</w:t>
            </w:r>
          </w:p>
        </w:tc>
        <w:tc>
          <w:tcPr>
            <w:tcW w:w="1592" w:type="pct"/>
            <w:tcBorders>
              <w:top w:val="single" w:sz="4" w:space="0" w:color="auto"/>
              <w:left w:val="single" w:sz="4" w:space="0" w:color="auto"/>
              <w:bottom w:val="single" w:sz="4" w:space="0" w:color="auto"/>
              <w:right w:val="single" w:sz="4" w:space="0" w:color="000000" w:themeColor="text1"/>
            </w:tcBorders>
          </w:tcPr>
          <w:p w14:paraId="3898ED9F" w14:textId="77777777" w:rsidR="00346407" w:rsidRPr="005002E7" w:rsidRDefault="00346407" w:rsidP="00346407">
            <w:pPr>
              <w:pStyle w:val="paragrafesrasas2lygis"/>
              <w:rPr>
                <w:sz w:val="24"/>
                <w:szCs w:val="24"/>
              </w:rPr>
            </w:pPr>
            <w:r>
              <w:rPr>
                <w:sz w:val="24"/>
                <w:szCs w:val="24"/>
              </w:rPr>
              <w:lastRenderedPageBreak/>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auto"/>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r w:rsidR="007944E7" w:rsidRPr="00172324" w14:paraId="7948E546"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2E3D718B" w14:textId="618BF0D2" w:rsidR="007944E7" w:rsidRPr="00346407" w:rsidRDefault="007944E7" w:rsidP="000B1465">
            <w:pPr>
              <w:spacing w:before="60" w:after="60" w:line="257" w:lineRule="auto"/>
              <w:jc w:val="center"/>
              <w:rPr>
                <w:rFonts w:eastAsiaTheme="minorHAnsi"/>
                <w:color w:val="000000" w:themeColor="text1"/>
                <w:sz w:val="24"/>
                <w:szCs w:val="24"/>
              </w:rPr>
            </w:pPr>
            <w:r>
              <w:rPr>
                <w:rFonts w:eastAsiaTheme="minorHAnsi"/>
                <w:color w:val="000000" w:themeColor="text1"/>
                <w:sz w:val="24"/>
                <w:szCs w:val="24"/>
              </w:rPr>
              <w:t>4.</w:t>
            </w:r>
          </w:p>
        </w:tc>
        <w:tc>
          <w:tcPr>
            <w:tcW w:w="1452" w:type="pct"/>
            <w:tcBorders>
              <w:top w:val="single" w:sz="4" w:space="0" w:color="auto"/>
              <w:left w:val="single" w:sz="4" w:space="0" w:color="auto"/>
              <w:bottom w:val="single" w:sz="4" w:space="0" w:color="auto"/>
              <w:right w:val="nil"/>
            </w:tcBorders>
          </w:tcPr>
          <w:p w14:paraId="06399E1E" w14:textId="5D05CCD7" w:rsidR="007944E7" w:rsidRPr="007944E7" w:rsidRDefault="007944E7" w:rsidP="00346407">
            <w:pPr>
              <w:ind w:firstLine="0"/>
              <w:jc w:val="left"/>
              <w:rPr>
                <w:b/>
                <w:sz w:val="24"/>
                <w:szCs w:val="24"/>
              </w:rPr>
            </w:pPr>
            <w:r w:rsidRPr="007944E7">
              <w:rPr>
                <w:b/>
                <w:sz w:val="24"/>
                <w:szCs w:val="24"/>
              </w:rPr>
              <w:t>Pašalinimo pagrindai</w:t>
            </w:r>
          </w:p>
        </w:tc>
        <w:tc>
          <w:tcPr>
            <w:tcW w:w="1592" w:type="pct"/>
            <w:tcBorders>
              <w:top w:val="single" w:sz="4" w:space="0" w:color="auto"/>
              <w:left w:val="nil"/>
              <w:bottom w:val="single" w:sz="4" w:space="0" w:color="auto"/>
              <w:right w:val="nil"/>
            </w:tcBorders>
          </w:tcPr>
          <w:p w14:paraId="6B739659" w14:textId="77777777" w:rsidR="007944E7" w:rsidRDefault="007944E7" w:rsidP="00346407">
            <w:pPr>
              <w:pStyle w:val="paragrafesrasas2lygis"/>
              <w:rPr>
                <w:sz w:val="24"/>
                <w:szCs w:val="24"/>
              </w:rPr>
            </w:pPr>
          </w:p>
        </w:tc>
        <w:tc>
          <w:tcPr>
            <w:tcW w:w="1256" w:type="pct"/>
            <w:tcBorders>
              <w:top w:val="single" w:sz="4" w:space="0" w:color="auto"/>
              <w:left w:val="nil"/>
              <w:bottom w:val="single" w:sz="4" w:space="0" w:color="auto"/>
              <w:right w:val="single" w:sz="4" w:space="0" w:color="auto"/>
            </w:tcBorders>
          </w:tcPr>
          <w:p w14:paraId="4C5BD00A" w14:textId="77777777" w:rsidR="007944E7" w:rsidRPr="00172324" w:rsidRDefault="007944E7" w:rsidP="000B1465">
            <w:pPr>
              <w:autoSpaceDE w:val="0"/>
              <w:autoSpaceDN w:val="0"/>
              <w:adjustRightInd w:val="0"/>
              <w:rPr>
                <w:color w:val="000000"/>
                <w:sz w:val="24"/>
                <w:szCs w:val="24"/>
              </w:rPr>
            </w:pPr>
          </w:p>
        </w:tc>
      </w:tr>
      <w:tr w:rsidR="007944E7" w:rsidRPr="00172324" w14:paraId="59B9F596" w14:textId="77777777" w:rsidTr="007944E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41A1D" w14:textId="77777777" w:rsidR="007944E7" w:rsidRDefault="007944E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2BECA93E" w14:textId="77777777" w:rsidR="007944E7" w:rsidRPr="00EF61F5" w:rsidRDefault="007944E7" w:rsidP="007944E7">
            <w:pPr>
              <w:pStyle w:val="NoSpacing"/>
              <w:ind w:firstLine="0"/>
              <w:rPr>
                <w:rFonts w:eastAsia="Yu Mincho"/>
                <w:bCs/>
                <w:iCs/>
                <w:color w:val="000000" w:themeColor="text1"/>
                <w:sz w:val="24"/>
                <w:szCs w:val="24"/>
              </w:rPr>
            </w:pPr>
            <w:r w:rsidRPr="007F0873">
              <w:rPr>
                <w:rFonts w:eastAsia="Calibri"/>
                <w:sz w:val="24"/>
                <w:szCs w:val="24"/>
                <w:shd w:val="clear" w:color="auto" w:fill="FFFFFF"/>
              </w:rPr>
              <w:t>2025-02-01 įsigaliojo nauja</w:t>
            </w:r>
            <w:r w:rsidRPr="007F0873">
              <w:rPr>
                <w:rFonts w:ascii="Arial" w:eastAsia="Calibri" w:hAnsi="Arial" w:cs="Arial"/>
                <w:shd w:val="clear" w:color="auto" w:fill="FFFFFF"/>
              </w:rPr>
              <w:t xml:space="preserve"> </w:t>
            </w:r>
            <w:r w:rsidRPr="00981CC1">
              <w:rPr>
                <w:rFonts w:eastAsia="Calibri"/>
                <w:b/>
                <w:sz w:val="24"/>
                <w:szCs w:val="24"/>
                <w:bdr w:val="none" w:sz="0" w:space="0" w:color="auto" w:frame="1"/>
                <w:shd w:val="clear" w:color="auto" w:fill="FFFFFF"/>
              </w:rPr>
              <w:t>VPĮ 46 str. 2</w:t>
            </w:r>
            <w:r w:rsidRPr="00981CC1">
              <w:rPr>
                <w:rFonts w:eastAsia="Calibri"/>
                <w:b/>
                <w:sz w:val="24"/>
                <w:szCs w:val="24"/>
                <w:bdr w:val="none" w:sz="0" w:space="0" w:color="auto" w:frame="1"/>
                <w:shd w:val="clear" w:color="auto" w:fill="FFFFFF"/>
                <w:vertAlign w:val="superscript"/>
              </w:rPr>
              <w:t>1 </w:t>
            </w:r>
            <w:r w:rsidRPr="00981CC1">
              <w:rPr>
                <w:rFonts w:eastAsia="Calibri"/>
                <w:b/>
                <w:sz w:val="24"/>
                <w:szCs w:val="24"/>
                <w:bdr w:val="none" w:sz="0" w:space="0" w:color="auto" w:frame="1"/>
                <w:shd w:val="clear" w:color="auto" w:fill="FFFFFF"/>
              </w:rPr>
              <w:t>nuostata</w:t>
            </w:r>
            <w:r w:rsidRPr="007F0873">
              <w:rPr>
                <w:rFonts w:eastAsia="Calibri"/>
                <w:sz w:val="24"/>
                <w:szCs w:val="24"/>
                <w:bdr w:val="none" w:sz="0" w:space="0" w:color="auto" w:frame="1"/>
                <w:shd w:val="clear" w:color="auto" w:fill="FFFFFF"/>
              </w:rPr>
              <w:t xml:space="preserve"> (</w:t>
            </w:r>
            <w:hyperlink r:id="rId14" w:history="1">
              <w:r w:rsidRPr="007F0873">
                <w:rPr>
                  <w:rFonts w:eastAsia="Calibri"/>
                  <w:sz w:val="24"/>
                  <w:szCs w:val="24"/>
                  <w:u w:val="single"/>
                  <w:bdr w:val="none" w:sz="0" w:space="0" w:color="auto" w:frame="1"/>
                  <w:shd w:val="clear" w:color="auto" w:fill="FFFFFF"/>
                </w:rPr>
                <w:t>Lietuvos Respublikos viešųjų pirkimų įstatymo Nr. I-1491 46 straipsnio pakeitimo įstatymas</w:t>
              </w:r>
            </w:hyperlink>
            <w:r w:rsidRPr="007F0873">
              <w:rPr>
                <w:rFonts w:eastAsia="Calibri"/>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E7AB7A2" w14:textId="77777777" w:rsidR="007944E7" w:rsidRDefault="007944E7" w:rsidP="00346407">
            <w:pPr>
              <w:ind w:firstLine="0"/>
              <w:jc w:val="left"/>
              <w:rPr>
                <w:sz w:val="24"/>
                <w:szCs w:val="24"/>
              </w:rPr>
            </w:pP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7BF215D6" w14:textId="367365AC" w:rsidR="007944E7" w:rsidRPr="007944E7" w:rsidRDefault="007944E7" w:rsidP="007944E7">
            <w:pPr>
              <w:spacing w:before="240"/>
              <w:ind w:firstLine="0"/>
              <w:rPr>
                <w:rFonts w:eastAsia="Arial"/>
                <w:color w:val="000000"/>
                <w:sz w:val="24"/>
                <w:szCs w:val="24"/>
              </w:rPr>
            </w:pPr>
            <w:r>
              <w:rPr>
                <w:rFonts w:eastAsia="Arial"/>
                <w:color w:val="000000"/>
                <w:sz w:val="24"/>
                <w:szCs w:val="24"/>
              </w:rPr>
              <w:t xml:space="preserve">Tiekėjo </w:t>
            </w:r>
            <w:r w:rsidRPr="007944E7">
              <w:rPr>
                <w:rFonts w:eastAsia="Arial"/>
                <w:color w:val="000000"/>
                <w:sz w:val="24"/>
                <w:szCs w:val="24"/>
              </w:rPr>
              <w:t>nereikalaujama pateikti EBVPD, tačiau tiekėjas kartu su pasiūlymu laisvos formos</w:t>
            </w:r>
            <w:r w:rsidRPr="00EF61F5">
              <w:rPr>
                <w:rFonts w:eastAsia="Arial"/>
                <w:b/>
                <w:i/>
                <w:color w:val="000000"/>
                <w:sz w:val="24"/>
                <w:szCs w:val="24"/>
              </w:rPr>
              <w:t xml:space="preserve"> tiekėjo </w:t>
            </w:r>
            <w:r w:rsidRPr="007944E7">
              <w:rPr>
                <w:rFonts w:eastAsia="Arial"/>
                <w:color w:val="000000"/>
                <w:sz w:val="24"/>
                <w:szCs w:val="24"/>
              </w:rPr>
              <w:t>deklaracija privalo patvirtinti, kad jam nėra taikomi pašalinimo pagrindai.</w:t>
            </w:r>
          </w:p>
          <w:p w14:paraId="34E38750" w14:textId="77777777" w:rsidR="007944E7" w:rsidRDefault="007944E7" w:rsidP="00346407">
            <w:pPr>
              <w:pStyle w:val="paragrafesrasas2lygis"/>
              <w:rPr>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17CACA27" w14:textId="77777777" w:rsidR="007944E7" w:rsidRPr="00172324" w:rsidRDefault="007944E7" w:rsidP="000B1465">
            <w:pPr>
              <w:autoSpaceDE w:val="0"/>
              <w:autoSpaceDN w:val="0"/>
              <w:adjustRightInd w:val="0"/>
              <w:rPr>
                <w:color w:val="000000"/>
                <w:sz w:val="24"/>
                <w:szCs w:val="24"/>
              </w:rPr>
            </w:pPr>
          </w:p>
        </w:tc>
      </w:tr>
    </w:tbl>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5"/>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4ED020C7"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ne</w:t>
      </w:r>
      <w:r w:rsidR="00346407">
        <w:rPr>
          <w:rFonts w:ascii="Times New Roman" w:eastAsia="Arial" w:hAnsi="Times New Roman" w:cs="Times New Roman"/>
          <w:sz w:val="24"/>
          <w:szCs w:val="24"/>
        </w:rPr>
        <w:t>reikalauja, kad tiekėjai laikytū</w:t>
      </w:r>
      <w:r w:rsidR="00112F92" w:rsidRPr="00172324">
        <w:rPr>
          <w:rFonts w:ascii="Times New Roman" w:eastAsia="Arial" w:hAnsi="Times New Roman" w:cs="Times New Roman"/>
          <w:sz w:val="24"/>
          <w:szCs w:val="24"/>
        </w:rPr>
        <w:t xml:space="preserve">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6147A0F2" w14:textId="0494729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sąlygų3 priedas „„EBVPD“ (XML formatu)“</w:t>
      </w:r>
    </w:p>
    <w:bookmarkEnd w:id="25"/>
    <w:bookmarkEnd w:id="26"/>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5C1A" w14:textId="77777777" w:rsidR="00EB3E9D" w:rsidRDefault="00EB3E9D" w:rsidP="00D05666">
      <w:r>
        <w:separator/>
      </w:r>
    </w:p>
  </w:endnote>
  <w:endnote w:type="continuationSeparator" w:id="0">
    <w:p w14:paraId="46FDE6E2" w14:textId="77777777" w:rsidR="00EB3E9D" w:rsidRDefault="00EB3E9D" w:rsidP="00D05666">
      <w:r>
        <w:continuationSeparator/>
      </w:r>
    </w:p>
  </w:endnote>
  <w:endnote w:type="continuationNotice" w:id="1">
    <w:p w14:paraId="32D7531B" w14:textId="77777777" w:rsidR="00EB3E9D" w:rsidRDefault="00EB3E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19ED8" w14:textId="77777777" w:rsidR="00EB3E9D" w:rsidRDefault="00EB3E9D" w:rsidP="00D05666">
      <w:r>
        <w:separator/>
      </w:r>
    </w:p>
  </w:footnote>
  <w:footnote w:type="continuationSeparator" w:id="0">
    <w:p w14:paraId="6F671EFB" w14:textId="77777777" w:rsidR="00EB3E9D" w:rsidRDefault="00EB3E9D" w:rsidP="00D05666">
      <w:r>
        <w:continuationSeparator/>
      </w:r>
    </w:p>
  </w:footnote>
  <w:footnote w:type="continuationNotice" w:id="1">
    <w:p w14:paraId="765A3337" w14:textId="77777777" w:rsidR="00EB3E9D" w:rsidRDefault="00EB3E9D">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3F0C541" w:rsidR="00285B02" w:rsidRDefault="00285B02">
        <w:pPr>
          <w:pStyle w:val="Header"/>
          <w:jc w:val="center"/>
        </w:pPr>
        <w:r>
          <w:fldChar w:fldCharType="begin"/>
        </w:r>
        <w:r>
          <w:instrText>PAGE   \* MERGEFORMAT</w:instrText>
        </w:r>
        <w:r>
          <w:fldChar w:fldCharType="separate"/>
        </w:r>
        <w:r w:rsidR="001145E1">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95"/>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5E1"/>
    <w:rsid w:val="00115BB9"/>
    <w:rsid w:val="0011798C"/>
    <w:rsid w:val="00117D8E"/>
    <w:rsid w:val="001207D3"/>
    <w:rsid w:val="00120F58"/>
    <w:rsid w:val="00121982"/>
    <w:rsid w:val="001224F5"/>
    <w:rsid w:val="0012267C"/>
    <w:rsid w:val="00122E1C"/>
    <w:rsid w:val="001235A9"/>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15E"/>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2D1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4E7"/>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5515"/>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CC1"/>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3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E9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448"/>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92787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48838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222"/>
    <w:rsid w:val="000E3D5E"/>
    <w:rsid w:val="000E62D1"/>
    <w:rsid w:val="001251FC"/>
    <w:rsid w:val="00127A9E"/>
    <w:rsid w:val="001D2CBB"/>
    <w:rsid w:val="001E3B26"/>
    <w:rsid w:val="00295EF8"/>
    <w:rsid w:val="00296288"/>
    <w:rsid w:val="002C1509"/>
    <w:rsid w:val="003029BA"/>
    <w:rsid w:val="003661A6"/>
    <w:rsid w:val="003A40E3"/>
    <w:rsid w:val="003C05B3"/>
    <w:rsid w:val="00430113"/>
    <w:rsid w:val="00447837"/>
    <w:rsid w:val="00460C76"/>
    <w:rsid w:val="0046126A"/>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D74C1"/>
    <w:rsid w:val="009E6FBD"/>
    <w:rsid w:val="00A02E8E"/>
    <w:rsid w:val="00A660F1"/>
    <w:rsid w:val="00A87851"/>
    <w:rsid w:val="00AD09B5"/>
    <w:rsid w:val="00B02DFF"/>
    <w:rsid w:val="00B031BD"/>
    <w:rsid w:val="00B604DE"/>
    <w:rsid w:val="00B70DD9"/>
    <w:rsid w:val="00BA6654"/>
    <w:rsid w:val="00C131F6"/>
    <w:rsid w:val="00C64F5A"/>
    <w:rsid w:val="00C84277"/>
    <w:rsid w:val="00CD27B6"/>
    <w:rsid w:val="00CF4CEB"/>
    <w:rsid w:val="00D06F6F"/>
    <w:rsid w:val="00D1288B"/>
    <w:rsid w:val="00D70C74"/>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C675A-42E9-4EC9-83B7-A031FEAE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2750</Words>
  <Characters>15680</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20</cp:revision>
  <cp:lastPrinted>2021-11-02T20:49:00Z</cp:lastPrinted>
  <dcterms:created xsi:type="dcterms:W3CDTF">2024-03-14T11:21:00Z</dcterms:created>
  <dcterms:modified xsi:type="dcterms:W3CDTF">2025-10-01T10:09:00Z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