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40ACA55A"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xml:space="preserve">), planuodamas įsigyti </w:t>
      </w:r>
      <w:r w:rsidR="00A73732" w:rsidRPr="00FE75C1">
        <w:rPr>
          <w:rFonts w:ascii="Arial" w:hAnsi="Arial" w:cs="Arial"/>
          <w:sz w:val="22"/>
          <w:szCs w:val="22"/>
          <w:lang w:val="lt-LT"/>
        </w:rPr>
        <w:t>–</w:t>
      </w:r>
      <w:r w:rsidRPr="00FE75C1">
        <w:rPr>
          <w:rFonts w:ascii="Arial" w:hAnsi="Arial" w:cs="Arial"/>
          <w:sz w:val="22"/>
          <w:szCs w:val="22"/>
          <w:lang w:val="lt-LT"/>
        </w:rPr>
        <w:t xml:space="preserve"> </w:t>
      </w:r>
      <w:r w:rsidR="003D0F1C" w:rsidRPr="003D0F1C">
        <w:rPr>
          <w:rFonts w:ascii="Arial" w:hAnsi="Arial" w:cs="Arial"/>
          <w:sz w:val="22"/>
          <w:szCs w:val="22"/>
          <w:lang w:val="lt-LT"/>
        </w:rPr>
        <w:t>Vilniaus Juzefo Ignacijaus Kraševskio gimnazijos vandens šildymo katilinės adresu Rugiagėlių g. 15</w:t>
      </w:r>
      <w:r w:rsidR="003D0F1C">
        <w:rPr>
          <w:rFonts w:ascii="Arial" w:hAnsi="Arial" w:cs="Arial"/>
          <w:sz w:val="22"/>
          <w:szCs w:val="22"/>
          <w:lang w:val="lt-LT"/>
        </w:rPr>
        <w:t>, Vilnius,</w:t>
      </w:r>
      <w:r w:rsidR="003D0F1C" w:rsidRPr="003D0F1C">
        <w:rPr>
          <w:rFonts w:ascii="Arial" w:hAnsi="Arial" w:cs="Arial"/>
          <w:sz w:val="22"/>
          <w:szCs w:val="22"/>
          <w:lang w:val="lt-LT"/>
        </w:rPr>
        <w:t xml:space="preserve"> remont</w:t>
      </w:r>
      <w:r w:rsidR="003D0F1C">
        <w:rPr>
          <w:rFonts w:ascii="Arial" w:hAnsi="Arial" w:cs="Arial"/>
          <w:sz w:val="22"/>
          <w:szCs w:val="22"/>
          <w:lang w:val="lt-LT"/>
        </w:rPr>
        <w:t>o darbus</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21ECA7B2"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 xml:space="preserve">Kviečiame Dalyvius susipažinti su skelbiamu preliminariu techninės specifikacijos projektu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ED4BBE" w:rsidRPr="00FE75C1" w14:paraId="40DDE374" w14:textId="77777777" w:rsidTr="00D60AD1">
        <w:trPr>
          <w:trHeight w:val="1048"/>
        </w:trPr>
        <w:tc>
          <w:tcPr>
            <w:tcW w:w="9628" w:type="dxa"/>
            <w:tcBorders>
              <w:top w:val="dotted" w:sz="4" w:space="0" w:color="auto"/>
            </w:tcBorders>
          </w:tcPr>
          <w:p w14:paraId="794AAD0E" w14:textId="77777777" w:rsidR="00ED4BBE" w:rsidRPr="00FE75C1" w:rsidRDefault="00ED4BBE" w:rsidP="00D60AD1">
            <w:pPr>
              <w:jc w:val="both"/>
              <w:rPr>
                <w:rFonts w:ascii="Arial" w:hAnsi="Arial" w:cs="Arial"/>
                <w:color w:val="000000"/>
                <w:sz w:val="22"/>
                <w:szCs w:val="22"/>
                <w:lang w:val="lt-LT" w:eastAsia="lt-LT"/>
              </w:rPr>
            </w:pPr>
          </w:p>
        </w:tc>
      </w:tr>
      <w:tr w:rsidR="006401FF" w:rsidRPr="00FE75C1" w14:paraId="546771F6" w14:textId="77777777" w:rsidTr="006401FF">
        <w:tc>
          <w:tcPr>
            <w:tcW w:w="9628" w:type="dxa"/>
          </w:tcPr>
          <w:p w14:paraId="54EE48B0" w14:textId="49AB261E" w:rsidR="006401FF" w:rsidRPr="00FE75C1" w:rsidRDefault="00427B53" w:rsidP="00366F1C">
            <w:pPr>
              <w:pStyle w:val="ListParagraph"/>
              <w:numPr>
                <w:ilvl w:val="0"/>
                <w:numId w:val="36"/>
              </w:numPr>
              <w:spacing w:after="0" w:line="276" w:lineRule="auto"/>
              <w:jc w:val="both"/>
              <w:rPr>
                <w:rFonts w:ascii="Arial" w:hAnsi="Arial" w:cs="Arial"/>
              </w:rPr>
            </w:pPr>
            <w:r w:rsidRPr="00FE75C1">
              <w:rPr>
                <w:rFonts w:ascii="Arial" w:eastAsia="Calibri" w:hAnsi="Arial" w:cs="Arial"/>
              </w:rPr>
              <w:t xml:space="preserve">Ar realūs </w:t>
            </w:r>
            <w:r w:rsidR="002B745B">
              <w:rPr>
                <w:rFonts w:ascii="Arial" w:eastAsia="Calibri" w:hAnsi="Arial" w:cs="Arial"/>
              </w:rPr>
              <w:t>vykdymo</w:t>
            </w:r>
            <w:r w:rsidRPr="00FE75C1">
              <w:rPr>
                <w:rFonts w:ascii="Arial" w:eastAsia="Calibri" w:hAnsi="Arial" w:cs="Arial"/>
              </w:rPr>
              <w:t xml:space="preserve"> terminai nurodyti pateiktoje preliminarioje techninėje specifikacijoje?</w:t>
            </w:r>
            <w:r w:rsidR="004B7C84" w:rsidRPr="00FE75C1">
              <w:rPr>
                <w:rFonts w:ascii="Arial" w:hAnsi="Arial" w:cs="Arial"/>
              </w:rPr>
              <w:t xml:space="preserve"> </w:t>
            </w:r>
          </w:p>
        </w:tc>
      </w:tr>
      <w:tr w:rsidR="006401FF" w:rsidRPr="00FE75C1" w14:paraId="73FE4848" w14:textId="77777777" w:rsidTr="006401FF">
        <w:trPr>
          <w:trHeight w:val="1138"/>
        </w:trPr>
        <w:tc>
          <w:tcPr>
            <w:tcW w:w="9628" w:type="dxa"/>
          </w:tcPr>
          <w:p w14:paraId="1F8BC508" w14:textId="77777777" w:rsidR="006401FF" w:rsidRPr="00FE75C1" w:rsidRDefault="006401FF" w:rsidP="00D60AD1">
            <w:pPr>
              <w:ind w:left="318"/>
              <w:jc w:val="both"/>
              <w:rPr>
                <w:rFonts w:ascii="Arial" w:hAnsi="Arial" w:cs="Arial"/>
                <w:color w:val="000000"/>
                <w:sz w:val="22"/>
                <w:szCs w:val="22"/>
                <w:lang w:val="lt-LT" w:eastAsia="lt-LT"/>
              </w:rPr>
            </w:pPr>
          </w:p>
          <w:p w14:paraId="50129581" w14:textId="77777777" w:rsidR="006401FF" w:rsidRPr="00FE75C1" w:rsidRDefault="006401FF" w:rsidP="00D60AD1">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797B08E2"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Nurodykite, kokia būtų preliminari kaina?</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r w:rsidR="002B745B" w:rsidRPr="00FE75C1" w14:paraId="724CCF44" w14:textId="77777777" w:rsidTr="00937F10">
        <w:tc>
          <w:tcPr>
            <w:tcW w:w="9628" w:type="dxa"/>
          </w:tcPr>
          <w:p w14:paraId="48369DB4" w14:textId="4456D701" w:rsidR="002B745B" w:rsidRPr="00FE75C1" w:rsidRDefault="00F8750F" w:rsidP="00F8750F">
            <w:pPr>
              <w:pStyle w:val="ListParagraph"/>
              <w:numPr>
                <w:ilvl w:val="0"/>
                <w:numId w:val="36"/>
              </w:numPr>
              <w:spacing w:after="0" w:line="276" w:lineRule="auto"/>
              <w:jc w:val="both"/>
              <w:rPr>
                <w:rFonts w:ascii="Arial" w:hAnsi="Arial" w:cs="Arial"/>
              </w:rPr>
            </w:pPr>
            <w:r>
              <w:rPr>
                <w:rFonts w:ascii="Arial" w:hAnsi="Arial" w:cs="Arial"/>
              </w:rPr>
              <w:lastRenderedPageBreak/>
              <w:t xml:space="preserve">Ar pateikti kvalifikacijos reikalavimai yra pakankami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77777777" w:rsidR="002B745B" w:rsidRPr="00FE75C1" w:rsidRDefault="002B745B" w:rsidP="0067122A">
            <w:pPr>
              <w:pStyle w:val="ListParagraph"/>
              <w:spacing w:after="0" w:line="276" w:lineRule="auto"/>
              <w:ind w:left="927"/>
              <w:jc w:val="both"/>
              <w:rPr>
                <w:rFonts w:ascii="Arial" w:hAnsi="Arial" w:cs="Arial"/>
              </w:rPr>
            </w:pPr>
          </w:p>
        </w:tc>
      </w:tr>
      <w:tr w:rsidR="00F87603" w:rsidRPr="00FE75C1" w14:paraId="4734C35D" w14:textId="77777777" w:rsidTr="00F87603">
        <w:trPr>
          <w:trHeight w:val="266"/>
        </w:trPr>
        <w:tc>
          <w:tcPr>
            <w:tcW w:w="9628" w:type="dxa"/>
          </w:tcPr>
          <w:p w14:paraId="0C161BCA" w14:textId="399079B2" w:rsidR="00F87603" w:rsidRPr="00F87603" w:rsidRDefault="00F87603" w:rsidP="00F87603">
            <w:pPr>
              <w:pStyle w:val="ListParagraph"/>
              <w:numPr>
                <w:ilvl w:val="0"/>
                <w:numId w:val="36"/>
              </w:numPr>
              <w:spacing w:after="0" w:line="276" w:lineRule="auto"/>
              <w:jc w:val="both"/>
              <w:rPr>
                <w:rFonts w:ascii="Arial" w:hAnsi="Arial" w:cs="Arial"/>
                <w:lang w:val="en-US"/>
              </w:rPr>
            </w:pPr>
            <w:r>
              <w:rPr>
                <w:rFonts w:ascii="Arial" w:hAnsi="Arial" w:cs="Arial"/>
              </w:rPr>
              <w:t>Ar pateikti kvalifikacijos reikalavimai</w:t>
            </w:r>
            <w:r w:rsidR="004E17F7">
              <w:rPr>
                <w:rFonts w:ascii="Arial" w:hAnsi="Arial" w:cs="Arial"/>
              </w:rPr>
              <w:t xml:space="preserve">, tiekėjų nuomone, </w:t>
            </w:r>
            <w:r w:rsidR="000B6C96">
              <w:rPr>
                <w:rFonts w:ascii="Arial" w:hAnsi="Arial" w:cs="Arial"/>
              </w:rPr>
              <w:t xml:space="preserve">nėra per aukšti ir </w:t>
            </w:r>
            <w:r w:rsidR="004E17F7">
              <w:rPr>
                <w:rFonts w:ascii="Arial" w:hAnsi="Arial" w:cs="Arial"/>
              </w:rPr>
              <w:t>dirbtinai neriboja konkurencijos?</w:t>
            </w:r>
            <w:r>
              <w:rPr>
                <w:rFonts w:ascii="Arial" w:hAnsi="Arial" w:cs="Arial"/>
              </w:rPr>
              <w:t xml:space="preserve"> </w:t>
            </w:r>
          </w:p>
        </w:tc>
      </w:tr>
      <w:tr w:rsidR="00F87603" w:rsidRPr="00FE75C1" w14:paraId="3ACA36BB" w14:textId="77777777" w:rsidTr="002B745B">
        <w:trPr>
          <w:trHeight w:val="835"/>
        </w:trPr>
        <w:tc>
          <w:tcPr>
            <w:tcW w:w="9628" w:type="dxa"/>
          </w:tcPr>
          <w:p w14:paraId="4676132B" w14:textId="77777777" w:rsidR="00F87603" w:rsidRPr="00FE75C1" w:rsidRDefault="00F87603" w:rsidP="0067122A">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0C3D49EA" w:rsidR="00ED4BBE" w:rsidRDefault="00470D8F" w:rsidP="00ED4BBE">
      <w:pPr>
        <w:pStyle w:val="ListParagraph"/>
        <w:numPr>
          <w:ilvl w:val="0"/>
          <w:numId w:val="32"/>
        </w:numPr>
        <w:spacing w:after="0" w:line="240" w:lineRule="auto"/>
        <w:jc w:val="both"/>
        <w:rPr>
          <w:rFonts w:ascii="Arial" w:hAnsi="Arial" w:cs="Arial"/>
        </w:rPr>
      </w:pPr>
      <w:r>
        <w:rPr>
          <w:rFonts w:ascii="Arial" w:hAnsi="Arial" w:cs="Arial"/>
        </w:rPr>
        <w:t>T</w:t>
      </w:r>
      <w:r w:rsidR="00ED4BBE" w:rsidRPr="000A0687">
        <w:rPr>
          <w:rFonts w:ascii="Arial" w:hAnsi="Arial" w:cs="Arial"/>
        </w:rPr>
        <w:t>echninės specifikacijos projektas</w:t>
      </w:r>
      <w:r>
        <w:rPr>
          <w:rFonts w:ascii="Arial" w:hAnsi="Arial" w:cs="Arial"/>
        </w:rPr>
        <w:t>;</w:t>
      </w:r>
    </w:p>
    <w:p w14:paraId="62C060CC" w14:textId="2B472342" w:rsidR="00470D8F" w:rsidRPr="000A0687" w:rsidRDefault="00470D8F" w:rsidP="00ED4BBE">
      <w:pPr>
        <w:pStyle w:val="ListParagraph"/>
        <w:numPr>
          <w:ilvl w:val="0"/>
          <w:numId w:val="32"/>
        </w:numPr>
        <w:spacing w:after="0" w:line="240" w:lineRule="auto"/>
        <w:jc w:val="both"/>
        <w:rPr>
          <w:rFonts w:ascii="Arial" w:hAnsi="Arial" w:cs="Arial"/>
        </w:rPr>
      </w:pPr>
      <w:r>
        <w:rPr>
          <w:rFonts w:ascii="Arial" w:hAnsi="Arial" w:cs="Arial"/>
        </w:rPr>
        <w:t>Kvalifikacijos reikalavimų projektas.</w:t>
      </w:r>
    </w:p>
    <w:p w14:paraId="34494892" w14:textId="77777777" w:rsidR="00B3266D" w:rsidRPr="000A0687" w:rsidRDefault="00B3266D" w:rsidP="00747BE0">
      <w:pPr>
        <w:spacing w:line="360" w:lineRule="auto"/>
        <w:rPr>
          <w:rFonts w:ascii="Arial" w:hAnsi="Arial" w:cs="Arial"/>
          <w:sz w:val="22"/>
          <w:szCs w:val="22"/>
          <w:lang w:val="lt-LT"/>
        </w:rPr>
      </w:pP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100856"/>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D8F"/>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E17F7"/>
    <w:rsid w:val="004F1546"/>
    <w:rsid w:val="004F1889"/>
    <w:rsid w:val="00503F4A"/>
    <w:rsid w:val="00510885"/>
    <w:rsid w:val="005278E0"/>
    <w:rsid w:val="0053003F"/>
    <w:rsid w:val="005315EE"/>
    <w:rsid w:val="00537D52"/>
    <w:rsid w:val="0054058B"/>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A17"/>
    <w:rsid w:val="005D6BBD"/>
    <w:rsid w:val="005E0317"/>
    <w:rsid w:val="005E12DB"/>
    <w:rsid w:val="005E2417"/>
    <w:rsid w:val="005E5D45"/>
    <w:rsid w:val="005E6178"/>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31FE"/>
    <w:rsid w:val="00927536"/>
    <w:rsid w:val="00937F10"/>
    <w:rsid w:val="00940357"/>
    <w:rsid w:val="00941D3B"/>
    <w:rsid w:val="009566B2"/>
    <w:rsid w:val="0096268B"/>
    <w:rsid w:val="00974F17"/>
    <w:rsid w:val="0097508A"/>
    <w:rsid w:val="009813EA"/>
    <w:rsid w:val="00987CCD"/>
    <w:rsid w:val="009960DB"/>
    <w:rsid w:val="009962C1"/>
    <w:rsid w:val="00996763"/>
    <w:rsid w:val="00996911"/>
    <w:rsid w:val="00997FE4"/>
    <w:rsid w:val="009A1E4F"/>
    <w:rsid w:val="009A3750"/>
    <w:rsid w:val="009B364E"/>
    <w:rsid w:val="009B66C5"/>
    <w:rsid w:val="009C1994"/>
    <w:rsid w:val="009C2FEA"/>
    <w:rsid w:val="009D1179"/>
    <w:rsid w:val="009D1205"/>
    <w:rsid w:val="009D1BD3"/>
    <w:rsid w:val="009D414A"/>
    <w:rsid w:val="009D60AB"/>
    <w:rsid w:val="009E5370"/>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2161</Words>
  <Characters>1233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113</cp:revision>
  <dcterms:created xsi:type="dcterms:W3CDTF">2020-03-26T16:56:00Z</dcterms:created>
  <dcterms:modified xsi:type="dcterms:W3CDTF">2025-10-07T07:25:00Z</dcterms:modified>
</cp:coreProperties>
</file>