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8F8B" w14:textId="6979EEE9" w:rsidR="00211B0E" w:rsidRPr="00FC65D7" w:rsidRDefault="00987B7C" w:rsidP="002F349F">
      <w:pPr>
        <w:tabs>
          <w:tab w:val="left" w:pos="4253"/>
        </w:tabs>
        <w:ind w:right="-141"/>
        <w:rPr>
          <w:lang w:val="lt-LT" w:eastAsia="lt-LT"/>
        </w:rPr>
      </w:pPr>
      <w:r w:rsidRPr="00FC65D7">
        <w:rPr>
          <w:noProof/>
          <w:lang w:val="lt-LT" w:eastAsia="lt-LT"/>
        </w:rPr>
        <w:drawing>
          <wp:anchor distT="0" distB="0" distL="114300" distR="114300" simplePos="0" relativeHeight="251658240" behindDoc="0" locked="0" layoutInCell="1" allowOverlap="1" wp14:anchorId="2EB58028" wp14:editId="5C4F8A18">
            <wp:simplePos x="0" y="0"/>
            <wp:positionH relativeFrom="column">
              <wp:posOffset>2710429</wp:posOffset>
            </wp:positionH>
            <wp:positionV relativeFrom="paragraph">
              <wp:posOffset>93</wp:posOffset>
            </wp:positionV>
            <wp:extent cx="685800" cy="685800"/>
            <wp:effectExtent l="0" t="0" r="0" b="0"/>
            <wp:wrapSquare wrapText="bothSides"/>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00676420" w:rsidRPr="00FC65D7">
        <w:rPr>
          <w:lang w:val="lt-LT"/>
        </w:rPr>
        <w:br w:type="textWrapping" w:clear="all"/>
      </w:r>
    </w:p>
    <w:p w14:paraId="7A2EEC5E" w14:textId="77777777" w:rsidR="005439C6" w:rsidRPr="00FC65D7" w:rsidRDefault="005439C6" w:rsidP="005439C6">
      <w:pPr>
        <w:jc w:val="center"/>
        <w:rPr>
          <w:b/>
          <w:lang w:val="lt-LT"/>
        </w:rPr>
      </w:pPr>
      <w:r w:rsidRPr="00FC65D7">
        <w:rPr>
          <w:b/>
          <w:lang w:val="lt-LT"/>
        </w:rPr>
        <w:t>VALSTYBINĖS LIGONIŲ KASOS</w:t>
      </w:r>
    </w:p>
    <w:p w14:paraId="752EBD11" w14:textId="77777777" w:rsidR="005439C6" w:rsidRPr="00FC65D7" w:rsidRDefault="005439C6" w:rsidP="005439C6">
      <w:pPr>
        <w:jc w:val="center"/>
        <w:rPr>
          <w:b/>
          <w:lang w:val="lt-LT"/>
        </w:rPr>
      </w:pPr>
      <w:r w:rsidRPr="00FC65D7">
        <w:rPr>
          <w:b/>
          <w:lang w:val="lt-LT"/>
        </w:rPr>
        <w:t>PRIE SVEIKATOS APSAUGOS MINISTERIJOS</w:t>
      </w:r>
    </w:p>
    <w:p w14:paraId="1D183D2C" w14:textId="6930FEEB" w:rsidR="005439C6" w:rsidRPr="00FC65D7" w:rsidRDefault="005439C6" w:rsidP="005439C6">
      <w:pPr>
        <w:jc w:val="center"/>
        <w:rPr>
          <w:b/>
          <w:lang w:val="lt-LT"/>
        </w:rPr>
      </w:pPr>
      <w:r w:rsidRPr="00FC65D7">
        <w:rPr>
          <w:b/>
          <w:lang w:val="lt-LT"/>
        </w:rPr>
        <w:t xml:space="preserve">NUOLAT VEIKIANTI </w:t>
      </w:r>
      <w:r w:rsidR="0001129A">
        <w:rPr>
          <w:b/>
          <w:lang w:val="lt-LT"/>
        </w:rPr>
        <w:t xml:space="preserve">SUPAPRASTINTŲ IR MAŽOS VERTĖS </w:t>
      </w:r>
    </w:p>
    <w:p w14:paraId="45EF8E89" w14:textId="77777777" w:rsidR="005439C6" w:rsidRPr="00FC65D7" w:rsidRDefault="005439C6" w:rsidP="005439C6">
      <w:pPr>
        <w:jc w:val="center"/>
        <w:rPr>
          <w:b/>
          <w:lang w:val="lt-LT"/>
        </w:rPr>
      </w:pPr>
      <w:r w:rsidRPr="00FC65D7">
        <w:rPr>
          <w:b/>
          <w:lang w:val="lt-LT"/>
        </w:rPr>
        <w:t>VIEŠŲJŲ PIRKIMŲ KOMISIJA</w:t>
      </w:r>
    </w:p>
    <w:p w14:paraId="66974E21" w14:textId="0F1FD7ED" w:rsidR="00263D42" w:rsidRPr="00FC65D7" w:rsidRDefault="00263D42" w:rsidP="00211B0E">
      <w:pPr>
        <w:jc w:val="center"/>
        <w:rPr>
          <w:b/>
          <w:szCs w:val="28"/>
          <w:lang w:val="lt-LT"/>
        </w:rPr>
      </w:pPr>
    </w:p>
    <w:p w14:paraId="53AB6382" w14:textId="2829CE76" w:rsidR="000843B8" w:rsidRPr="00FC65D7" w:rsidRDefault="000843B8" w:rsidP="00211B0E">
      <w:pPr>
        <w:jc w:val="center"/>
        <w:rPr>
          <w:b/>
          <w:szCs w:val="28"/>
          <w:lang w:val="lt-LT"/>
        </w:rPr>
      </w:pPr>
    </w:p>
    <w:p w14:paraId="2822123A" w14:textId="77777777" w:rsidR="00331F99" w:rsidRPr="008E6A32" w:rsidRDefault="00331F99" w:rsidP="00E10B88">
      <w:pPr>
        <w:rPr>
          <w:b/>
          <w:caps/>
          <w:lang w:val="lt-LT"/>
        </w:rPr>
      </w:pPr>
    </w:p>
    <w:p w14:paraId="2C5DA097" w14:textId="202794D0" w:rsidR="002670FC" w:rsidRPr="008E6A32" w:rsidRDefault="002A3B51" w:rsidP="00E10B88">
      <w:pPr>
        <w:rPr>
          <w:b/>
          <w:caps/>
          <w:lang w:val="lt-LT"/>
        </w:rPr>
      </w:pPr>
      <w:r>
        <w:rPr>
          <w:bCs/>
          <w:lang w:val="lt-LT"/>
        </w:rPr>
        <w:t>Pirkimo</w:t>
      </w:r>
      <w:r w:rsidR="00B92290">
        <w:rPr>
          <w:bCs/>
          <w:lang w:val="lt-LT"/>
        </w:rPr>
        <w:t xml:space="preserve"> </w:t>
      </w:r>
      <w:bookmarkStart w:id="0" w:name="_Hlk206752365"/>
      <w:r>
        <w:rPr>
          <w:bCs/>
          <w:lang w:val="lt-LT"/>
        </w:rPr>
        <w:t xml:space="preserve">ID </w:t>
      </w:r>
      <w:bookmarkEnd w:id="0"/>
      <w:r w:rsidR="00182068">
        <w:rPr>
          <w:bCs/>
          <w:lang w:val="lt-LT"/>
        </w:rPr>
        <w:t>4667958</w:t>
      </w:r>
      <w:r>
        <w:rPr>
          <w:bCs/>
          <w:lang w:val="lt-LT"/>
        </w:rPr>
        <w:t xml:space="preserve"> t</w:t>
      </w:r>
      <w:r w:rsidR="0001129A" w:rsidRPr="008E6A32">
        <w:rPr>
          <w:bCs/>
          <w:lang w:val="lt-LT"/>
        </w:rPr>
        <w:t>iekėjams</w:t>
      </w:r>
      <w:r w:rsidR="002456A8">
        <w:rPr>
          <w:bCs/>
          <w:lang w:val="lt-LT"/>
        </w:rPr>
        <w:t xml:space="preserve"> </w:t>
      </w:r>
    </w:p>
    <w:p w14:paraId="061B9E70" w14:textId="77777777" w:rsidR="001F41C1" w:rsidRPr="008E6A32" w:rsidRDefault="001F41C1" w:rsidP="00E10B88">
      <w:pPr>
        <w:rPr>
          <w:b/>
          <w:caps/>
          <w:lang w:val="lt-LT"/>
        </w:rPr>
      </w:pPr>
    </w:p>
    <w:p w14:paraId="5A0950DD" w14:textId="77777777" w:rsidR="00D90A41" w:rsidRDefault="00D90A41" w:rsidP="00E10B88">
      <w:pPr>
        <w:rPr>
          <w:b/>
          <w:caps/>
          <w:lang w:val="lt-LT"/>
        </w:rPr>
      </w:pPr>
    </w:p>
    <w:p w14:paraId="54A3CFB8" w14:textId="4E9F18BA" w:rsidR="00E10B88" w:rsidRPr="008E6A32" w:rsidRDefault="000D5D5E" w:rsidP="00E10B88">
      <w:pPr>
        <w:rPr>
          <w:b/>
          <w:caps/>
          <w:lang w:val="lt-LT"/>
        </w:rPr>
      </w:pPr>
      <w:r w:rsidRPr="008E6A32">
        <w:rPr>
          <w:b/>
          <w:caps/>
          <w:lang w:val="lt-LT"/>
        </w:rPr>
        <w:t>DĖL</w:t>
      </w:r>
      <w:r w:rsidR="005439C6" w:rsidRPr="008E6A32">
        <w:rPr>
          <w:b/>
          <w:caps/>
          <w:lang w:val="lt-LT"/>
        </w:rPr>
        <w:t xml:space="preserve"> PIRKIM</w:t>
      </w:r>
      <w:r w:rsidR="00182068">
        <w:rPr>
          <w:b/>
          <w:caps/>
          <w:lang w:val="lt-LT"/>
        </w:rPr>
        <w:t>E ID 466795</w:t>
      </w:r>
      <w:r w:rsidR="007A1D91">
        <w:rPr>
          <w:b/>
          <w:caps/>
          <w:lang w:val="lt-LT"/>
        </w:rPr>
        <w:t>8</w:t>
      </w:r>
      <w:r w:rsidR="00182068">
        <w:rPr>
          <w:b/>
          <w:caps/>
          <w:lang w:val="lt-LT"/>
        </w:rPr>
        <w:t xml:space="preserve"> PATEIKTŲ PAKLAUSIMŲ</w:t>
      </w:r>
    </w:p>
    <w:p w14:paraId="51A75F10" w14:textId="03C37C3A" w:rsidR="00E10B88" w:rsidRPr="008E6A32" w:rsidRDefault="00E10B88" w:rsidP="00E10B88">
      <w:pPr>
        <w:jc w:val="both"/>
        <w:rPr>
          <w:lang w:val="lt-LT"/>
        </w:rPr>
      </w:pPr>
    </w:p>
    <w:p w14:paraId="0E71FF2B" w14:textId="77777777" w:rsidR="001F41C1" w:rsidRPr="008E6A32" w:rsidRDefault="001F41C1" w:rsidP="00E10B88">
      <w:pPr>
        <w:jc w:val="both"/>
        <w:rPr>
          <w:lang w:val="lt-LT"/>
        </w:rPr>
      </w:pPr>
    </w:p>
    <w:p w14:paraId="2F7AF3E4" w14:textId="3FDF50BB" w:rsidR="00C91EA2" w:rsidRPr="00441E70" w:rsidRDefault="00F03B92" w:rsidP="00464B33">
      <w:pPr>
        <w:ind w:firstLine="851"/>
        <w:jc w:val="both"/>
        <w:rPr>
          <w:rFonts w:eastAsiaTheme="minorHAnsi"/>
          <w:lang w:val="lt-LT"/>
        </w:rPr>
      </w:pPr>
      <w:r w:rsidRPr="00441E70">
        <w:rPr>
          <w:rFonts w:eastAsiaTheme="minorHAnsi"/>
          <w:lang w:val="lt-LT"/>
        </w:rPr>
        <w:t>Valstybinė</w:t>
      </w:r>
      <w:r w:rsidR="00FF2209" w:rsidRPr="00441E70">
        <w:rPr>
          <w:rFonts w:eastAsiaTheme="minorHAnsi"/>
          <w:lang w:val="lt-LT"/>
        </w:rPr>
        <w:t>s</w:t>
      </w:r>
      <w:r w:rsidRPr="00441E70">
        <w:rPr>
          <w:rFonts w:eastAsiaTheme="minorHAnsi"/>
          <w:lang w:val="lt-LT"/>
        </w:rPr>
        <w:t xml:space="preserve"> ligonių kas</w:t>
      </w:r>
      <w:r w:rsidR="00FF2209" w:rsidRPr="00441E70">
        <w:rPr>
          <w:rFonts w:eastAsiaTheme="minorHAnsi"/>
          <w:lang w:val="lt-LT"/>
        </w:rPr>
        <w:t>os</w:t>
      </w:r>
      <w:r w:rsidRPr="00441E70">
        <w:rPr>
          <w:rFonts w:eastAsiaTheme="minorHAnsi"/>
          <w:lang w:val="lt-LT"/>
        </w:rPr>
        <w:t xml:space="preserve"> prie Sveikatos apsaugos ministerijos </w:t>
      </w:r>
      <w:r w:rsidR="009A2D17" w:rsidRPr="00441E70">
        <w:rPr>
          <w:rFonts w:eastAsiaTheme="minorHAnsi"/>
          <w:lang w:val="lt-LT"/>
        </w:rPr>
        <w:t>(toliau – VLK arba perkančioji organizacija)</w:t>
      </w:r>
      <w:r w:rsidR="009B0206" w:rsidRPr="00441E70">
        <w:rPr>
          <w:rFonts w:eastAsiaTheme="minorHAnsi"/>
          <w:lang w:val="lt-LT"/>
        </w:rPr>
        <w:t xml:space="preserve"> </w:t>
      </w:r>
      <w:r w:rsidR="00FF2209" w:rsidRPr="00441E70">
        <w:rPr>
          <w:rFonts w:eastAsiaTheme="minorHAnsi"/>
          <w:lang w:val="lt-LT"/>
        </w:rPr>
        <w:t xml:space="preserve">nuolat veikianti </w:t>
      </w:r>
      <w:r w:rsidR="00EA62DF">
        <w:rPr>
          <w:rFonts w:eastAsiaTheme="minorHAnsi"/>
          <w:lang w:val="lt-LT"/>
        </w:rPr>
        <w:t xml:space="preserve">supaprastintų ir mažos vertės </w:t>
      </w:r>
      <w:r w:rsidR="00FF2209" w:rsidRPr="00441E70">
        <w:rPr>
          <w:rFonts w:eastAsiaTheme="minorHAnsi"/>
          <w:lang w:val="lt-LT"/>
        </w:rPr>
        <w:t xml:space="preserve">viešųjų pirkimų komisija (toliau – Komisija), </w:t>
      </w:r>
      <w:r w:rsidR="009B0206" w:rsidRPr="00441E70">
        <w:rPr>
          <w:rFonts w:eastAsiaTheme="minorHAnsi"/>
          <w:lang w:val="lt-LT"/>
        </w:rPr>
        <w:t>Centrin</w:t>
      </w:r>
      <w:r w:rsidR="00B92290">
        <w:rPr>
          <w:rFonts w:eastAsiaTheme="minorHAnsi"/>
          <w:lang w:val="lt-LT"/>
        </w:rPr>
        <w:t>e</w:t>
      </w:r>
      <w:r w:rsidR="009B0206" w:rsidRPr="00441E70">
        <w:rPr>
          <w:rFonts w:eastAsiaTheme="minorHAnsi"/>
          <w:lang w:val="lt-LT"/>
        </w:rPr>
        <w:t xml:space="preserve"> viešųjų pirkimų informacin</w:t>
      </w:r>
      <w:r w:rsidR="00B92290">
        <w:rPr>
          <w:rFonts w:eastAsiaTheme="minorHAnsi"/>
          <w:lang w:val="lt-LT"/>
        </w:rPr>
        <w:t>e</w:t>
      </w:r>
      <w:r w:rsidR="009B0206" w:rsidRPr="00441E70">
        <w:rPr>
          <w:rFonts w:eastAsiaTheme="minorHAnsi"/>
          <w:lang w:val="lt-LT"/>
        </w:rPr>
        <w:t xml:space="preserve"> sistem</w:t>
      </w:r>
      <w:r w:rsidR="00B92290">
        <w:rPr>
          <w:rFonts w:eastAsiaTheme="minorHAnsi"/>
          <w:lang w:val="lt-LT"/>
        </w:rPr>
        <w:t xml:space="preserve">a </w:t>
      </w:r>
      <w:r w:rsidR="009B0206" w:rsidRPr="00441E70">
        <w:rPr>
          <w:rFonts w:eastAsiaTheme="minorHAnsi"/>
          <w:lang w:val="lt-LT"/>
        </w:rPr>
        <w:t xml:space="preserve">(CVP IS) gavo </w:t>
      </w:r>
      <w:r w:rsidR="00B43D87">
        <w:rPr>
          <w:rFonts w:eastAsiaTheme="minorHAnsi"/>
          <w:lang w:val="lt-LT"/>
        </w:rPr>
        <w:t xml:space="preserve">mažos vertės </w:t>
      </w:r>
      <w:r w:rsidR="00B43D87" w:rsidRPr="00B43D87">
        <w:rPr>
          <w:rFonts w:eastAsiaTheme="minorHAnsi"/>
          <w:b/>
          <w:bCs/>
          <w:i/>
          <w:iCs/>
          <w:lang w:val="lt-LT"/>
        </w:rPr>
        <w:t>Vizualinio identiteto ir jo naudojimo vadovo sukūrimo bei pritaikymo paslaugų</w:t>
      </w:r>
      <w:r w:rsidR="00B43D87" w:rsidRPr="00B43D87">
        <w:rPr>
          <w:rFonts w:eastAsiaTheme="minorHAnsi"/>
          <w:i/>
          <w:iCs/>
          <w:lang w:val="lt-LT"/>
        </w:rPr>
        <w:t xml:space="preserve"> pirkime</w:t>
      </w:r>
      <w:r w:rsidR="009B0206" w:rsidRPr="00441E70">
        <w:rPr>
          <w:rFonts w:eastAsiaTheme="minorHAnsi"/>
          <w:lang w:val="lt-LT"/>
        </w:rPr>
        <w:t xml:space="preserve"> vykdomame</w:t>
      </w:r>
      <w:r w:rsidR="00EA62DF">
        <w:rPr>
          <w:b/>
          <w:lang w:val="lt-LT" w:eastAsia="lt-LT"/>
        </w:rPr>
        <w:t xml:space="preserve"> </w:t>
      </w:r>
      <w:r w:rsidR="00B43D87">
        <w:rPr>
          <w:b/>
          <w:lang w:val="lt-LT" w:eastAsia="lt-LT"/>
        </w:rPr>
        <w:t>skelbiamos apklausos būdu</w:t>
      </w:r>
      <w:r w:rsidR="000053BE">
        <w:rPr>
          <w:b/>
          <w:lang w:val="lt-LT" w:eastAsia="lt-LT"/>
        </w:rPr>
        <w:t xml:space="preserve"> </w:t>
      </w:r>
      <w:r w:rsidR="008A5CB0" w:rsidRPr="00EA62DF">
        <w:rPr>
          <w:b/>
          <w:bCs/>
          <w:color w:val="000000"/>
          <w:lang w:val="lt-LT" w:eastAsia="lt-LT"/>
        </w:rPr>
        <w:t>(</w:t>
      </w:r>
      <w:r w:rsidR="00B92290">
        <w:rPr>
          <w:b/>
          <w:bCs/>
          <w:color w:val="000000"/>
          <w:lang w:val="lt-LT" w:eastAsia="lt-LT"/>
        </w:rPr>
        <w:t xml:space="preserve">CVP IS </w:t>
      </w:r>
      <w:r w:rsidR="008A5CB0" w:rsidRPr="00EA62DF">
        <w:rPr>
          <w:b/>
          <w:bCs/>
          <w:color w:val="000000"/>
          <w:lang w:val="lt-LT" w:eastAsia="lt-LT"/>
        </w:rPr>
        <w:t xml:space="preserve">ID </w:t>
      </w:r>
      <w:r w:rsidR="00B43D87">
        <w:rPr>
          <w:b/>
          <w:bCs/>
          <w:color w:val="000000"/>
          <w:lang w:val="lt-LT" w:eastAsia="lt-LT"/>
        </w:rPr>
        <w:t>4667958</w:t>
      </w:r>
      <w:r w:rsidR="008A5CB0" w:rsidRPr="00EA62DF">
        <w:rPr>
          <w:b/>
          <w:bCs/>
          <w:color w:val="000000"/>
          <w:lang w:val="lt-LT" w:eastAsia="lt-LT"/>
        </w:rPr>
        <w:t xml:space="preserve">) </w:t>
      </w:r>
      <w:r w:rsidR="008A5CB0" w:rsidRPr="00441E70">
        <w:rPr>
          <w:color w:val="000000"/>
          <w:lang w:val="lt-LT" w:eastAsia="lt-LT"/>
        </w:rPr>
        <w:t>(toliau – Pirkimas)</w:t>
      </w:r>
      <w:r w:rsidR="009B0206" w:rsidRPr="00441E70">
        <w:rPr>
          <w:lang w:val="lt-LT"/>
        </w:rPr>
        <w:t xml:space="preserve"> </w:t>
      </w:r>
      <w:r w:rsidR="009B0206" w:rsidRPr="00441E70">
        <w:rPr>
          <w:rFonts w:eastAsiaTheme="minorHAnsi"/>
          <w:lang w:val="lt-LT"/>
        </w:rPr>
        <w:t>tiekėj</w:t>
      </w:r>
      <w:r w:rsidR="00B43D87">
        <w:rPr>
          <w:rFonts w:eastAsiaTheme="minorHAnsi"/>
          <w:lang w:val="lt-LT"/>
        </w:rPr>
        <w:t>ų</w:t>
      </w:r>
      <w:r w:rsidR="009B0206" w:rsidRPr="00441E70">
        <w:rPr>
          <w:rFonts w:eastAsiaTheme="minorHAnsi"/>
          <w:lang w:val="lt-LT"/>
        </w:rPr>
        <w:t xml:space="preserve"> </w:t>
      </w:r>
      <w:r w:rsidR="00365F50">
        <w:rPr>
          <w:rFonts w:eastAsiaTheme="minorHAnsi"/>
          <w:lang w:val="lt-LT"/>
        </w:rPr>
        <w:t>pa</w:t>
      </w:r>
      <w:r w:rsidR="00BE1083" w:rsidRPr="00441E70">
        <w:rPr>
          <w:rFonts w:eastAsiaTheme="minorHAnsi"/>
          <w:lang w:val="lt-LT"/>
        </w:rPr>
        <w:t>klausim</w:t>
      </w:r>
      <w:r w:rsidR="00907D6F">
        <w:rPr>
          <w:rFonts w:eastAsiaTheme="minorHAnsi"/>
          <w:lang w:val="lt-LT"/>
        </w:rPr>
        <w:t>us</w:t>
      </w:r>
      <w:r w:rsidR="00365F50">
        <w:rPr>
          <w:rFonts w:eastAsiaTheme="minorHAnsi"/>
          <w:lang w:val="lt-LT"/>
        </w:rPr>
        <w:t xml:space="preserve"> ir prašym</w:t>
      </w:r>
      <w:r w:rsidR="00655D6A">
        <w:rPr>
          <w:rFonts w:eastAsiaTheme="minorHAnsi"/>
          <w:lang w:val="lt-LT"/>
        </w:rPr>
        <w:t>ą</w:t>
      </w:r>
      <w:r w:rsidR="00365F50">
        <w:rPr>
          <w:rFonts w:eastAsiaTheme="minorHAnsi"/>
          <w:lang w:val="lt-LT"/>
        </w:rPr>
        <w:t xml:space="preserve"> atidėti pasiūlymų pateikimo terminą</w:t>
      </w:r>
      <w:r w:rsidR="00464B33">
        <w:rPr>
          <w:rFonts w:eastAsiaTheme="minorHAnsi"/>
          <w:lang w:val="lt-LT"/>
        </w:rPr>
        <w:t>.</w:t>
      </w:r>
    </w:p>
    <w:p w14:paraId="016C2E0D" w14:textId="6C5D0221" w:rsidR="009B0206" w:rsidRDefault="009B0206" w:rsidP="009B0206">
      <w:pPr>
        <w:ind w:firstLine="851"/>
        <w:jc w:val="both"/>
        <w:rPr>
          <w:rFonts w:eastAsiaTheme="minorHAnsi"/>
          <w:lang w:val="lt-LT"/>
        </w:rPr>
      </w:pPr>
      <w:r w:rsidRPr="00441E70">
        <w:rPr>
          <w:rFonts w:eastAsiaTheme="minorHAnsi"/>
          <w:lang w:val="lt-LT"/>
        </w:rPr>
        <w:t>Komisija</w:t>
      </w:r>
      <w:r w:rsidR="002A3B51">
        <w:rPr>
          <w:rFonts w:eastAsiaTheme="minorHAnsi"/>
          <w:lang w:val="lt-LT"/>
        </w:rPr>
        <w:t>,</w:t>
      </w:r>
      <w:r w:rsidRPr="00441E70">
        <w:rPr>
          <w:rFonts w:eastAsiaTheme="minorHAnsi"/>
          <w:lang w:val="lt-LT"/>
        </w:rPr>
        <w:t xml:space="preserve"> vadovaudamasi Pirkimo dokumentų </w:t>
      </w:r>
      <w:r w:rsidR="00C94292">
        <w:rPr>
          <w:rFonts w:eastAsiaTheme="minorHAnsi"/>
          <w:lang w:val="lt-LT"/>
        </w:rPr>
        <w:t>Bendr</w:t>
      </w:r>
      <w:r w:rsidR="00365F50">
        <w:rPr>
          <w:rFonts w:eastAsiaTheme="minorHAnsi"/>
          <w:lang w:val="lt-LT"/>
        </w:rPr>
        <w:t>ųjų</w:t>
      </w:r>
      <w:r w:rsidRPr="00441E70">
        <w:rPr>
          <w:rFonts w:eastAsiaTheme="minorHAnsi"/>
          <w:lang w:val="lt-LT"/>
        </w:rPr>
        <w:t xml:space="preserve"> sąlygų (toliau – Bendrosios sąlygos) 5.2 punktu ir Pirkimo dokumentų </w:t>
      </w:r>
      <w:r w:rsidR="00614F17" w:rsidRPr="00441E70">
        <w:rPr>
          <w:rFonts w:eastAsiaTheme="minorHAnsi"/>
          <w:lang w:val="lt-LT"/>
        </w:rPr>
        <w:t xml:space="preserve">Specialiųjų </w:t>
      </w:r>
      <w:r w:rsidRPr="00441E70">
        <w:rPr>
          <w:rFonts w:eastAsiaTheme="minorHAnsi"/>
          <w:lang w:val="lt-LT"/>
        </w:rPr>
        <w:t xml:space="preserve">sąlygų (toliau – </w:t>
      </w:r>
      <w:r w:rsidR="00614F17" w:rsidRPr="00441E70">
        <w:rPr>
          <w:rFonts w:eastAsiaTheme="minorHAnsi"/>
          <w:lang w:val="lt-LT"/>
        </w:rPr>
        <w:t>Specialiosios</w:t>
      </w:r>
      <w:r w:rsidRPr="00441E70">
        <w:rPr>
          <w:rFonts w:eastAsiaTheme="minorHAnsi"/>
          <w:lang w:val="lt-LT"/>
        </w:rPr>
        <w:t xml:space="preserve"> sąlygos) </w:t>
      </w:r>
      <w:r w:rsidR="00C94292">
        <w:rPr>
          <w:rFonts w:eastAsiaTheme="minorHAnsi"/>
          <w:lang w:val="lt-LT"/>
        </w:rPr>
        <w:t>1.8 punkto lentelės</w:t>
      </w:r>
      <w:r w:rsidR="003A254A">
        <w:rPr>
          <w:rFonts w:eastAsiaTheme="minorHAnsi"/>
          <w:lang w:val="lt-LT"/>
        </w:rPr>
        <w:t xml:space="preserve"> 1</w:t>
      </w:r>
      <w:r w:rsidR="005820D5">
        <w:rPr>
          <w:rFonts w:eastAsiaTheme="minorHAnsi"/>
          <w:lang w:val="lt-LT"/>
        </w:rPr>
        <w:t>–</w:t>
      </w:r>
      <w:r w:rsidR="003A254A">
        <w:rPr>
          <w:rFonts w:eastAsiaTheme="minorHAnsi"/>
          <w:lang w:val="lt-LT"/>
        </w:rPr>
        <w:t>2</w:t>
      </w:r>
      <w:r w:rsidR="00614F17" w:rsidRPr="00441E70">
        <w:rPr>
          <w:rFonts w:eastAsiaTheme="minorHAnsi"/>
          <w:lang w:val="lt-LT"/>
        </w:rPr>
        <w:t xml:space="preserve"> </w:t>
      </w:r>
      <w:r w:rsidR="004A5DF4">
        <w:rPr>
          <w:rFonts w:eastAsiaTheme="minorHAnsi"/>
          <w:lang w:val="lt-LT"/>
        </w:rPr>
        <w:t>punkt</w:t>
      </w:r>
      <w:r w:rsidR="003A254A">
        <w:rPr>
          <w:rFonts w:eastAsiaTheme="minorHAnsi"/>
          <w:lang w:val="lt-LT"/>
        </w:rPr>
        <w:t>ais</w:t>
      </w:r>
      <w:r w:rsidRPr="00441E70">
        <w:rPr>
          <w:rFonts w:eastAsiaTheme="minorHAnsi"/>
          <w:lang w:val="lt-LT"/>
        </w:rPr>
        <w:t>, išnagrinė</w:t>
      </w:r>
      <w:r w:rsidR="00594D73">
        <w:rPr>
          <w:rFonts w:eastAsiaTheme="minorHAnsi"/>
          <w:lang w:val="lt-LT"/>
        </w:rPr>
        <w:t>j</w:t>
      </w:r>
      <w:r w:rsidR="00907D6F">
        <w:rPr>
          <w:rFonts w:eastAsiaTheme="minorHAnsi"/>
          <w:lang w:val="lt-LT"/>
        </w:rPr>
        <w:t>usi</w:t>
      </w:r>
      <w:r w:rsidR="001D210A">
        <w:rPr>
          <w:rFonts w:eastAsiaTheme="minorHAnsi"/>
          <w:lang w:val="lt-LT"/>
        </w:rPr>
        <w:t xml:space="preserve"> </w:t>
      </w:r>
      <w:r w:rsidR="00594D73">
        <w:rPr>
          <w:rFonts w:eastAsiaTheme="minorHAnsi"/>
          <w:lang w:val="lt-LT"/>
        </w:rPr>
        <w:t>tiekėj</w:t>
      </w:r>
      <w:r w:rsidR="003A254A">
        <w:rPr>
          <w:rFonts w:eastAsiaTheme="minorHAnsi"/>
          <w:lang w:val="lt-LT"/>
        </w:rPr>
        <w:t>ų klausim</w:t>
      </w:r>
      <w:r w:rsidR="001D210A">
        <w:rPr>
          <w:rFonts w:eastAsiaTheme="minorHAnsi"/>
          <w:lang w:val="lt-LT"/>
        </w:rPr>
        <w:t>us</w:t>
      </w:r>
      <w:r w:rsidR="003A254A">
        <w:rPr>
          <w:rFonts w:eastAsiaTheme="minorHAnsi"/>
          <w:lang w:val="lt-LT"/>
        </w:rPr>
        <w:t xml:space="preserve"> ir prašym</w:t>
      </w:r>
      <w:r w:rsidR="00655D6A">
        <w:rPr>
          <w:rFonts w:eastAsiaTheme="minorHAnsi"/>
          <w:lang w:val="lt-LT"/>
        </w:rPr>
        <w:t>ą</w:t>
      </w:r>
      <w:r w:rsidR="00D149EE">
        <w:rPr>
          <w:rFonts w:eastAsiaTheme="minorHAnsi"/>
          <w:lang w:val="lt-LT"/>
        </w:rPr>
        <w:t xml:space="preserve"> priėm</w:t>
      </w:r>
      <w:r w:rsidR="003A254A">
        <w:rPr>
          <w:rFonts w:eastAsiaTheme="minorHAnsi"/>
          <w:lang w:val="lt-LT"/>
        </w:rPr>
        <w:t>ė</w:t>
      </w:r>
      <w:r w:rsidR="00D149EE">
        <w:rPr>
          <w:rFonts w:eastAsiaTheme="minorHAnsi"/>
          <w:lang w:val="lt-LT"/>
        </w:rPr>
        <w:t xml:space="preserve"> sprendimą </w:t>
      </w:r>
      <w:r w:rsidR="003A254A">
        <w:rPr>
          <w:rFonts w:eastAsiaTheme="minorHAnsi"/>
          <w:lang w:val="lt-LT"/>
        </w:rPr>
        <w:t xml:space="preserve">bei </w:t>
      </w:r>
      <w:r w:rsidR="00296156" w:rsidRPr="00441E70">
        <w:rPr>
          <w:rFonts w:eastAsiaTheme="minorHAnsi"/>
          <w:lang w:val="lt-LT"/>
        </w:rPr>
        <w:t>teikia visiems tiekėjams atsakym</w:t>
      </w:r>
      <w:r w:rsidR="006D02E1">
        <w:rPr>
          <w:rFonts w:eastAsiaTheme="minorHAnsi"/>
          <w:lang w:val="lt-LT"/>
        </w:rPr>
        <w:t>us</w:t>
      </w:r>
      <w:r w:rsidR="00296156" w:rsidRPr="00441E70">
        <w:rPr>
          <w:rFonts w:eastAsiaTheme="minorHAnsi"/>
          <w:lang w:val="lt-LT"/>
        </w:rPr>
        <w:t xml:space="preserve"> </w:t>
      </w:r>
      <w:r w:rsidR="00594D73">
        <w:rPr>
          <w:rFonts w:eastAsiaTheme="minorHAnsi"/>
          <w:lang w:val="lt-LT"/>
        </w:rPr>
        <w:t xml:space="preserve">/ </w:t>
      </w:r>
      <w:r w:rsidR="00296156" w:rsidRPr="00441E70">
        <w:rPr>
          <w:rFonts w:eastAsiaTheme="minorHAnsi"/>
          <w:lang w:val="lt-LT"/>
        </w:rPr>
        <w:t>paaiškinim</w:t>
      </w:r>
      <w:r w:rsidR="00594D73">
        <w:rPr>
          <w:rFonts w:eastAsiaTheme="minorHAnsi"/>
          <w:lang w:val="lt-LT"/>
        </w:rPr>
        <w:t>us</w:t>
      </w:r>
      <w:r w:rsidR="00B86412">
        <w:rPr>
          <w:rFonts w:eastAsiaTheme="minorHAnsi"/>
          <w:lang w:val="lt-LT"/>
        </w:rPr>
        <w:t>:</w:t>
      </w:r>
    </w:p>
    <w:p w14:paraId="5F202471" w14:textId="77777777" w:rsidR="00BD49BB" w:rsidRPr="00441E70" w:rsidRDefault="00BD49BB" w:rsidP="009B0206">
      <w:pPr>
        <w:ind w:firstLine="851"/>
        <w:jc w:val="both"/>
        <w:rPr>
          <w:rFonts w:eastAsiaTheme="minorHAnsi"/>
          <w:lang w:val="lt-LT"/>
        </w:rPr>
      </w:pPr>
    </w:p>
    <w:p w14:paraId="37907A2F" w14:textId="3C78668C" w:rsidR="00A33644" w:rsidRPr="00C41C60" w:rsidRDefault="00C123E4" w:rsidP="00C41C60">
      <w:pPr>
        <w:pStyle w:val="Sraopastraipa"/>
        <w:numPr>
          <w:ilvl w:val="0"/>
          <w:numId w:val="3"/>
        </w:numPr>
        <w:jc w:val="both"/>
        <w:rPr>
          <w:rFonts w:eastAsiaTheme="minorHAnsi"/>
          <w:lang w:val="lt-LT"/>
        </w:rPr>
      </w:pPr>
      <w:bookmarkStart w:id="1" w:name="_Hlk210211387"/>
      <w:r w:rsidRPr="00C41C60">
        <w:rPr>
          <w:rFonts w:eastAsiaTheme="minorHAnsi"/>
          <w:b/>
          <w:bCs/>
          <w:lang w:val="lt-LT"/>
        </w:rPr>
        <w:t>Tiekėj</w:t>
      </w:r>
      <w:r w:rsidR="001D210A" w:rsidRPr="00C41C60">
        <w:rPr>
          <w:rFonts w:eastAsiaTheme="minorHAnsi"/>
          <w:b/>
          <w:bCs/>
          <w:lang w:val="lt-LT"/>
        </w:rPr>
        <w:t>ų</w:t>
      </w:r>
      <w:r w:rsidRPr="00C41C60">
        <w:rPr>
          <w:rFonts w:eastAsiaTheme="minorHAnsi"/>
          <w:b/>
          <w:bCs/>
          <w:lang w:val="lt-LT"/>
        </w:rPr>
        <w:t xml:space="preserve"> klausima</w:t>
      </w:r>
      <w:r w:rsidR="001D210A" w:rsidRPr="00C41C60">
        <w:rPr>
          <w:rFonts w:eastAsiaTheme="minorHAnsi"/>
          <w:b/>
          <w:bCs/>
          <w:lang w:val="lt-LT"/>
        </w:rPr>
        <w:t>i</w:t>
      </w:r>
      <w:r w:rsidR="003A254A" w:rsidRPr="00C41C60">
        <w:rPr>
          <w:rFonts w:eastAsiaTheme="minorHAnsi"/>
          <w:b/>
          <w:bCs/>
          <w:lang w:val="lt-LT"/>
        </w:rPr>
        <w:t xml:space="preserve"> </w:t>
      </w:r>
      <w:r w:rsidR="001D210A" w:rsidRPr="00C41C60">
        <w:rPr>
          <w:rFonts w:eastAsiaTheme="minorHAnsi"/>
          <w:b/>
          <w:bCs/>
          <w:lang w:val="lt-LT"/>
        </w:rPr>
        <w:t xml:space="preserve">ir perkančiosios organizacijos atsakymai: </w:t>
      </w:r>
    </w:p>
    <w:bookmarkEnd w:id="1"/>
    <w:p w14:paraId="0D0218C1" w14:textId="77777777" w:rsidR="009B4107" w:rsidRDefault="009B4107" w:rsidP="009B4107">
      <w:pPr>
        <w:ind w:firstLine="567"/>
        <w:jc w:val="both"/>
        <w:rPr>
          <w:rFonts w:eastAsiaTheme="minorHAnsi"/>
          <w:lang w:val="lt-LT"/>
        </w:rPr>
      </w:pPr>
    </w:p>
    <w:tbl>
      <w:tblPr>
        <w:tblStyle w:val="Lentelstinklelis"/>
        <w:tblW w:w="0" w:type="auto"/>
        <w:tblLook w:val="04A0" w:firstRow="1" w:lastRow="0" w:firstColumn="1" w:lastColumn="0" w:noHBand="0" w:noVBand="1"/>
      </w:tblPr>
      <w:tblGrid>
        <w:gridCol w:w="1203"/>
        <w:gridCol w:w="3921"/>
        <w:gridCol w:w="4222"/>
      </w:tblGrid>
      <w:tr w:rsidR="00E6597A" w:rsidRPr="000A1023" w14:paraId="14016EB3" w14:textId="77777777" w:rsidTr="000A1023">
        <w:tc>
          <w:tcPr>
            <w:tcW w:w="1203" w:type="dxa"/>
          </w:tcPr>
          <w:p w14:paraId="74019534" w14:textId="73DAFE8B" w:rsidR="00E6597A" w:rsidRPr="000A1023" w:rsidRDefault="00E6597A" w:rsidP="00614F17">
            <w:pPr>
              <w:jc w:val="both"/>
              <w:rPr>
                <w:rFonts w:eastAsiaTheme="minorHAnsi"/>
                <w:b/>
                <w:bCs/>
                <w:lang w:val="lt-LT"/>
              </w:rPr>
            </w:pPr>
            <w:r w:rsidRPr="000A1023">
              <w:rPr>
                <w:rFonts w:eastAsiaTheme="minorHAnsi"/>
                <w:b/>
                <w:bCs/>
                <w:lang w:val="lt-LT"/>
              </w:rPr>
              <w:t>Klau</w:t>
            </w:r>
            <w:r w:rsidR="000A1023" w:rsidRPr="000A1023">
              <w:rPr>
                <w:rFonts w:eastAsiaTheme="minorHAnsi"/>
                <w:b/>
                <w:bCs/>
                <w:lang w:val="lt-LT"/>
              </w:rPr>
              <w:t xml:space="preserve">simo Nr. </w:t>
            </w:r>
          </w:p>
        </w:tc>
        <w:tc>
          <w:tcPr>
            <w:tcW w:w="3921" w:type="dxa"/>
          </w:tcPr>
          <w:p w14:paraId="2EB76BA0" w14:textId="77777777" w:rsidR="002968A2" w:rsidRDefault="00E6597A" w:rsidP="00614F17">
            <w:pPr>
              <w:jc w:val="both"/>
              <w:rPr>
                <w:rFonts w:eastAsiaTheme="minorHAnsi"/>
                <w:b/>
                <w:bCs/>
                <w:lang w:val="lt-LT"/>
              </w:rPr>
            </w:pPr>
            <w:r w:rsidRPr="000A1023">
              <w:rPr>
                <w:rFonts w:eastAsiaTheme="minorHAnsi"/>
                <w:b/>
                <w:bCs/>
                <w:lang w:val="lt-LT"/>
              </w:rPr>
              <w:t xml:space="preserve">Tiekėjo klausimas </w:t>
            </w:r>
          </w:p>
          <w:p w14:paraId="7BC5F23C" w14:textId="4B3AED89" w:rsidR="00E6597A" w:rsidRPr="002968A2" w:rsidRDefault="000A7959" w:rsidP="00614F17">
            <w:pPr>
              <w:jc w:val="both"/>
              <w:rPr>
                <w:rFonts w:eastAsiaTheme="minorHAnsi"/>
                <w:lang w:val="lt-LT"/>
              </w:rPr>
            </w:pPr>
            <w:bookmarkStart w:id="2" w:name="_Hlk210209879"/>
            <w:r w:rsidRPr="002968A2">
              <w:rPr>
                <w:rFonts w:eastAsiaTheme="minorHAnsi"/>
                <w:lang w:val="lt-LT"/>
              </w:rPr>
              <w:t>(tekstas neredaguotas)</w:t>
            </w:r>
            <w:bookmarkEnd w:id="2"/>
          </w:p>
        </w:tc>
        <w:tc>
          <w:tcPr>
            <w:tcW w:w="4222" w:type="dxa"/>
          </w:tcPr>
          <w:p w14:paraId="73EADBDC" w14:textId="355FA8E6" w:rsidR="00E6597A" w:rsidRPr="000A1023" w:rsidRDefault="00E6597A" w:rsidP="00614F17">
            <w:pPr>
              <w:jc w:val="both"/>
              <w:rPr>
                <w:rFonts w:eastAsiaTheme="minorHAnsi"/>
                <w:b/>
                <w:bCs/>
                <w:lang w:val="lt-LT"/>
              </w:rPr>
            </w:pPr>
            <w:r w:rsidRPr="000A1023">
              <w:rPr>
                <w:rFonts w:eastAsiaTheme="minorHAnsi"/>
                <w:b/>
                <w:bCs/>
                <w:lang w:val="lt-LT"/>
              </w:rPr>
              <w:t xml:space="preserve">Perkančiosios organizacijos atsakymas </w:t>
            </w:r>
          </w:p>
        </w:tc>
      </w:tr>
      <w:tr w:rsidR="00E6597A" w:rsidRPr="00F37092" w14:paraId="196B8DBC" w14:textId="77777777" w:rsidTr="000A1023">
        <w:tc>
          <w:tcPr>
            <w:tcW w:w="1203" w:type="dxa"/>
          </w:tcPr>
          <w:p w14:paraId="16009289" w14:textId="5153D711" w:rsidR="00E6597A" w:rsidRDefault="000A7959" w:rsidP="00614F17">
            <w:pPr>
              <w:jc w:val="both"/>
              <w:rPr>
                <w:rFonts w:eastAsiaTheme="minorHAnsi"/>
                <w:lang w:val="lt-LT"/>
              </w:rPr>
            </w:pPr>
            <w:r>
              <w:rPr>
                <w:rFonts w:eastAsiaTheme="minorHAnsi"/>
                <w:lang w:val="lt-LT"/>
              </w:rPr>
              <w:t>1.</w:t>
            </w:r>
          </w:p>
        </w:tc>
        <w:tc>
          <w:tcPr>
            <w:tcW w:w="3921" w:type="dxa"/>
          </w:tcPr>
          <w:p w14:paraId="0E4861AC" w14:textId="31222BE1" w:rsidR="006C033A" w:rsidRDefault="006C033A" w:rsidP="006C033A">
            <w:pPr>
              <w:jc w:val="both"/>
              <w:rPr>
                <w:rFonts w:eastAsiaTheme="minorHAnsi"/>
                <w:lang w:val="lt-LT"/>
              </w:rPr>
            </w:pPr>
            <w:r>
              <w:rPr>
                <w:rFonts w:eastAsiaTheme="minorHAnsi"/>
                <w:lang w:val="lt-LT"/>
              </w:rPr>
              <w:t>„</w:t>
            </w:r>
            <w:r w:rsidR="00655D6A" w:rsidRPr="00655D6A">
              <w:rPr>
                <w:rFonts w:eastAsiaTheme="minorHAnsi"/>
                <w:lang w:val="lt-LT"/>
              </w:rPr>
              <w:t>Ar būtų galimybė pratęsti pasiūlymų pateikimo terminą? Savaite? Ty. iki 14d. imtinai?</w:t>
            </w:r>
            <w:r w:rsidRPr="003A254A">
              <w:rPr>
                <w:rFonts w:eastAsiaTheme="minorHAnsi"/>
                <w:lang w:val="lt-LT"/>
              </w:rPr>
              <w:t>?</w:t>
            </w:r>
            <w:r>
              <w:rPr>
                <w:rFonts w:eastAsiaTheme="minorHAnsi"/>
                <w:lang w:val="lt-LT"/>
              </w:rPr>
              <w:t xml:space="preserve">“ </w:t>
            </w:r>
          </w:p>
          <w:p w14:paraId="2F024C84" w14:textId="6C82A683" w:rsidR="00E6597A" w:rsidRPr="000A7959" w:rsidRDefault="00E6597A" w:rsidP="00614F17">
            <w:pPr>
              <w:jc w:val="both"/>
              <w:rPr>
                <w:rFonts w:eastAsiaTheme="minorHAnsi"/>
                <w:i/>
                <w:iCs/>
                <w:lang w:val="lt-LT"/>
              </w:rPr>
            </w:pPr>
          </w:p>
        </w:tc>
        <w:tc>
          <w:tcPr>
            <w:tcW w:w="4222" w:type="dxa"/>
          </w:tcPr>
          <w:p w14:paraId="063E2705" w14:textId="55006869" w:rsidR="00E6597A" w:rsidRDefault="006C033A" w:rsidP="00614F17">
            <w:pPr>
              <w:jc w:val="both"/>
              <w:rPr>
                <w:rFonts w:eastAsiaTheme="minorHAnsi"/>
                <w:lang w:val="lt-LT"/>
              </w:rPr>
            </w:pPr>
            <w:r>
              <w:rPr>
                <w:rFonts w:eastAsiaTheme="minorHAnsi"/>
                <w:lang w:val="lt-LT"/>
              </w:rPr>
              <w:t xml:space="preserve">VLK </w:t>
            </w:r>
            <w:r w:rsidR="00655D6A">
              <w:rPr>
                <w:rFonts w:eastAsiaTheme="minorHAnsi"/>
                <w:lang w:val="lt-LT"/>
              </w:rPr>
              <w:t>jau pratęsė pasiūlymų pateikimo terminą iki 2025-10-14 d.</w:t>
            </w:r>
          </w:p>
        </w:tc>
      </w:tr>
      <w:tr w:rsidR="00CA0C30" w:rsidRPr="00F37092" w14:paraId="6BE6CA61" w14:textId="77777777" w:rsidTr="000A1023">
        <w:tc>
          <w:tcPr>
            <w:tcW w:w="1203" w:type="dxa"/>
          </w:tcPr>
          <w:p w14:paraId="4E293180" w14:textId="6429F32C" w:rsidR="00CA0C30" w:rsidRDefault="00CA0C30" w:rsidP="00CA0C30">
            <w:pPr>
              <w:jc w:val="both"/>
              <w:rPr>
                <w:rFonts w:eastAsiaTheme="minorHAnsi"/>
                <w:lang w:val="lt-LT"/>
              </w:rPr>
            </w:pPr>
            <w:r>
              <w:rPr>
                <w:rFonts w:eastAsiaTheme="minorHAnsi"/>
                <w:lang w:val="lt-LT"/>
              </w:rPr>
              <w:t>2.</w:t>
            </w:r>
          </w:p>
        </w:tc>
        <w:tc>
          <w:tcPr>
            <w:tcW w:w="3921" w:type="dxa"/>
          </w:tcPr>
          <w:p w14:paraId="1D5CCAED" w14:textId="4E22C85C" w:rsidR="00CA0C30" w:rsidRPr="000A7959" w:rsidRDefault="00CA0C30" w:rsidP="00CA0C30">
            <w:pPr>
              <w:jc w:val="both"/>
              <w:rPr>
                <w:rFonts w:eastAsiaTheme="minorHAnsi"/>
                <w:i/>
                <w:iCs/>
                <w:lang w:val="lt-LT"/>
              </w:rPr>
            </w:pPr>
            <w:r w:rsidRPr="000A7959">
              <w:rPr>
                <w:rFonts w:eastAsiaTheme="minorHAnsi"/>
                <w:i/>
                <w:iCs/>
                <w:lang w:val="lt-LT"/>
              </w:rPr>
              <w:t>„</w:t>
            </w:r>
            <w:r w:rsidR="00655D6A" w:rsidRPr="00655D6A">
              <w:rPr>
                <w:rFonts w:eastAsiaTheme="minorHAnsi"/>
                <w:i/>
                <w:iCs/>
                <w:lang w:val="lt-LT"/>
              </w:rPr>
              <w:t>Kodėl VLK keičia vizualinį identitetą? Ar yra konkretūs įvykiai, strategijos pasikeitimai ar problemos su dabartiniu įvaizdžiu, apie kuriuos turėtume žinoti?</w:t>
            </w:r>
            <w:r w:rsidR="001D210A" w:rsidRPr="001D210A">
              <w:rPr>
                <w:rFonts w:eastAsiaTheme="minorHAnsi"/>
                <w:i/>
                <w:iCs/>
                <w:lang w:val="lt-LT"/>
              </w:rPr>
              <w:t>.</w:t>
            </w:r>
            <w:r w:rsidRPr="000A7959">
              <w:rPr>
                <w:rFonts w:eastAsiaTheme="minorHAnsi"/>
                <w:i/>
                <w:iCs/>
                <w:lang w:val="lt-LT"/>
              </w:rPr>
              <w:t>“</w:t>
            </w:r>
          </w:p>
        </w:tc>
        <w:tc>
          <w:tcPr>
            <w:tcW w:w="4222" w:type="dxa"/>
          </w:tcPr>
          <w:p w14:paraId="37123477" w14:textId="6EACA6C9" w:rsidR="00B92616" w:rsidRPr="00B92616" w:rsidRDefault="00B92616" w:rsidP="00B92616">
            <w:pPr>
              <w:jc w:val="both"/>
              <w:rPr>
                <w:rFonts w:eastAsiaTheme="minorHAnsi"/>
                <w:lang w:val="lt-LT"/>
              </w:rPr>
            </w:pPr>
            <w:r>
              <w:rPr>
                <w:rFonts w:eastAsiaTheme="minorHAnsi"/>
                <w:lang w:val="lt-LT"/>
              </w:rPr>
              <w:t xml:space="preserve">Pažymime, kad </w:t>
            </w:r>
            <w:r w:rsidRPr="00B92616">
              <w:rPr>
                <w:rFonts w:eastAsiaTheme="minorHAnsi"/>
                <w:lang w:val="lt-LT"/>
              </w:rPr>
              <w:t xml:space="preserve">2025 m. liepos 1-ąją oficialiai pradėjo veikti konsoliduota Valstybinė ligonių kasa (VLK), prie kurios </w:t>
            </w:r>
            <w:r w:rsidR="00F532B0">
              <w:rPr>
                <w:rFonts w:eastAsiaTheme="minorHAnsi"/>
                <w:lang w:val="lt-LT"/>
              </w:rPr>
              <w:t xml:space="preserve">buvo </w:t>
            </w:r>
            <w:r w:rsidRPr="00B92616">
              <w:rPr>
                <w:rFonts w:eastAsiaTheme="minorHAnsi"/>
                <w:lang w:val="lt-LT"/>
              </w:rPr>
              <w:t xml:space="preserve">prijungtos penkios teritorinės ligonių kasos – Vilniaus, Kauno, Klaipėdos, Šiaulių ir Panevėžio. Visi šių įstaigų įsipareigojimai, funkcijos bei teisės nuo tos datos yra perėjusios VLK, kuri tapo vienintele privalomąjį sveikatos draudimą administruojančia institucija Lietuvoje. Savarankiški juridiniai vienetai tapo vienu juridiniu vienetu. </w:t>
            </w:r>
          </w:p>
          <w:p w14:paraId="50739A56" w14:textId="7AAF2F65" w:rsidR="00B92616" w:rsidRPr="00B92616" w:rsidRDefault="00B92616" w:rsidP="00B92616">
            <w:pPr>
              <w:jc w:val="both"/>
              <w:rPr>
                <w:rFonts w:eastAsiaTheme="minorHAnsi"/>
                <w:lang w:val="lt-LT"/>
              </w:rPr>
            </w:pPr>
            <w:r w:rsidRPr="00B92616">
              <w:rPr>
                <w:rFonts w:eastAsiaTheme="minorHAnsi"/>
                <w:lang w:val="lt-LT"/>
              </w:rPr>
              <w:t xml:space="preserve">Visos teritorinės ligonių kasos turėjo savo ženklus, kurie savo simboliu buvo tokie patys kaip VLK ženklas, tačiau turėjo savo užrašus, nurodančius priklausymą </w:t>
            </w:r>
            <w:r w:rsidR="00F532B0">
              <w:rPr>
                <w:rFonts w:eastAsiaTheme="minorHAnsi"/>
                <w:lang w:val="lt-LT"/>
              </w:rPr>
              <w:lastRenderedPageBreak/>
              <w:t xml:space="preserve">atitinkamam </w:t>
            </w:r>
            <w:r w:rsidRPr="00B92616">
              <w:rPr>
                <w:rFonts w:eastAsiaTheme="minorHAnsi"/>
                <w:lang w:val="lt-LT"/>
              </w:rPr>
              <w:t>regionui. Šiuo metu naudojamas tik Valstybinės ligonių kasos logo.</w:t>
            </w:r>
          </w:p>
          <w:p w14:paraId="7DF4BEAA" w14:textId="2E8C3FF9" w:rsidR="00B92616" w:rsidRPr="00B92616" w:rsidRDefault="00B92616" w:rsidP="00B92616">
            <w:pPr>
              <w:jc w:val="both"/>
              <w:rPr>
                <w:rFonts w:eastAsiaTheme="minorHAnsi"/>
                <w:lang w:val="lt-LT"/>
              </w:rPr>
            </w:pPr>
            <w:r w:rsidRPr="00B92616">
              <w:rPr>
                <w:rFonts w:eastAsiaTheme="minorHAnsi"/>
                <w:lang w:val="lt-LT"/>
              </w:rPr>
              <w:t xml:space="preserve">VLK </w:t>
            </w:r>
            <w:r w:rsidR="00F532B0" w:rsidRPr="00B92616">
              <w:rPr>
                <w:rFonts w:eastAsiaTheme="minorHAnsi"/>
                <w:lang w:val="lt-LT"/>
              </w:rPr>
              <w:t>paskutin</w:t>
            </w:r>
            <w:r w:rsidR="00F532B0">
              <w:rPr>
                <w:rFonts w:eastAsiaTheme="minorHAnsi"/>
                <w:lang w:val="lt-LT"/>
              </w:rPr>
              <w:t>s</w:t>
            </w:r>
            <w:r w:rsidR="00F532B0" w:rsidRPr="00B92616">
              <w:rPr>
                <w:rFonts w:eastAsiaTheme="minorHAnsi"/>
                <w:lang w:val="lt-LT"/>
              </w:rPr>
              <w:t xml:space="preserve"> </w:t>
            </w:r>
            <w:r w:rsidRPr="00B92616">
              <w:rPr>
                <w:rFonts w:eastAsiaTheme="minorHAnsi"/>
                <w:lang w:val="lt-LT"/>
              </w:rPr>
              <w:t>„brandbookas“ buvo sukurtas 2009 metais, todėl yra poreikis jį atnaujinti, padaryti patrauklų, šiuolaikišką, atsižvelgiant ir į įvykusį didžiulį pokytį, susijusį su po konsolidacijos atsiradusia nauja savarankiškus juridinius vienetus suvienijusia organizacija.</w:t>
            </w:r>
          </w:p>
          <w:p w14:paraId="0BE1AE42" w14:textId="31436F67" w:rsidR="00CA0C30" w:rsidRDefault="00B92616" w:rsidP="00B92616">
            <w:pPr>
              <w:jc w:val="both"/>
              <w:rPr>
                <w:rFonts w:eastAsiaTheme="minorHAnsi"/>
                <w:lang w:val="lt-LT"/>
              </w:rPr>
            </w:pPr>
            <w:r w:rsidRPr="00B92616">
              <w:rPr>
                <w:rFonts w:eastAsiaTheme="minorHAnsi"/>
                <w:lang w:val="lt-LT"/>
              </w:rPr>
              <w:t>Naujoji organizacija siekia būti modernia institucija, kurios tikslas efektyvinti veiklą, unifikuoti regionų praktikas, sumažinti administracinę naštą ligonių kasos sutarčių partneriams. Jos misija rūpintis, kad privalomojo sveikatos draudimo lėšos tarnautų geresnei žmonių sveikatai.</w:t>
            </w:r>
          </w:p>
        </w:tc>
      </w:tr>
      <w:tr w:rsidR="00CA0C30" w:rsidRPr="00F37092" w14:paraId="3B6FA22A" w14:textId="77777777" w:rsidTr="000A1023">
        <w:tc>
          <w:tcPr>
            <w:tcW w:w="1203" w:type="dxa"/>
          </w:tcPr>
          <w:p w14:paraId="0FEED21E" w14:textId="3CBC88BE" w:rsidR="00CA0C30" w:rsidRDefault="00CA0C30" w:rsidP="00CA0C30">
            <w:pPr>
              <w:jc w:val="both"/>
              <w:rPr>
                <w:rFonts w:eastAsiaTheme="minorHAnsi"/>
                <w:lang w:val="lt-LT"/>
              </w:rPr>
            </w:pPr>
            <w:r>
              <w:rPr>
                <w:rFonts w:eastAsiaTheme="minorHAnsi"/>
                <w:lang w:val="lt-LT"/>
              </w:rPr>
              <w:lastRenderedPageBreak/>
              <w:t xml:space="preserve">3. </w:t>
            </w:r>
          </w:p>
        </w:tc>
        <w:tc>
          <w:tcPr>
            <w:tcW w:w="3921" w:type="dxa"/>
          </w:tcPr>
          <w:p w14:paraId="57FF8B82" w14:textId="0B1E8168" w:rsidR="00CA0C30" w:rsidRPr="000A7959" w:rsidRDefault="00CA0C30" w:rsidP="00CA0C30">
            <w:pPr>
              <w:jc w:val="both"/>
              <w:rPr>
                <w:rFonts w:eastAsiaTheme="minorHAnsi"/>
                <w:i/>
                <w:iCs/>
                <w:lang w:val="lt-LT"/>
              </w:rPr>
            </w:pPr>
            <w:r w:rsidRPr="000A7959">
              <w:rPr>
                <w:rFonts w:eastAsiaTheme="minorHAnsi"/>
                <w:i/>
                <w:iCs/>
                <w:lang w:val="lt-LT"/>
              </w:rPr>
              <w:t>„</w:t>
            </w:r>
            <w:r w:rsidR="00655D6A" w:rsidRPr="00655D6A">
              <w:rPr>
                <w:rFonts w:eastAsiaTheme="minorHAnsi"/>
                <w:i/>
                <w:iCs/>
                <w:lang w:val="lt-LT"/>
              </w:rPr>
              <w:t>Kokius VLK veiklos aspektus svarbiausia komunikuoti? Kas yra prioritetas? Ar institucinis patikimumas, solidumas, ar prieinamumas gyventojams?</w:t>
            </w:r>
            <w:r w:rsidRPr="000A7959">
              <w:rPr>
                <w:rFonts w:eastAsiaTheme="minorHAnsi"/>
                <w:i/>
                <w:iCs/>
                <w:lang w:val="lt-LT"/>
              </w:rPr>
              <w:t>“</w:t>
            </w:r>
          </w:p>
        </w:tc>
        <w:tc>
          <w:tcPr>
            <w:tcW w:w="4222" w:type="dxa"/>
          </w:tcPr>
          <w:p w14:paraId="56A7B84B" w14:textId="69D620A1" w:rsidR="00F532B0" w:rsidRPr="00F532B0" w:rsidRDefault="00F532B0" w:rsidP="00F532B0">
            <w:pPr>
              <w:jc w:val="both"/>
              <w:rPr>
                <w:rFonts w:eastAsiaTheme="minorHAnsi"/>
                <w:lang w:val="lt-LT"/>
              </w:rPr>
            </w:pPr>
            <w:r>
              <w:rPr>
                <w:rFonts w:eastAsiaTheme="minorHAnsi"/>
                <w:lang w:val="lt-LT"/>
              </w:rPr>
              <w:t>VLK</w:t>
            </w:r>
            <w:r w:rsidRPr="00F532B0">
              <w:rPr>
                <w:rFonts w:eastAsiaTheme="minorHAnsi"/>
                <w:lang w:val="lt-LT"/>
              </w:rPr>
              <w:t xml:space="preserve"> pagrindinės auditorijos yra gyventojai, apdrausti privalomuoju sveikatos draudimu, taip pat gydymo įstaigos, su kuriomis Valstybinė ligonių kasa turi </w:t>
            </w:r>
            <w:r>
              <w:rPr>
                <w:rFonts w:eastAsiaTheme="minorHAnsi"/>
                <w:lang w:val="lt-LT"/>
              </w:rPr>
              <w:t xml:space="preserve">sudariusi </w:t>
            </w:r>
            <w:r w:rsidRPr="00F532B0">
              <w:rPr>
                <w:rFonts w:eastAsiaTheme="minorHAnsi"/>
                <w:lang w:val="lt-LT"/>
              </w:rPr>
              <w:t xml:space="preserve">sutartis dėl paslaugų teikimo ir apmokėjimo, taip pat kitos institucijos bei valdžios įstaigos, prioritetai yra: </w:t>
            </w:r>
          </w:p>
          <w:p w14:paraId="7B55FAC5" w14:textId="77777777" w:rsidR="00F532B0" w:rsidRPr="00F532B0" w:rsidRDefault="00F532B0" w:rsidP="00F532B0">
            <w:pPr>
              <w:jc w:val="both"/>
              <w:rPr>
                <w:rFonts w:eastAsiaTheme="minorHAnsi"/>
                <w:lang w:val="lt-LT"/>
              </w:rPr>
            </w:pPr>
            <w:r w:rsidRPr="00F532B0">
              <w:rPr>
                <w:rFonts w:eastAsiaTheme="minorHAnsi"/>
                <w:lang w:val="lt-LT"/>
              </w:rPr>
              <w:t>•</w:t>
            </w:r>
            <w:r w:rsidRPr="00F532B0">
              <w:rPr>
                <w:rFonts w:eastAsiaTheme="minorHAnsi"/>
                <w:lang w:val="lt-LT"/>
              </w:rPr>
              <w:tab/>
              <w:t>institucinis patikimumas, kasdieniu darbu kuriant sutartinių, taip pat ir socialinių partnerių pasitikėjimą;</w:t>
            </w:r>
          </w:p>
          <w:p w14:paraId="0197E66D" w14:textId="2C825C7E" w:rsidR="00CA0C30" w:rsidRDefault="00F532B0" w:rsidP="00F532B0">
            <w:pPr>
              <w:jc w:val="both"/>
              <w:rPr>
                <w:rFonts w:eastAsiaTheme="minorHAnsi"/>
                <w:lang w:val="lt-LT"/>
              </w:rPr>
            </w:pPr>
            <w:r w:rsidRPr="00F532B0">
              <w:rPr>
                <w:rFonts w:eastAsiaTheme="minorHAnsi"/>
                <w:lang w:val="lt-LT"/>
              </w:rPr>
              <w:t>•</w:t>
            </w:r>
            <w:r w:rsidRPr="00F532B0">
              <w:rPr>
                <w:rFonts w:eastAsiaTheme="minorHAnsi"/>
                <w:lang w:val="lt-LT"/>
              </w:rPr>
              <w:tab/>
              <w:t>atvirumas gyventojams, pasitelkiant nuolatinę informacijos (naujienų, aktualijų) sklaidą, gyventojų konsultavimas privalomojo sveikatos draudimo klausimais (Gyventojų aptarnavimo departamentas ligonių kasoje yra vienas skaitlingiausių).</w:t>
            </w:r>
          </w:p>
        </w:tc>
      </w:tr>
      <w:tr w:rsidR="00655D6A" w:rsidRPr="005820D5" w14:paraId="3A06CD50" w14:textId="77777777" w:rsidTr="000A1023">
        <w:tc>
          <w:tcPr>
            <w:tcW w:w="1203" w:type="dxa"/>
          </w:tcPr>
          <w:p w14:paraId="4D90F037" w14:textId="728843EF" w:rsidR="00655D6A" w:rsidRDefault="00655D6A" w:rsidP="00CA0C30">
            <w:pPr>
              <w:jc w:val="both"/>
              <w:rPr>
                <w:rFonts w:eastAsiaTheme="minorHAnsi"/>
                <w:lang w:val="lt-LT"/>
              </w:rPr>
            </w:pPr>
            <w:r>
              <w:rPr>
                <w:rFonts w:eastAsiaTheme="minorHAnsi"/>
                <w:lang w:val="lt-LT"/>
              </w:rPr>
              <w:t xml:space="preserve">4. </w:t>
            </w:r>
          </w:p>
        </w:tc>
        <w:tc>
          <w:tcPr>
            <w:tcW w:w="3921" w:type="dxa"/>
          </w:tcPr>
          <w:p w14:paraId="4C5C5AA0" w14:textId="61B11097" w:rsidR="00655D6A" w:rsidRPr="000A7959" w:rsidRDefault="00655D6A" w:rsidP="00CA0C30">
            <w:pPr>
              <w:jc w:val="both"/>
              <w:rPr>
                <w:rFonts w:eastAsiaTheme="minorHAnsi"/>
                <w:i/>
                <w:iCs/>
                <w:lang w:val="lt-LT"/>
              </w:rPr>
            </w:pPr>
            <w:r>
              <w:rPr>
                <w:rFonts w:eastAsiaTheme="minorHAnsi"/>
                <w:i/>
                <w:iCs/>
                <w:lang w:val="lt-LT"/>
              </w:rPr>
              <w:t>„</w:t>
            </w:r>
            <w:r w:rsidRPr="00655D6A">
              <w:rPr>
                <w:rFonts w:eastAsiaTheme="minorHAnsi"/>
                <w:i/>
                <w:iCs/>
                <w:lang w:val="lt-LT"/>
              </w:rPr>
              <w:t>Kas yra VLK pagrindinės auditorijos? (Gyventojai, gydymo įstaigos, valdžios institucijos?) Kokia jų nuomonė apie VLK dabar? Kurias iš jų išskirtumėte kaip prioritetines?</w:t>
            </w:r>
            <w:r>
              <w:rPr>
                <w:rFonts w:eastAsiaTheme="minorHAnsi"/>
                <w:i/>
                <w:iCs/>
                <w:lang w:val="lt-LT"/>
              </w:rPr>
              <w:t>“</w:t>
            </w:r>
          </w:p>
        </w:tc>
        <w:tc>
          <w:tcPr>
            <w:tcW w:w="4222" w:type="dxa"/>
          </w:tcPr>
          <w:p w14:paraId="0E0D9481" w14:textId="50819E1C" w:rsidR="00655D6A" w:rsidRDefault="00F532B0" w:rsidP="00CA0C30">
            <w:pPr>
              <w:jc w:val="both"/>
              <w:rPr>
                <w:rFonts w:eastAsiaTheme="minorHAnsi"/>
                <w:lang w:val="lt-LT"/>
              </w:rPr>
            </w:pPr>
            <w:r w:rsidRPr="00F532B0">
              <w:rPr>
                <w:rFonts w:eastAsiaTheme="minorHAnsi"/>
                <w:lang w:val="lt-LT"/>
              </w:rPr>
              <w:t xml:space="preserve">Pagrindinės auditorijos yra gyventojai, apdrausti privalomuoju sveikatos draudimu, taip pat gydymo įstaigos, su kuriomis Valstybinė ligonių kasa turi sutartis dėl paslaugų teikimo ir apmokėjimo, taip pat kitos institucijos bei valdžios įstaigos. Visuomenės nuomonės tyrimai rodo, kad mūsų gyventojai yra pakankamai gerai informuojami privalomojo sveikatos draudimo, prevencinių programų ir kitais klausimais, nuolat organizuojami susitikimai su pacientų organizacijomis, pristatant pacientams aktualius klausimus, su tikslinėmis auditorijomis bendraujama ir pasitelkiant oficialius kanalus (žinių agentūra, žiniasklaida), ir socialinius </w:t>
            </w:r>
            <w:r w:rsidRPr="00F532B0">
              <w:rPr>
                <w:rFonts w:eastAsiaTheme="minorHAnsi"/>
                <w:lang w:val="lt-LT"/>
              </w:rPr>
              <w:lastRenderedPageBreak/>
              <w:t>tinklus (Facebook, Instagram, Youtube, LinkedIn). Nuolat stengiamasi gauti grįžtamajį ryšį iš auditorijų ir atsakyti į kylančius klausimus, spręsti problemas ne tik formaliuoju būdu. Mūsų prioritetas: gyventojų auditorija ir sutartinių partnerių (gydymo įstaigų, vaistinių, ūkio subjektų) auditorija.</w:t>
            </w:r>
          </w:p>
        </w:tc>
      </w:tr>
      <w:tr w:rsidR="00655D6A" w:rsidRPr="00655D6A" w14:paraId="64BF9B21" w14:textId="77777777" w:rsidTr="000A1023">
        <w:tc>
          <w:tcPr>
            <w:tcW w:w="1203" w:type="dxa"/>
          </w:tcPr>
          <w:p w14:paraId="5B7CB79F" w14:textId="0FBD3504" w:rsidR="00655D6A" w:rsidRDefault="00655D6A" w:rsidP="00CA0C30">
            <w:pPr>
              <w:jc w:val="both"/>
              <w:rPr>
                <w:rFonts w:eastAsiaTheme="minorHAnsi"/>
                <w:lang w:val="lt-LT"/>
              </w:rPr>
            </w:pPr>
            <w:r>
              <w:rPr>
                <w:rFonts w:eastAsiaTheme="minorHAnsi"/>
                <w:lang w:val="lt-LT"/>
              </w:rPr>
              <w:lastRenderedPageBreak/>
              <w:t xml:space="preserve">5. </w:t>
            </w:r>
          </w:p>
        </w:tc>
        <w:tc>
          <w:tcPr>
            <w:tcW w:w="3921" w:type="dxa"/>
          </w:tcPr>
          <w:p w14:paraId="5A9D290D" w14:textId="24CDB914" w:rsidR="00655D6A" w:rsidRDefault="00655D6A" w:rsidP="00CA0C30">
            <w:pPr>
              <w:jc w:val="both"/>
              <w:rPr>
                <w:rFonts w:eastAsiaTheme="minorHAnsi"/>
                <w:i/>
                <w:iCs/>
                <w:lang w:val="lt-LT"/>
              </w:rPr>
            </w:pPr>
            <w:r>
              <w:rPr>
                <w:rFonts w:eastAsiaTheme="minorHAnsi"/>
                <w:i/>
                <w:iCs/>
                <w:lang w:val="lt-LT"/>
              </w:rPr>
              <w:t>„</w:t>
            </w:r>
            <w:r w:rsidRPr="00655D6A">
              <w:rPr>
                <w:rFonts w:eastAsiaTheme="minorHAnsi"/>
                <w:i/>
                <w:iCs/>
                <w:lang w:val="lt-LT"/>
              </w:rPr>
              <w:t>Ar yra pavyzdžių (Lietuvoje ar užsienyje), kaip VLK NENORI atrodyti? Kokių klaidų išvengti?</w:t>
            </w:r>
            <w:r>
              <w:rPr>
                <w:rFonts w:eastAsiaTheme="minorHAnsi"/>
                <w:i/>
                <w:iCs/>
                <w:lang w:val="lt-LT"/>
              </w:rPr>
              <w:t>“</w:t>
            </w:r>
          </w:p>
        </w:tc>
        <w:tc>
          <w:tcPr>
            <w:tcW w:w="4222" w:type="dxa"/>
          </w:tcPr>
          <w:p w14:paraId="150D8313" w14:textId="77777777" w:rsidR="00F532B0" w:rsidRPr="00F532B0" w:rsidRDefault="00F532B0" w:rsidP="00F532B0">
            <w:pPr>
              <w:jc w:val="both"/>
              <w:rPr>
                <w:rFonts w:eastAsiaTheme="minorHAnsi"/>
                <w:lang w:val="lt-LT"/>
              </w:rPr>
            </w:pPr>
            <w:r w:rsidRPr="00F532B0">
              <w:rPr>
                <w:rFonts w:eastAsiaTheme="minorHAnsi"/>
                <w:lang w:val="lt-LT"/>
              </w:rPr>
              <w:t>Nenorime būti tapatinami su griežta, oficialia, kontroliuojančia institucija, nors mūsų funkcijose ir yra sutartinių partnerių teikiamų paslaugų kontrolė ir stebėsena. Šiuo metu mes šias funkcijas vykdome, stengdamiesi būti labiau konsultantais, pagalbininkais, orientuodamiesi į prevencinius veiksmus. Ir ankstesniame logo matomas grafinis žmonių vaizdas yra pastangos parodyti mūsų organizacijos, kurios vidinės vertybės yra atvirumas, atsakomybė ir bendradarbiavimas, siekį tarnauti žmogui, jo sveikatai.</w:t>
            </w:r>
          </w:p>
          <w:p w14:paraId="6B2B2053" w14:textId="77777777" w:rsidR="00655D6A" w:rsidRDefault="00F532B0" w:rsidP="00F532B0">
            <w:pPr>
              <w:jc w:val="both"/>
              <w:rPr>
                <w:rFonts w:eastAsiaTheme="minorHAnsi"/>
                <w:lang w:val="lt-LT"/>
              </w:rPr>
            </w:pPr>
            <w:r w:rsidRPr="00F532B0">
              <w:rPr>
                <w:rFonts w:eastAsiaTheme="minorHAnsi"/>
                <w:lang w:val="lt-LT"/>
              </w:rPr>
              <w:t>Norėtume keisti ir senajame logo vyraujančią žalią spalvą.</w:t>
            </w:r>
          </w:p>
          <w:p w14:paraId="635628E4" w14:textId="77777777" w:rsidR="00F532B0" w:rsidRPr="00F532B0" w:rsidRDefault="00F532B0" w:rsidP="00F532B0">
            <w:pPr>
              <w:jc w:val="both"/>
              <w:rPr>
                <w:rFonts w:eastAsiaTheme="minorHAnsi"/>
                <w:lang w:val="lt-LT"/>
              </w:rPr>
            </w:pPr>
            <w:r w:rsidRPr="00F532B0">
              <w:rPr>
                <w:rFonts w:eastAsiaTheme="minorHAnsi"/>
                <w:lang w:val="lt-LT"/>
              </w:rPr>
              <w:t>Taip pat VLK logotipas neturėtų būti:</w:t>
            </w:r>
          </w:p>
          <w:p w14:paraId="7B6BB19A" w14:textId="77777777" w:rsidR="00F532B0" w:rsidRPr="00F532B0" w:rsidRDefault="00F532B0" w:rsidP="00F532B0">
            <w:pPr>
              <w:jc w:val="both"/>
              <w:rPr>
                <w:rFonts w:eastAsiaTheme="minorHAnsi"/>
                <w:lang w:val="lt-LT"/>
              </w:rPr>
            </w:pPr>
            <w:r w:rsidRPr="00F532B0">
              <w:rPr>
                <w:rFonts w:eastAsiaTheme="minorHAnsi"/>
                <w:lang w:val="lt-LT"/>
              </w:rPr>
              <w:t>•</w:t>
            </w:r>
            <w:r w:rsidRPr="00F532B0">
              <w:rPr>
                <w:rFonts w:eastAsiaTheme="minorHAnsi"/>
                <w:lang w:val="lt-LT"/>
              </w:rPr>
              <w:tab/>
              <w:t>biurokratinis ir gremėzdiškas (netinka sudėtingos emblemos, daug įvairių ženklų);</w:t>
            </w:r>
          </w:p>
          <w:p w14:paraId="6D896E08" w14:textId="77777777" w:rsidR="00F532B0" w:rsidRPr="00F532B0" w:rsidRDefault="00F532B0" w:rsidP="00F532B0">
            <w:pPr>
              <w:jc w:val="both"/>
              <w:rPr>
                <w:rFonts w:eastAsiaTheme="minorHAnsi"/>
                <w:lang w:val="lt-LT"/>
              </w:rPr>
            </w:pPr>
            <w:r w:rsidRPr="00F532B0">
              <w:rPr>
                <w:rFonts w:eastAsiaTheme="minorHAnsi"/>
                <w:lang w:val="lt-LT"/>
              </w:rPr>
              <w:t>•</w:t>
            </w:r>
            <w:r w:rsidRPr="00F532B0">
              <w:rPr>
                <w:rFonts w:eastAsiaTheme="minorHAnsi"/>
                <w:lang w:val="lt-LT"/>
              </w:rPr>
              <w:tab/>
              <w:t>naudojantis medicinos ženklus (VLK nėra gydymo įstaiga, todėl logotipas neturi atrodyti kaip gydymo įstaigos. VLK ženkle neturėtų būti medicinos simbolių, t. y. netinka širdys, kryžiai, pulsai ir pan.);</w:t>
            </w:r>
          </w:p>
          <w:p w14:paraId="4C4F2A4F" w14:textId="77777777" w:rsidR="00F532B0" w:rsidRPr="00F532B0" w:rsidRDefault="00F532B0" w:rsidP="00F532B0">
            <w:pPr>
              <w:jc w:val="both"/>
              <w:rPr>
                <w:rFonts w:eastAsiaTheme="minorHAnsi"/>
                <w:lang w:val="lt-LT"/>
              </w:rPr>
            </w:pPr>
            <w:r w:rsidRPr="00F532B0">
              <w:rPr>
                <w:rFonts w:eastAsiaTheme="minorHAnsi"/>
                <w:lang w:val="lt-LT"/>
              </w:rPr>
              <w:t>•</w:t>
            </w:r>
            <w:r w:rsidRPr="00F532B0">
              <w:rPr>
                <w:rFonts w:eastAsiaTheme="minorHAnsi"/>
                <w:lang w:val="lt-LT"/>
              </w:rPr>
              <w:tab/>
              <w:t>komercinis (VLK atstovauja visuomeniniam interesui, ne komerciniam), netinka skydai (skydas gali atrodyti per daug gynybiškai, ne bendruomeniškai), skėčiai, rankos, pinigų motyvai;</w:t>
            </w:r>
          </w:p>
          <w:p w14:paraId="1416E6DA" w14:textId="77777777" w:rsidR="00F532B0" w:rsidRPr="00F532B0" w:rsidRDefault="00F532B0" w:rsidP="00F532B0">
            <w:pPr>
              <w:jc w:val="both"/>
              <w:rPr>
                <w:rFonts w:eastAsiaTheme="minorHAnsi"/>
                <w:lang w:val="lt-LT"/>
              </w:rPr>
            </w:pPr>
            <w:r w:rsidRPr="00F532B0">
              <w:rPr>
                <w:rFonts w:eastAsiaTheme="minorHAnsi"/>
                <w:lang w:val="lt-LT"/>
              </w:rPr>
              <w:t>•</w:t>
            </w:r>
            <w:r w:rsidRPr="00F532B0">
              <w:rPr>
                <w:rFonts w:eastAsiaTheme="minorHAnsi"/>
                <w:lang w:val="lt-LT"/>
              </w:rPr>
              <w:tab/>
              <w:t xml:space="preserve">per daug iliustratyvus ar spalvingas (netinka per daug spalvų, nevartotini agresyvūs kontrastai); </w:t>
            </w:r>
          </w:p>
          <w:p w14:paraId="5A3CACD7" w14:textId="4DA2FDFB" w:rsidR="00F532B0" w:rsidRDefault="00F532B0" w:rsidP="00F532B0">
            <w:pPr>
              <w:jc w:val="both"/>
              <w:rPr>
                <w:rFonts w:eastAsiaTheme="minorHAnsi"/>
                <w:lang w:val="lt-LT"/>
              </w:rPr>
            </w:pPr>
            <w:r w:rsidRPr="00F532B0">
              <w:rPr>
                <w:rFonts w:eastAsiaTheme="minorHAnsi"/>
                <w:lang w:val="lt-LT"/>
              </w:rPr>
              <w:t>•</w:t>
            </w:r>
            <w:r w:rsidRPr="00F532B0">
              <w:rPr>
                <w:rFonts w:eastAsiaTheme="minorHAnsi"/>
                <w:lang w:val="lt-LT"/>
              </w:rPr>
              <w:tab/>
              <w:t>sunkiai pritaikomas skaitmeniniam formatui (netinka per daug elementų).</w:t>
            </w:r>
          </w:p>
        </w:tc>
      </w:tr>
      <w:tr w:rsidR="00655D6A" w:rsidRPr="005820D5" w14:paraId="2F2A8F9B" w14:textId="77777777" w:rsidTr="000A1023">
        <w:tc>
          <w:tcPr>
            <w:tcW w:w="1203" w:type="dxa"/>
          </w:tcPr>
          <w:p w14:paraId="31F168F7" w14:textId="19529034" w:rsidR="00655D6A" w:rsidRDefault="00655D6A" w:rsidP="00CA0C30">
            <w:pPr>
              <w:jc w:val="both"/>
              <w:rPr>
                <w:rFonts w:eastAsiaTheme="minorHAnsi"/>
                <w:lang w:val="lt-LT"/>
              </w:rPr>
            </w:pPr>
            <w:r>
              <w:rPr>
                <w:rFonts w:eastAsiaTheme="minorHAnsi"/>
                <w:lang w:val="lt-LT"/>
              </w:rPr>
              <w:t xml:space="preserve">6. </w:t>
            </w:r>
          </w:p>
        </w:tc>
        <w:tc>
          <w:tcPr>
            <w:tcW w:w="3921" w:type="dxa"/>
          </w:tcPr>
          <w:p w14:paraId="15548D85" w14:textId="32E2941C" w:rsidR="00655D6A" w:rsidRDefault="00655D6A" w:rsidP="00CA0C30">
            <w:pPr>
              <w:jc w:val="both"/>
              <w:rPr>
                <w:rFonts w:eastAsiaTheme="minorHAnsi"/>
                <w:i/>
                <w:iCs/>
                <w:lang w:val="lt-LT"/>
              </w:rPr>
            </w:pPr>
            <w:r>
              <w:rPr>
                <w:rFonts w:eastAsiaTheme="minorHAnsi"/>
                <w:i/>
                <w:iCs/>
                <w:lang w:val="lt-LT"/>
              </w:rPr>
              <w:t>„</w:t>
            </w:r>
            <w:r w:rsidRPr="00655D6A">
              <w:rPr>
                <w:rFonts w:eastAsiaTheme="minorHAnsi"/>
                <w:i/>
                <w:iCs/>
                <w:lang w:val="lt-LT"/>
              </w:rPr>
              <w:t>Kokiuose kanaluose naujasis identitetas bus taikomas dažniausiai? (Skaitmeninis/spausdintas, vidinė/išorinė komunikacija?)</w:t>
            </w:r>
            <w:r>
              <w:rPr>
                <w:rFonts w:eastAsiaTheme="minorHAnsi"/>
                <w:i/>
                <w:iCs/>
                <w:lang w:val="lt-LT"/>
              </w:rPr>
              <w:t>“</w:t>
            </w:r>
          </w:p>
        </w:tc>
        <w:tc>
          <w:tcPr>
            <w:tcW w:w="4222" w:type="dxa"/>
          </w:tcPr>
          <w:p w14:paraId="67C5ED39" w14:textId="1FC03E29" w:rsidR="00655D6A" w:rsidRDefault="00F532B0" w:rsidP="00CA0C30">
            <w:pPr>
              <w:jc w:val="both"/>
              <w:rPr>
                <w:rFonts w:eastAsiaTheme="minorHAnsi"/>
                <w:lang w:val="lt-LT"/>
              </w:rPr>
            </w:pPr>
            <w:r w:rsidRPr="00F532B0">
              <w:rPr>
                <w:rFonts w:eastAsiaTheme="minorHAnsi"/>
                <w:lang w:val="lt-LT"/>
              </w:rPr>
              <w:t>Naujasis identitetas, kaip ir tas, kurį dabar taikome, yra skirtas ir viešam, ir vidiniam naudojimui.</w:t>
            </w:r>
          </w:p>
        </w:tc>
      </w:tr>
      <w:tr w:rsidR="00655D6A" w:rsidRPr="00F37092" w14:paraId="0B183B42" w14:textId="77777777" w:rsidTr="000A1023">
        <w:tc>
          <w:tcPr>
            <w:tcW w:w="1203" w:type="dxa"/>
          </w:tcPr>
          <w:p w14:paraId="5241B238" w14:textId="7D93DDAA" w:rsidR="00655D6A" w:rsidRDefault="00655D6A" w:rsidP="00CA0C30">
            <w:pPr>
              <w:jc w:val="both"/>
              <w:rPr>
                <w:rFonts w:eastAsiaTheme="minorHAnsi"/>
                <w:lang w:val="lt-LT"/>
              </w:rPr>
            </w:pPr>
            <w:r>
              <w:rPr>
                <w:rFonts w:eastAsiaTheme="minorHAnsi"/>
                <w:lang w:val="lt-LT"/>
              </w:rPr>
              <w:t xml:space="preserve">7. </w:t>
            </w:r>
          </w:p>
        </w:tc>
        <w:tc>
          <w:tcPr>
            <w:tcW w:w="3921" w:type="dxa"/>
          </w:tcPr>
          <w:p w14:paraId="3D5EFC6A" w14:textId="38005661" w:rsidR="00655D6A" w:rsidRDefault="00655D6A" w:rsidP="00CA0C30">
            <w:pPr>
              <w:jc w:val="both"/>
              <w:rPr>
                <w:rFonts w:eastAsiaTheme="minorHAnsi"/>
                <w:i/>
                <w:iCs/>
                <w:lang w:val="lt-LT"/>
              </w:rPr>
            </w:pPr>
            <w:r>
              <w:rPr>
                <w:rFonts w:eastAsiaTheme="minorHAnsi"/>
                <w:i/>
                <w:iCs/>
                <w:lang w:val="lt-LT"/>
              </w:rPr>
              <w:t>„</w:t>
            </w:r>
            <w:r w:rsidRPr="00655D6A">
              <w:rPr>
                <w:rFonts w:eastAsiaTheme="minorHAnsi"/>
                <w:i/>
                <w:iCs/>
                <w:lang w:val="lt-LT"/>
              </w:rPr>
              <w:t xml:space="preserve">Ar yra specifinių reikalavimų/apribojimų vizualiniam identitetui, kurių nėra pirkimo dokumentuose? (pvz. valstybinio </w:t>
            </w:r>
            <w:r w:rsidRPr="00655D6A">
              <w:rPr>
                <w:rFonts w:eastAsiaTheme="minorHAnsi"/>
                <w:i/>
                <w:iCs/>
                <w:lang w:val="lt-LT"/>
              </w:rPr>
              <w:lastRenderedPageBreak/>
              <w:t>sektoriaus simboliai, privaloma informacija)</w:t>
            </w:r>
            <w:r>
              <w:rPr>
                <w:rFonts w:eastAsiaTheme="minorHAnsi"/>
                <w:i/>
                <w:iCs/>
                <w:lang w:val="lt-LT"/>
              </w:rPr>
              <w:t>“</w:t>
            </w:r>
          </w:p>
        </w:tc>
        <w:tc>
          <w:tcPr>
            <w:tcW w:w="4222" w:type="dxa"/>
          </w:tcPr>
          <w:p w14:paraId="000641D5" w14:textId="03A2D02C" w:rsidR="00655D6A" w:rsidRDefault="00F532B0" w:rsidP="00CA0C30">
            <w:pPr>
              <w:jc w:val="both"/>
              <w:rPr>
                <w:rFonts w:eastAsiaTheme="minorHAnsi"/>
                <w:lang w:val="lt-LT"/>
              </w:rPr>
            </w:pPr>
            <w:r w:rsidRPr="00F532B0">
              <w:rPr>
                <w:rFonts w:eastAsiaTheme="minorHAnsi"/>
                <w:lang w:val="lt-LT"/>
              </w:rPr>
              <w:lastRenderedPageBreak/>
              <w:t xml:space="preserve">Valstybinė ligonių kasa, kaip institucija pavaldi Sveikatos apsaugos ministerijai, taip pat naudoja ir oficialų valstybinio sektoriaus simbolį, pavyzdžiui, svetainėje, kuri yra po Vyriausybės </w:t>
            </w:r>
            <w:r w:rsidRPr="00F532B0">
              <w:rPr>
                <w:rFonts w:eastAsiaTheme="minorHAnsi"/>
                <w:lang w:val="lt-LT"/>
              </w:rPr>
              <w:lastRenderedPageBreak/>
              <w:t>skėčiu, ir oficialiuose raštuose, tačiau tai netrukdo institucijai turėti ir savo vizualinį identitetą, VLK logo, kurį naudojame nuo 2009 metų.</w:t>
            </w:r>
          </w:p>
        </w:tc>
      </w:tr>
      <w:tr w:rsidR="00655D6A" w:rsidRPr="00F37092" w14:paraId="6617E87C" w14:textId="77777777" w:rsidTr="000A1023">
        <w:tc>
          <w:tcPr>
            <w:tcW w:w="1203" w:type="dxa"/>
          </w:tcPr>
          <w:p w14:paraId="7890115A" w14:textId="23430FDC" w:rsidR="00655D6A" w:rsidRDefault="00655D6A" w:rsidP="00CA0C30">
            <w:pPr>
              <w:jc w:val="both"/>
              <w:rPr>
                <w:rFonts w:eastAsiaTheme="minorHAnsi"/>
                <w:lang w:val="lt-LT"/>
              </w:rPr>
            </w:pPr>
            <w:r>
              <w:rPr>
                <w:rFonts w:eastAsiaTheme="minorHAnsi"/>
                <w:lang w:val="lt-LT"/>
              </w:rPr>
              <w:lastRenderedPageBreak/>
              <w:t xml:space="preserve">8. </w:t>
            </w:r>
          </w:p>
        </w:tc>
        <w:tc>
          <w:tcPr>
            <w:tcW w:w="3921" w:type="dxa"/>
          </w:tcPr>
          <w:p w14:paraId="49F6A70D" w14:textId="782331CE" w:rsidR="00655D6A" w:rsidRDefault="00B92616" w:rsidP="00CA0C30">
            <w:pPr>
              <w:jc w:val="both"/>
              <w:rPr>
                <w:rFonts w:eastAsiaTheme="minorHAnsi"/>
                <w:i/>
                <w:iCs/>
                <w:lang w:val="lt-LT"/>
              </w:rPr>
            </w:pPr>
            <w:r>
              <w:rPr>
                <w:rFonts w:eastAsiaTheme="minorHAnsi"/>
                <w:i/>
                <w:iCs/>
                <w:lang w:val="lt-LT"/>
              </w:rPr>
              <w:t>„</w:t>
            </w:r>
            <w:r w:rsidR="00655D6A" w:rsidRPr="00655D6A">
              <w:rPr>
                <w:rFonts w:eastAsiaTheme="minorHAnsi"/>
                <w:i/>
                <w:iCs/>
                <w:lang w:val="lt-LT"/>
              </w:rPr>
              <w:t>Ar prie logotipo turite poreikį turėti būtinai simbolį? ar tinkamas logotipas tiek su simboliu, tiek be, t.y. tik tipografinė išraiška?</w:t>
            </w:r>
            <w:r w:rsidR="00655D6A">
              <w:rPr>
                <w:rFonts w:eastAsiaTheme="minorHAnsi"/>
                <w:i/>
                <w:iCs/>
                <w:lang w:val="lt-LT"/>
              </w:rPr>
              <w:t>“</w:t>
            </w:r>
          </w:p>
        </w:tc>
        <w:tc>
          <w:tcPr>
            <w:tcW w:w="4222" w:type="dxa"/>
          </w:tcPr>
          <w:p w14:paraId="16737338" w14:textId="622EB55C" w:rsidR="00655D6A" w:rsidRDefault="00F532B0" w:rsidP="00CA0C30">
            <w:pPr>
              <w:jc w:val="both"/>
              <w:rPr>
                <w:rFonts w:eastAsiaTheme="minorHAnsi"/>
                <w:lang w:val="lt-LT"/>
              </w:rPr>
            </w:pPr>
            <w:r w:rsidRPr="00F532B0">
              <w:rPr>
                <w:rFonts w:eastAsiaTheme="minorHAnsi"/>
                <w:lang w:val="lt-LT"/>
              </w:rPr>
              <w:t>Norime ir simbolio (piktogramos, ženklo) ir tekstinės dalies. Kad logotipas turėtų atpažįstamą simbolį, kurį būtų galima naudoti ir atskirai nuo pavadinimo.</w:t>
            </w:r>
          </w:p>
        </w:tc>
      </w:tr>
      <w:tr w:rsidR="00B92616" w:rsidRPr="005820D5" w14:paraId="50C89292" w14:textId="77777777" w:rsidTr="000A1023">
        <w:tc>
          <w:tcPr>
            <w:tcW w:w="1203" w:type="dxa"/>
          </w:tcPr>
          <w:p w14:paraId="541E0BD0" w14:textId="79875A6A" w:rsidR="00B92616" w:rsidRDefault="00B92616" w:rsidP="00CA0C30">
            <w:pPr>
              <w:jc w:val="both"/>
              <w:rPr>
                <w:rFonts w:eastAsiaTheme="minorHAnsi"/>
                <w:lang w:val="lt-LT"/>
              </w:rPr>
            </w:pPr>
            <w:r>
              <w:rPr>
                <w:rFonts w:eastAsiaTheme="minorHAnsi"/>
                <w:lang w:val="lt-LT"/>
              </w:rPr>
              <w:t xml:space="preserve">9. </w:t>
            </w:r>
          </w:p>
        </w:tc>
        <w:tc>
          <w:tcPr>
            <w:tcW w:w="3921" w:type="dxa"/>
          </w:tcPr>
          <w:p w14:paraId="1FB801C8" w14:textId="41F21FC5" w:rsidR="00B92616" w:rsidRPr="00655D6A" w:rsidRDefault="00B92616" w:rsidP="00B92616">
            <w:pPr>
              <w:jc w:val="both"/>
              <w:rPr>
                <w:rFonts w:eastAsiaTheme="minorHAnsi"/>
                <w:i/>
                <w:iCs/>
                <w:lang w:val="lt-LT"/>
              </w:rPr>
            </w:pPr>
            <w:r>
              <w:rPr>
                <w:rFonts w:eastAsiaTheme="minorHAnsi"/>
                <w:i/>
                <w:iCs/>
                <w:lang w:val="lt-LT"/>
              </w:rPr>
              <w:t>„</w:t>
            </w:r>
            <w:r w:rsidRPr="00B92616">
              <w:rPr>
                <w:rFonts w:eastAsiaTheme="minorHAnsi"/>
                <w:i/>
                <w:iCs/>
                <w:lang w:val="lt-LT"/>
              </w:rPr>
              <w:t>Ar skaitmeniniam brandbook'ui turite platformą? t.y. kur jį talpinti?</w:t>
            </w:r>
            <w:r>
              <w:rPr>
                <w:rFonts w:eastAsiaTheme="minorHAnsi"/>
                <w:i/>
                <w:iCs/>
                <w:lang w:val="lt-LT"/>
              </w:rPr>
              <w:t>“</w:t>
            </w:r>
          </w:p>
        </w:tc>
        <w:tc>
          <w:tcPr>
            <w:tcW w:w="4222" w:type="dxa"/>
          </w:tcPr>
          <w:p w14:paraId="7129199D" w14:textId="36ED5BFD" w:rsidR="00B92616" w:rsidRDefault="00F532B0" w:rsidP="00CA0C30">
            <w:pPr>
              <w:jc w:val="both"/>
              <w:rPr>
                <w:rFonts w:eastAsiaTheme="minorHAnsi"/>
                <w:lang w:val="lt-LT"/>
              </w:rPr>
            </w:pPr>
            <w:r w:rsidRPr="00F532B0">
              <w:rPr>
                <w:rFonts w:eastAsiaTheme="minorHAnsi"/>
                <w:lang w:val="lt-LT"/>
              </w:rPr>
              <w:t>Turime savo vidinę sistemą, brandbook‘ą talpiname vidiniam vartojimui savo komandos svetainėje (intranete).</w:t>
            </w:r>
          </w:p>
        </w:tc>
      </w:tr>
      <w:tr w:rsidR="00F532B0" w:rsidRPr="00F37092" w14:paraId="45A5CAED" w14:textId="77777777" w:rsidTr="000A1023">
        <w:tc>
          <w:tcPr>
            <w:tcW w:w="1203" w:type="dxa"/>
          </w:tcPr>
          <w:p w14:paraId="13DCB1A1" w14:textId="0CA8C8CE" w:rsidR="00F532B0" w:rsidRDefault="00F532B0" w:rsidP="00CA0C30">
            <w:pPr>
              <w:jc w:val="both"/>
              <w:rPr>
                <w:rFonts w:eastAsiaTheme="minorHAnsi"/>
                <w:lang w:val="lt-LT"/>
              </w:rPr>
            </w:pPr>
            <w:r>
              <w:rPr>
                <w:rFonts w:eastAsiaTheme="minorHAnsi"/>
                <w:lang w:val="lt-LT"/>
              </w:rPr>
              <w:t>10.</w:t>
            </w:r>
          </w:p>
        </w:tc>
        <w:tc>
          <w:tcPr>
            <w:tcW w:w="3921" w:type="dxa"/>
          </w:tcPr>
          <w:p w14:paraId="14972F47" w14:textId="145038E3" w:rsidR="00F532B0" w:rsidRDefault="0052379A" w:rsidP="00B92616">
            <w:pPr>
              <w:jc w:val="both"/>
              <w:rPr>
                <w:rFonts w:eastAsiaTheme="minorHAnsi"/>
                <w:i/>
                <w:iCs/>
                <w:lang w:val="lt-LT"/>
              </w:rPr>
            </w:pPr>
            <w:r>
              <w:rPr>
                <w:rFonts w:eastAsiaTheme="minorHAnsi"/>
                <w:i/>
                <w:iCs/>
                <w:lang w:val="lt-LT"/>
              </w:rPr>
              <w:t>„</w:t>
            </w:r>
            <w:r w:rsidRPr="0052379A">
              <w:rPr>
                <w:rFonts w:eastAsiaTheme="minorHAnsi"/>
                <w:i/>
                <w:iCs/>
                <w:lang w:val="lt-LT"/>
              </w:rPr>
              <w:t>Kol kas, kalbant apie finansinį projekto pasiūlymą, dabar nurodyta numatoma projekto vertė yra 0. Paprastai yra nurodomos lubos, suma, kiek organizacija yra daugiausiai yra pasirengusi mokėti už ketinamas suteikti paslaugas. Ar šiuo atveju reiškia, kad tiesiog turime pateikti finansinį pasiūlymą, kuris, mūsų požiūriu, yra adekvatus už ketinamų suteikti paslaugų apimtis?</w:t>
            </w:r>
            <w:r>
              <w:rPr>
                <w:rFonts w:eastAsiaTheme="minorHAnsi"/>
                <w:i/>
                <w:iCs/>
                <w:lang w:val="lt-LT"/>
              </w:rPr>
              <w:t>“</w:t>
            </w:r>
          </w:p>
        </w:tc>
        <w:tc>
          <w:tcPr>
            <w:tcW w:w="4222" w:type="dxa"/>
          </w:tcPr>
          <w:p w14:paraId="06FD7CB4" w14:textId="79D2D59E" w:rsidR="00F532B0" w:rsidRPr="00F532B0" w:rsidRDefault="0052379A" w:rsidP="00CA0C30">
            <w:pPr>
              <w:jc w:val="both"/>
              <w:rPr>
                <w:rFonts w:eastAsiaTheme="minorHAnsi"/>
                <w:lang w:val="lt-LT"/>
              </w:rPr>
            </w:pPr>
            <w:r w:rsidRPr="0052379A">
              <w:rPr>
                <w:rFonts w:eastAsiaTheme="minorHAnsi"/>
                <w:lang w:val="lt-LT"/>
              </w:rPr>
              <w:t>Informuojame, kad pirkimo dokumentuose pirkimo biudžetas nėra nurodomas, vadovaujantis Viešųjų pirkimų įstatymo nuostatomis, kurios nenumato pareigos viešinti biudžetą. Toks sprendimas priimtas siekiant užtikrinti kuo didesnę konkurenciją ir skatinti tiekėjus teikti ekonomiškai naudingiausius pasiūlymus, neorientuojantis į iš anksto žinomą finansinę ribą</w:t>
            </w:r>
            <w:r>
              <w:rPr>
                <w:rFonts w:eastAsiaTheme="minorHAnsi"/>
                <w:lang w:val="lt-LT"/>
              </w:rPr>
              <w:t>, o įsivertinant siūlomų paslaugų apimtis.</w:t>
            </w:r>
          </w:p>
        </w:tc>
      </w:tr>
    </w:tbl>
    <w:p w14:paraId="276CC968" w14:textId="77777777" w:rsidR="00BD49BB" w:rsidRDefault="00BD49BB" w:rsidP="00614F17">
      <w:pPr>
        <w:ind w:firstLine="567"/>
        <w:jc w:val="both"/>
        <w:rPr>
          <w:rFonts w:eastAsiaTheme="minorHAnsi"/>
          <w:lang w:val="lt-LT"/>
        </w:rPr>
      </w:pPr>
    </w:p>
    <w:p w14:paraId="2E2E3E56" w14:textId="77777777" w:rsidR="002A3B51" w:rsidRDefault="002A3B51" w:rsidP="00A6023D">
      <w:pPr>
        <w:jc w:val="both"/>
        <w:rPr>
          <w:lang w:val="lt-LT"/>
        </w:rPr>
      </w:pPr>
    </w:p>
    <w:p w14:paraId="3FFECC20" w14:textId="54C895F8" w:rsidR="00264E3A" w:rsidRPr="008E6A32" w:rsidRDefault="00264E3A" w:rsidP="00A6023D">
      <w:pPr>
        <w:jc w:val="both"/>
        <w:rPr>
          <w:lang w:val="lt-LT"/>
        </w:rPr>
      </w:pPr>
      <w:r w:rsidRPr="008E6A32">
        <w:rPr>
          <w:lang w:val="lt-LT"/>
        </w:rPr>
        <w:t>Komisij</w:t>
      </w:r>
      <w:r w:rsidR="004A59C8">
        <w:rPr>
          <w:lang w:val="lt-LT"/>
        </w:rPr>
        <w:t>a</w:t>
      </w:r>
    </w:p>
    <w:p w14:paraId="2CE9BEB1" w14:textId="77777777" w:rsidR="00264E3A" w:rsidRPr="008E6A32" w:rsidRDefault="00264E3A" w:rsidP="00264E3A">
      <w:pPr>
        <w:ind w:firstLine="709"/>
        <w:jc w:val="both"/>
        <w:rPr>
          <w:lang w:val="lt-LT"/>
        </w:rPr>
      </w:pPr>
    </w:p>
    <w:sectPr w:rsidR="00264E3A" w:rsidRPr="008E6A32" w:rsidSect="00350013">
      <w:footerReference w:type="first" r:id="rId12"/>
      <w:pgSz w:w="11906" w:h="16838"/>
      <w:pgMar w:top="1134" w:right="849"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7B0E" w14:textId="77777777" w:rsidR="006008A5" w:rsidRDefault="006008A5">
      <w:r>
        <w:separator/>
      </w:r>
    </w:p>
  </w:endnote>
  <w:endnote w:type="continuationSeparator" w:id="0">
    <w:p w14:paraId="33F6A437" w14:textId="77777777" w:rsidR="006008A5" w:rsidRDefault="006008A5">
      <w:r>
        <w:continuationSeparator/>
      </w:r>
    </w:p>
  </w:endnote>
  <w:endnote w:type="continuationNotice" w:id="1">
    <w:p w14:paraId="4F0C5639" w14:textId="77777777" w:rsidR="006008A5" w:rsidRDefault="00600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DE" w14:textId="77777777" w:rsidR="00BE60CD" w:rsidRPr="00F75020" w:rsidRDefault="00BE60CD">
    <w:pPr>
      <w:pStyle w:val="Porat"/>
      <w:rPr>
        <w:lang w:val="lt-LT"/>
      </w:rPr>
    </w:pPr>
    <w:r w:rsidRPr="00F75020">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08DD" w14:textId="77777777" w:rsidR="006008A5" w:rsidRDefault="006008A5">
      <w:r>
        <w:separator/>
      </w:r>
    </w:p>
  </w:footnote>
  <w:footnote w:type="continuationSeparator" w:id="0">
    <w:p w14:paraId="4323CEAF" w14:textId="77777777" w:rsidR="006008A5" w:rsidRDefault="006008A5">
      <w:r>
        <w:continuationSeparator/>
      </w:r>
    </w:p>
  </w:footnote>
  <w:footnote w:type="continuationNotice" w:id="1">
    <w:p w14:paraId="1C760324" w14:textId="77777777" w:rsidR="006008A5" w:rsidRDefault="006008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5374"/>
    <w:multiLevelType w:val="hybridMultilevel"/>
    <w:tmpl w:val="4CC6A1B4"/>
    <w:lvl w:ilvl="0" w:tplc="74DEF22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CEB094C"/>
    <w:multiLevelType w:val="hybridMultilevel"/>
    <w:tmpl w:val="95F0A3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E955548"/>
    <w:multiLevelType w:val="hybridMultilevel"/>
    <w:tmpl w:val="A8844344"/>
    <w:lvl w:ilvl="0" w:tplc="AE4668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26566038">
    <w:abstractNumId w:val="1"/>
  </w:num>
  <w:num w:numId="2" w16cid:durableId="234558210">
    <w:abstractNumId w:val="2"/>
  </w:num>
  <w:num w:numId="3" w16cid:durableId="135923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C"/>
    <w:rsid w:val="00004102"/>
    <w:rsid w:val="00004363"/>
    <w:rsid w:val="000053BE"/>
    <w:rsid w:val="0001129A"/>
    <w:rsid w:val="00014B79"/>
    <w:rsid w:val="00014F45"/>
    <w:rsid w:val="000234E3"/>
    <w:rsid w:val="00023BC6"/>
    <w:rsid w:val="00024553"/>
    <w:rsid w:val="000256FE"/>
    <w:rsid w:val="0002662E"/>
    <w:rsid w:val="0004423C"/>
    <w:rsid w:val="00044896"/>
    <w:rsid w:val="00047E32"/>
    <w:rsid w:val="00051090"/>
    <w:rsid w:val="00055494"/>
    <w:rsid w:val="000563DE"/>
    <w:rsid w:val="000604EA"/>
    <w:rsid w:val="0006077F"/>
    <w:rsid w:val="00060CDD"/>
    <w:rsid w:val="00062E4B"/>
    <w:rsid w:val="00071FB9"/>
    <w:rsid w:val="0007256C"/>
    <w:rsid w:val="0007387B"/>
    <w:rsid w:val="0007428B"/>
    <w:rsid w:val="00074C70"/>
    <w:rsid w:val="000767D0"/>
    <w:rsid w:val="0008160D"/>
    <w:rsid w:val="00083635"/>
    <w:rsid w:val="000843B8"/>
    <w:rsid w:val="00090302"/>
    <w:rsid w:val="00094650"/>
    <w:rsid w:val="00094ABF"/>
    <w:rsid w:val="000A1023"/>
    <w:rsid w:val="000A11C2"/>
    <w:rsid w:val="000A5553"/>
    <w:rsid w:val="000A7959"/>
    <w:rsid w:val="000B1455"/>
    <w:rsid w:val="000B44A6"/>
    <w:rsid w:val="000C03D5"/>
    <w:rsid w:val="000C7A60"/>
    <w:rsid w:val="000D00E6"/>
    <w:rsid w:val="000D5D5E"/>
    <w:rsid w:val="000E07E1"/>
    <w:rsid w:val="000E092B"/>
    <w:rsid w:val="000E76C5"/>
    <w:rsid w:val="000F0777"/>
    <w:rsid w:val="00105447"/>
    <w:rsid w:val="00111CEC"/>
    <w:rsid w:val="00116883"/>
    <w:rsid w:val="00121B84"/>
    <w:rsid w:val="00123413"/>
    <w:rsid w:val="00126B55"/>
    <w:rsid w:val="00126B86"/>
    <w:rsid w:val="001270E3"/>
    <w:rsid w:val="0012728D"/>
    <w:rsid w:val="00127B30"/>
    <w:rsid w:val="00132A6B"/>
    <w:rsid w:val="00132FFA"/>
    <w:rsid w:val="00145783"/>
    <w:rsid w:val="001510E1"/>
    <w:rsid w:val="0015122C"/>
    <w:rsid w:val="0015312A"/>
    <w:rsid w:val="00153C2D"/>
    <w:rsid w:val="001540FC"/>
    <w:rsid w:val="0015550E"/>
    <w:rsid w:val="00161214"/>
    <w:rsid w:val="001615A2"/>
    <w:rsid w:val="00163350"/>
    <w:rsid w:val="00166CE4"/>
    <w:rsid w:val="0016798D"/>
    <w:rsid w:val="00167E75"/>
    <w:rsid w:val="00170D6C"/>
    <w:rsid w:val="00172829"/>
    <w:rsid w:val="00172B38"/>
    <w:rsid w:val="00180261"/>
    <w:rsid w:val="00182068"/>
    <w:rsid w:val="0018499D"/>
    <w:rsid w:val="0019264F"/>
    <w:rsid w:val="001935F6"/>
    <w:rsid w:val="001940BD"/>
    <w:rsid w:val="001A46C3"/>
    <w:rsid w:val="001A631F"/>
    <w:rsid w:val="001B1437"/>
    <w:rsid w:val="001B41B5"/>
    <w:rsid w:val="001B5F14"/>
    <w:rsid w:val="001B64C8"/>
    <w:rsid w:val="001C3EB3"/>
    <w:rsid w:val="001C4C75"/>
    <w:rsid w:val="001C4D5F"/>
    <w:rsid w:val="001D1585"/>
    <w:rsid w:val="001D210A"/>
    <w:rsid w:val="001D26EB"/>
    <w:rsid w:val="001E009F"/>
    <w:rsid w:val="001E3840"/>
    <w:rsid w:val="001E729F"/>
    <w:rsid w:val="001F0DCD"/>
    <w:rsid w:val="001F1BD5"/>
    <w:rsid w:val="001F41C1"/>
    <w:rsid w:val="001F43C4"/>
    <w:rsid w:val="001F4B98"/>
    <w:rsid w:val="001F5DB3"/>
    <w:rsid w:val="00202614"/>
    <w:rsid w:val="00203E4A"/>
    <w:rsid w:val="0020677B"/>
    <w:rsid w:val="0021098D"/>
    <w:rsid w:val="00211B0E"/>
    <w:rsid w:val="002122FC"/>
    <w:rsid w:val="00213D32"/>
    <w:rsid w:val="00215168"/>
    <w:rsid w:val="00222527"/>
    <w:rsid w:val="002227C8"/>
    <w:rsid w:val="002244AB"/>
    <w:rsid w:val="00233E9E"/>
    <w:rsid w:val="00235119"/>
    <w:rsid w:val="00236644"/>
    <w:rsid w:val="0024186F"/>
    <w:rsid w:val="002456A8"/>
    <w:rsid w:val="00247A08"/>
    <w:rsid w:val="00263D42"/>
    <w:rsid w:val="00264E3A"/>
    <w:rsid w:val="002657F6"/>
    <w:rsid w:val="00266A0C"/>
    <w:rsid w:val="002670FC"/>
    <w:rsid w:val="00271C0D"/>
    <w:rsid w:val="00273716"/>
    <w:rsid w:val="002805E1"/>
    <w:rsid w:val="002807D8"/>
    <w:rsid w:val="00280C77"/>
    <w:rsid w:val="00284B16"/>
    <w:rsid w:val="00287F9F"/>
    <w:rsid w:val="002901DB"/>
    <w:rsid w:val="002945F5"/>
    <w:rsid w:val="00296156"/>
    <w:rsid w:val="002968A2"/>
    <w:rsid w:val="002A05D6"/>
    <w:rsid w:val="002A23FD"/>
    <w:rsid w:val="002A3B51"/>
    <w:rsid w:val="002A44B9"/>
    <w:rsid w:val="002A50AB"/>
    <w:rsid w:val="002A5767"/>
    <w:rsid w:val="002A5AF0"/>
    <w:rsid w:val="002A6258"/>
    <w:rsid w:val="002B36C5"/>
    <w:rsid w:val="002B5758"/>
    <w:rsid w:val="002C1D26"/>
    <w:rsid w:val="002C3867"/>
    <w:rsid w:val="002C3A62"/>
    <w:rsid w:val="002C5BE5"/>
    <w:rsid w:val="002C79E4"/>
    <w:rsid w:val="002D7B34"/>
    <w:rsid w:val="002E050C"/>
    <w:rsid w:val="002E2AFA"/>
    <w:rsid w:val="002E50D8"/>
    <w:rsid w:val="002F349F"/>
    <w:rsid w:val="002F5CE7"/>
    <w:rsid w:val="002F6720"/>
    <w:rsid w:val="00301504"/>
    <w:rsid w:val="00302809"/>
    <w:rsid w:val="00303D49"/>
    <w:rsid w:val="003202D8"/>
    <w:rsid w:val="00321008"/>
    <w:rsid w:val="0032748E"/>
    <w:rsid w:val="00327FC2"/>
    <w:rsid w:val="00331F99"/>
    <w:rsid w:val="003354AF"/>
    <w:rsid w:val="00335D50"/>
    <w:rsid w:val="00344C23"/>
    <w:rsid w:val="003478EB"/>
    <w:rsid w:val="00347B4E"/>
    <w:rsid w:val="00350013"/>
    <w:rsid w:val="003500AA"/>
    <w:rsid w:val="003520F5"/>
    <w:rsid w:val="00352AD7"/>
    <w:rsid w:val="003543E2"/>
    <w:rsid w:val="003557A0"/>
    <w:rsid w:val="00361356"/>
    <w:rsid w:val="003625D0"/>
    <w:rsid w:val="00365F50"/>
    <w:rsid w:val="00367587"/>
    <w:rsid w:val="003736D8"/>
    <w:rsid w:val="00377A63"/>
    <w:rsid w:val="0038152B"/>
    <w:rsid w:val="00390F26"/>
    <w:rsid w:val="003A0686"/>
    <w:rsid w:val="003A10D4"/>
    <w:rsid w:val="003A254A"/>
    <w:rsid w:val="003A3B5B"/>
    <w:rsid w:val="003A6FAC"/>
    <w:rsid w:val="003B0139"/>
    <w:rsid w:val="003B2C5B"/>
    <w:rsid w:val="003B5594"/>
    <w:rsid w:val="003C13D5"/>
    <w:rsid w:val="003C30FD"/>
    <w:rsid w:val="003D0743"/>
    <w:rsid w:val="003E27C8"/>
    <w:rsid w:val="003E30B1"/>
    <w:rsid w:val="003E3C36"/>
    <w:rsid w:val="003E518E"/>
    <w:rsid w:val="003E5AAD"/>
    <w:rsid w:val="003F44E5"/>
    <w:rsid w:val="004067C2"/>
    <w:rsid w:val="00411BEF"/>
    <w:rsid w:val="00414740"/>
    <w:rsid w:val="00415600"/>
    <w:rsid w:val="004160D8"/>
    <w:rsid w:val="00417546"/>
    <w:rsid w:val="00417588"/>
    <w:rsid w:val="00422707"/>
    <w:rsid w:val="004249CB"/>
    <w:rsid w:val="004345B8"/>
    <w:rsid w:val="0043514D"/>
    <w:rsid w:val="00441BEB"/>
    <w:rsid w:val="00441E70"/>
    <w:rsid w:val="00447700"/>
    <w:rsid w:val="004505BD"/>
    <w:rsid w:val="004508DB"/>
    <w:rsid w:val="00451325"/>
    <w:rsid w:val="00453C8C"/>
    <w:rsid w:val="00462166"/>
    <w:rsid w:val="00463B55"/>
    <w:rsid w:val="00464B33"/>
    <w:rsid w:val="00485445"/>
    <w:rsid w:val="00496D6D"/>
    <w:rsid w:val="004A31D0"/>
    <w:rsid w:val="004A5990"/>
    <w:rsid w:val="004A59C8"/>
    <w:rsid w:val="004A5DF4"/>
    <w:rsid w:val="004B13AC"/>
    <w:rsid w:val="004B191F"/>
    <w:rsid w:val="004B2B16"/>
    <w:rsid w:val="004B538B"/>
    <w:rsid w:val="004C1769"/>
    <w:rsid w:val="004C5B50"/>
    <w:rsid w:val="004C75EA"/>
    <w:rsid w:val="004D020B"/>
    <w:rsid w:val="004D328C"/>
    <w:rsid w:val="004D3A5B"/>
    <w:rsid w:val="004D4593"/>
    <w:rsid w:val="004D5CCE"/>
    <w:rsid w:val="004E0F85"/>
    <w:rsid w:val="004E548E"/>
    <w:rsid w:val="004E7192"/>
    <w:rsid w:val="004F2F3B"/>
    <w:rsid w:val="004F6DFD"/>
    <w:rsid w:val="00502819"/>
    <w:rsid w:val="00503507"/>
    <w:rsid w:val="005123FE"/>
    <w:rsid w:val="005168D2"/>
    <w:rsid w:val="0052147D"/>
    <w:rsid w:val="0052337C"/>
    <w:rsid w:val="0052379A"/>
    <w:rsid w:val="00527367"/>
    <w:rsid w:val="00537D3D"/>
    <w:rsid w:val="005439C6"/>
    <w:rsid w:val="00546112"/>
    <w:rsid w:val="0055023F"/>
    <w:rsid w:val="0055299A"/>
    <w:rsid w:val="00560A1E"/>
    <w:rsid w:val="005642F1"/>
    <w:rsid w:val="00567296"/>
    <w:rsid w:val="005752A9"/>
    <w:rsid w:val="00576304"/>
    <w:rsid w:val="005807D0"/>
    <w:rsid w:val="00580AED"/>
    <w:rsid w:val="005820D5"/>
    <w:rsid w:val="00583E3A"/>
    <w:rsid w:val="005841DF"/>
    <w:rsid w:val="00586964"/>
    <w:rsid w:val="00586AE7"/>
    <w:rsid w:val="00586D26"/>
    <w:rsid w:val="00594D73"/>
    <w:rsid w:val="005A0DD5"/>
    <w:rsid w:val="005C3554"/>
    <w:rsid w:val="005C50A4"/>
    <w:rsid w:val="005C5995"/>
    <w:rsid w:val="005D3500"/>
    <w:rsid w:val="005D3672"/>
    <w:rsid w:val="005D75C2"/>
    <w:rsid w:val="005E2417"/>
    <w:rsid w:val="005E42B7"/>
    <w:rsid w:val="005F7D77"/>
    <w:rsid w:val="006005D4"/>
    <w:rsid w:val="006008A5"/>
    <w:rsid w:val="00604A7B"/>
    <w:rsid w:val="0060539A"/>
    <w:rsid w:val="00607305"/>
    <w:rsid w:val="00613FD4"/>
    <w:rsid w:val="00614F17"/>
    <w:rsid w:val="00614FDC"/>
    <w:rsid w:val="00615E54"/>
    <w:rsid w:val="00616417"/>
    <w:rsid w:val="00616570"/>
    <w:rsid w:val="006165AE"/>
    <w:rsid w:val="00616AFA"/>
    <w:rsid w:val="006171F2"/>
    <w:rsid w:val="00620485"/>
    <w:rsid w:val="006242E6"/>
    <w:rsid w:val="00631F2C"/>
    <w:rsid w:val="00632ECB"/>
    <w:rsid w:val="00635A09"/>
    <w:rsid w:val="00641655"/>
    <w:rsid w:val="00643ED2"/>
    <w:rsid w:val="00655D6A"/>
    <w:rsid w:val="00656ED8"/>
    <w:rsid w:val="00660D21"/>
    <w:rsid w:val="00660E5B"/>
    <w:rsid w:val="00662116"/>
    <w:rsid w:val="00665943"/>
    <w:rsid w:val="0066617B"/>
    <w:rsid w:val="006672C9"/>
    <w:rsid w:val="00671BA3"/>
    <w:rsid w:val="00673AC7"/>
    <w:rsid w:val="0067470B"/>
    <w:rsid w:val="00676420"/>
    <w:rsid w:val="0068124D"/>
    <w:rsid w:val="006944D7"/>
    <w:rsid w:val="006961A2"/>
    <w:rsid w:val="006A3C4B"/>
    <w:rsid w:val="006A6F83"/>
    <w:rsid w:val="006B1457"/>
    <w:rsid w:val="006C033A"/>
    <w:rsid w:val="006C48E5"/>
    <w:rsid w:val="006C50FD"/>
    <w:rsid w:val="006D02E1"/>
    <w:rsid w:val="006D1593"/>
    <w:rsid w:val="006D7DB2"/>
    <w:rsid w:val="006E2D37"/>
    <w:rsid w:val="006F08C7"/>
    <w:rsid w:val="006F0AC8"/>
    <w:rsid w:val="006F2C86"/>
    <w:rsid w:val="006F5EB1"/>
    <w:rsid w:val="006F5F22"/>
    <w:rsid w:val="00701D2D"/>
    <w:rsid w:val="00703770"/>
    <w:rsid w:val="00710E0C"/>
    <w:rsid w:val="0071731F"/>
    <w:rsid w:val="0072028F"/>
    <w:rsid w:val="0072190C"/>
    <w:rsid w:val="00731A22"/>
    <w:rsid w:val="00732150"/>
    <w:rsid w:val="0073546C"/>
    <w:rsid w:val="007364C0"/>
    <w:rsid w:val="00741EF0"/>
    <w:rsid w:val="00744311"/>
    <w:rsid w:val="007448F9"/>
    <w:rsid w:val="00752050"/>
    <w:rsid w:val="007567FD"/>
    <w:rsid w:val="007630AF"/>
    <w:rsid w:val="0077201E"/>
    <w:rsid w:val="00773904"/>
    <w:rsid w:val="00781D0A"/>
    <w:rsid w:val="00783217"/>
    <w:rsid w:val="00783A86"/>
    <w:rsid w:val="00785D4A"/>
    <w:rsid w:val="0078725B"/>
    <w:rsid w:val="00792600"/>
    <w:rsid w:val="00795B68"/>
    <w:rsid w:val="007A000F"/>
    <w:rsid w:val="007A09BA"/>
    <w:rsid w:val="007A1D91"/>
    <w:rsid w:val="007A755C"/>
    <w:rsid w:val="007A7C52"/>
    <w:rsid w:val="007B3353"/>
    <w:rsid w:val="007D131F"/>
    <w:rsid w:val="007D3513"/>
    <w:rsid w:val="007D5385"/>
    <w:rsid w:val="007D59D3"/>
    <w:rsid w:val="007D6B9B"/>
    <w:rsid w:val="007E00E0"/>
    <w:rsid w:val="007E095D"/>
    <w:rsid w:val="007E2BB7"/>
    <w:rsid w:val="007F3A22"/>
    <w:rsid w:val="007F5090"/>
    <w:rsid w:val="007F5984"/>
    <w:rsid w:val="00800CAE"/>
    <w:rsid w:val="00803179"/>
    <w:rsid w:val="00806FEF"/>
    <w:rsid w:val="00810A6C"/>
    <w:rsid w:val="00811555"/>
    <w:rsid w:val="0081321A"/>
    <w:rsid w:val="008216E6"/>
    <w:rsid w:val="00825A06"/>
    <w:rsid w:val="008307A7"/>
    <w:rsid w:val="0083606E"/>
    <w:rsid w:val="00840491"/>
    <w:rsid w:val="00844504"/>
    <w:rsid w:val="008450F0"/>
    <w:rsid w:val="0085002C"/>
    <w:rsid w:val="00852358"/>
    <w:rsid w:val="008564ED"/>
    <w:rsid w:val="0086043B"/>
    <w:rsid w:val="00871CA5"/>
    <w:rsid w:val="00872CC4"/>
    <w:rsid w:val="00874812"/>
    <w:rsid w:val="00876775"/>
    <w:rsid w:val="0088318E"/>
    <w:rsid w:val="00894B2C"/>
    <w:rsid w:val="008979B4"/>
    <w:rsid w:val="008A0204"/>
    <w:rsid w:val="008A258B"/>
    <w:rsid w:val="008A5257"/>
    <w:rsid w:val="008A5CB0"/>
    <w:rsid w:val="008B0CE6"/>
    <w:rsid w:val="008B0EDC"/>
    <w:rsid w:val="008B1DE1"/>
    <w:rsid w:val="008B2E0D"/>
    <w:rsid w:val="008B52FB"/>
    <w:rsid w:val="008C214E"/>
    <w:rsid w:val="008C30A4"/>
    <w:rsid w:val="008C3D76"/>
    <w:rsid w:val="008C55CA"/>
    <w:rsid w:val="008D02E4"/>
    <w:rsid w:val="008E2254"/>
    <w:rsid w:val="008E6A32"/>
    <w:rsid w:val="008F19BD"/>
    <w:rsid w:val="008F4F45"/>
    <w:rsid w:val="008F613B"/>
    <w:rsid w:val="009015B3"/>
    <w:rsid w:val="00905363"/>
    <w:rsid w:val="00906409"/>
    <w:rsid w:val="00907D6F"/>
    <w:rsid w:val="00912BFF"/>
    <w:rsid w:val="00915E7B"/>
    <w:rsid w:val="00916E86"/>
    <w:rsid w:val="00922E29"/>
    <w:rsid w:val="0092672D"/>
    <w:rsid w:val="009358D9"/>
    <w:rsid w:val="00935FA9"/>
    <w:rsid w:val="00936CB0"/>
    <w:rsid w:val="00937D83"/>
    <w:rsid w:val="00945797"/>
    <w:rsid w:val="009465C1"/>
    <w:rsid w:val="00947D37"/>
    <w:rsid w:val="00950F3F"/>
    <w:rsid w:val="0095506D"/>
    <w:rsid w:val="00955B64"/>
    <w:rsid w:val="00957A16"/>
    <w:rsid w:val="00963E4C"/>
    <w:rsid w:val="009658C0"/>
    <w:rsid w:val="00967251"/>
    <w:rsid w:val="0097302D"/>
    <w:rsid w:val="00976189"/>
    <w:rsid w:val="00987B7C"/>
    <w:rsid w:val="0099262E"/>
    <w:rsid w:val="0099295F"/>
    <w:rsid w:val="009972DB"/>
    <w:rsid w:val="009A1EC2"/>
    <w:rsid w:val="009A21A4"/>
    <w:rsid w:val="009A25C0"/>
    <w:rsid w:val="009A2D17"/>
    <w:rsid w:val="009A2DDD"/>
    <w:rsid w:val="009A4510"/>
    <w:rsid w:val="009B007A"/>
    <w:rsid w:val="009B0206"/>
    <w:rsid w:val="009B13F1"/>
    <w:rsid w:val="009B4107"/>
    <w:rsid w:val="009C05AA"/>
    <w:rsid w:val="009C0D84"/>
    <w:rsid w:val="009C0EC6"/>
    <w:rsid w:val="009C1968"/>
    <w:rsid w:val="009C1A65"/>
    <w:rsid w:val="009C403C"/>
    <w:rsid w:val="009D754E"/>
    <w:rsid w:val="009E52AE"/>
    <w:rsid w:val="009E6578"/>
    <w:rsid w:val="00A0027A"/>
    <w:rsid w:val="00A0112D"/>
    <w:rsid w:val="00A01A0B"/>
    <w:rsid w:val="00A01B64"/>
    <w:rsid w:val="00A022C2"/>
    <w:rsid w:val="00A0266C"/>
    <w:rsid w:val="00A145F9"/>
    <w:rsid w:val="00A2244E"/>
    <w:rsid w:val="00A25E4A"/>
    <w:rsid w:val="00A33327"/>
    <w:rsid w:val="00A33644"/>
    <w:rsid w:val="00A36C3E"/>
    <w:rsid w:val="00A40EB8"/>
    <w:rsid w:val="00A4365E"/>
    <w:rsid w:val="00A458ED"/>
    <w:rsid w:val="00A45DC7"/>
    <w:rsid w:val="00A47F48"/>
    <w:rsid w:val="00A6023D"/>
    <w:rsid w:val="00A66235"/>
    <w:rsid w:val="00A66B26"/>
    <w:rsid w:val="00A672D9"/>
    <w:rsid w:val="00A6772D"/>
    <w:rsid w:val="00A72B2F"/>
    <w:rsid w:val="00A74489"/>
    <w:rsid w:val="00A76815"/>
    <w:rsid w:val="00A830F0"/>
    <w:rsid w:val="00A83591"/>
    <w:rsid w:val="00A841EF"/>
    <w:rsid w:val="00A90254"/>
    <w:rsid w:val="00A91E4A"/>
    <w:rsid w:val="00A9348C"/>
    <w:rsid w:val="00A94DAE"/>
    <w:rsid w:val="00AA0D15"/>
    <w:rsid w:val="00AA4A4D"/>
    <w:rsid w:val="00AB6895"/>
    <w:rsid w:val="00AC044F"/>
    <w:rsid w:val="00AC45BB"/>
    <w:rsid w:val="00AC6C80"/>
    <w:rsid w:val="00AD3362"/>
    <w:rsid w:val="00AD45C5"/>
    <w:rsid w:val="00AE0727"/>
    <w:rsid w:val="00AE09A0"/>
    <w:rsid w:val="00AE2F5B"/>
    <w:rsid w:val="00AE362A"/>
    <w:rsid w:val="00AE375C"/>
    <w:rsid w:val="00AE581A"/>
    <w:rsid w:val="00AF3224"/>
    <w:rsid w:val="00B105C4"/>
    <w:rsid w:val="00B10A43"/>
    <w:rsid w:val="00B203BB"/>
    <w:rsid w:val="00B22CDE"/>
    <w:rsid w:val="00B27425"/>
    <w:rsid w:val="00B30CC6"/>
    <w:rsid w:val="00B347A0"/>
    <w:rsid w:val="00B34F1C"/>
    <w:rsid w:val="00B42196"/>
    <w:rsid w:val="00B42650"/>
    <w:rsid w:val="00B43D87"/>
    <w:rsid w:val="00B5003D"/>
    <w:rsid w:val="00B53A92"/>
    <w:rsid w:val="00B649F2"/>
    <w:rsid w:val="00B64D41"/>
    <w:rsid w:val="00B654A0"/>
    <w:rsid w:val="00B67305"/>
    <w:rsid w:val="00B67B63"/>
    <w:rsid w:val="00B7230D"/>
    <w:rsid w:val="00B747E7"/>
    <w:rsid w:val="00B7506E"/>
    <w:rsid w:val="00B81E7C"/>
    <w:rsid w:val="00B8296D"/>
    <w:rsid w:val="00B86412"/>
    <w:rsid w:val="00B92290"/>
    <w:rsid w:val="00B92616"/>
    <w:rsid w:val="00B93565"/>
    <w:rsid w:val="00B93A73"/>
    <w:rsid w:val="00BA38AB"/>
    <w:rsid w:val="00BA42F8"/>
    <w:rsid w:val="00BA5BAB"/>
    <w:rsid w:val="00BA6AE1"/>
    <w:rsid w:val="00BA7614"/>
    <w:rsid w:val="00BA794E"/>
    <w:rsid w:val="00BA7A29"/>
    <w:rsid w:val="00BB1C49"/>
    <w:rsid w:val="00BB5746"/>
    <w:rsid w:val="00BB5CF5"/>
    <w:rsid w:val="00BC072C"/>
    <w:rsid w:val="00BC6DBF"/>
    <w:rsid w:val="00BD06C4"/>
    <w:rsid w:val="00BD15A6"/>
    <w:rsid w:val="00BD49BB"/>
    <w:rsid w:val="00BD6D6A"/>
    <w:rsid w:val="00BE0860"/>
    <w:rsid w:val="00BE1083"/>
    <w:rsid w:val="00BE60CD"/>
    <w:rsid w:val="00BE68F1"/>
    <w:rsid w:val="00BF31F1"/>
    <w:rsid w:val="00C00010"/>
    <w:rsid w:val="00C00412"/>
    <w:rsid w:val="00C02D63"/>
    <w:rsid w:val="00C123E4"/>
    <w:rsid w:val="00C127F8"/>
    <w:rsid w:val="00C137E3"/>
    <w:rsid w:val="00C201C7"/>
    <w:rsid w:val="00C20B2C"/>
    <w:rsid w:val="00C21EE5"/>
    <w:rsid w:val="00C23432"/>
    <w:rsid w:val="00C23A7A"/>
    <w:rsid w:val="00C24B04"/>
    <w:rsid w:val="00C41C60"/>
    <w:rsid w:val="00C43035"/>
    <w:rsid w:val="00C43B40"/>
    <w:rsid w:val="00C4538D"/>
    <w:rsid w:val="00C459A7"/>
    <w:rsid w:val="00C51890"/>
    <w:rsid w:val="00C54C7D"/>
    <w:rsid w:val="00C71D47"/>
    <w:rsid w:val="00C72628"/>
    <w:rsid w:val="00C7554C"/>
    <w:rsid w:val="00C854EE"/>
    <w:rsid w:val="00C87039"/>
    <w:rsid w:val="00C90106"/>
    <w:rsid w:val="00C91EA2"/>
    <w:rsid w:val="00C931E1"/>
    <w:rsid w:val="00C941EE"/>
    <w:rsid w:val="00C94292"/>
    <w:rsid w:val="00C95771"/>
    <w:rsid w:val="00CA05B7"/>
    <w:rsid w:val="00CA0C30"/>
    <w:rsid w:val="00CA20BB"/>
    <w:rsid w:val="00CA2708"/>
    <w:rsid w:val="00CA2DC2"/>
    <w:rsid w:val="00CB0A66"/>
    <w:rsid w:val="00CB2455"/>
    <w:rsid w:val="00CC0EBB"/>
    <w:rsid w:val="00CC63BB"/>
    <w:rsid w:val="00CC661F"/>
    <w:rsid w:val="00CD20DF"/>
    <w:rsid w:val="00CD3BD9"/>
    <w:rsid w:val="00CD5284"/>
    <w:rsid w:val="00CF2C56"/>
    <w:rsid w:val="00CF449F"/>
    <w:rsid w:val="00CF7443"/>
    <w:rsid w:val="00D035D1"/>
    <w:rsid w:val="00D07B3C"/>
    <w:rsid w:val="00D11BDB"/>
    <w:rsid w:val="00D1238E"/>
    <w:rsid w:val="00D149EE"/>
    <w:rsid w:val="00D14D2C"/>
    <w:rsid w:val="00D15BE5"/>
    <w:rsid w:val="00D22E9C"/>
    <w:rsid w:val="00D3139B"/>
    <w:rsid w:val="00D377CC"/>
    <w:rsid w:val="00D40BD4"/>
    <w:rsid w:val="00D4181F"/>
    <w:rsid w:val="00D42B7A"/>
    <w:rsid w:val="00D4317A"/>
    <w:rsid w:val="00D4377D"/>
    <w:rsid w:val="00D459D3"/>
    <w:rsid w:val="00D50883"/>
    <w:rsid w:val="00D52337"/>
    <w:rsid w:val="00D52769"/>
    <w:rsid w:val="00D560E1"/>
    <w:rsid w:val="00D56B6D"/>
    <w:rsid w:val="00D615FA"/>
    <w:rsid w:val="00D66CE1"/>
    <w:rsid w:val="00D67D06"/>
    <w:rsid w:val="00D717F1"/>
    <w:rsid w:val="00D7768C"/>
    <w:rsid w:val="00D779A1"/>
    <w:rsid w:val="00D810FC"/>
    <w:rsid w:val="00D8263F"/>
    <w:rsid w:val="00D830DE"/>
    <w:rsid w:val="00D90111"/>
    <w:rsid w:val="00D9044B"/>
    <w:rsid w:val="00D90A41"/>
    <w:rsid w:val="00D90FB2"/>
    <w:rsid w:val="00D94024"/>
    <w:rsid w:val="00D96DEE"/>
    <w:rsid w:val="00DA05C4"/>
    <w:rsid w:val="00DA21BE"/>
    <w:rsid w:val="00DA320C"/>
    <w:rsid w:val="00DB3F45"/>
    <w:rsid w:val="00DB4FC5"/>
    <w:rsid w:val="00DB7F7A"/>
    <w:rsid w:val="00DC14BD"/>
    <w:rsid w:val="00DC2CE5"/>
    <w:rsid w:val="00DD08F8"/>
    <w:rsid w:val="00DE01A6"/>
    <w:rsid w:val="00DE1EF8"/>
    <w:rsid w:val="00DE2394"/>
    <w:rsid w:val="00DE5228"/>
    <w:rsid w:val="00DF43BB"/>
    <w:rsid w:val="00DF7810"/>
    <w:rsid w:val="00E00BB1"/>
    <w:rsid w:val="00E0168A"/>
    <w:rsid w:val="00E036B0"/>
    <w:rsid w:val="00E10B88"/>
    <w:rsid w:val="00E10C8D"/>
    <w:rsid w:val="00E12063"/>
    <w:rsid w:val="00E1207F"/>
    <w:rsid w:val="00E133B4"/>
    <w:rsid w:val="00E16A74"/>
    <w:rsid w:val="00E20D87"/>
    <w:rsid w:val="00E26E01"/>
    <w:rsid w:val="00E32524"/>
    <w:rsid w:val="00E3402F"/>
    <w:rsid w:val="00E41DD8"/>
    <w:rsid w:val="00E42036"/>
    <w:rsid w:val="00E42E1A"/>
    <w:rsid w:val="00E4329B"/>
    <w:rsid w:val="00E43EF0"/>
    <w:rsid w:val="00E45F94"/>
    <w:rsid w:val="00E53F0B"/>
    <w:rsid w:val="00E576CC"/>
    <w:rsid w:val="00E643F8"/>
    <w:rsid w:val="00E6597A"/>
    <w:rsid w:val="00E65F0C"/>
    <w:rsid w:val="00E67DF3"/>
    <w:rsid w:val="00E71747"/>
    <w:rsid w:val="00E7291E"/>
    <w:rsid w:val="00E73199"/>
    <w:rsid w:val="00E82DD9"/>
    <w:rsid w:val="00E86A94"/>
    <w:rsid w:val="00E87BAB"/>
    <w:rsid w:val="00E87E08"/>
    <w:rsid w:val="00E90881"/>
    <w:rsid w:val="00E90E0A"/>
    <w:rsid w:val="00E937A7"/>
    <w:rsid w:val="00EA5F2F"/>
    <w:rsid w:val="00EA62DF"/>
    <w:rsid w:val="00EA65CD"/>
    <w:rsid w:val="00EB1EB8"/>
    <w:rsid w:val="00EB255F"/>
    <w:rsid w:val="00EB6FAE"/>
    <w:rsid w:val="00EB7CCB"/>
    <w:rsid w:val="00EC0D73"/>
    <w:rsid w:val="00ED4B7D"/>
    <w:rsid w:val="00EE3887"/>
    <w:rsid w:val="00EE3C1E"/>
    <w:rsid w:val="00EF0859"/>
    <w:rsid w:val="00EF0A11"/>
    <w:rsid w:val="00EF1828"/>
    <w:rsid w:val="00EF455F"/>
    <w:rsid w:val="00EF5EA7"/>
    <w:rsid w:val="00EF7764"/>
    <w:rsid w:val="00F007BE"/>
    <w:rsid w:val="00F012CD"/>
    <w:rsid w:val="00F027CF"/>
    <w:rsid w:val="00F03AEF"/>
    <w:rsid w:val="00F03B92"/>
    <w:rsid w:val="00F058FE"/>
    <w:rsid w:val="00F177E2"/>
    <w:rsid w:val="00F23525"/>
    <w:rsid w:val="00F24A38"/>
    <w:rsid w:val="00F267C4"/>
    <w:rsid w:val="00F322F0"/>
    <w:rsid w:val="00F324E5"/>
    <w:rsid w:val="00F3483B"/>
    <w:rsid w:val="00F352DA"/>
    <w:rsid w:val="00F37092"/>
    <w:rsid w:val="00F4025F"/>
    <w:rsid w:val="00F4699C"/>
    <w:rsid w:val="00F503F7"/>
    <w:rsid w:val="00F532B0"/>
    <w:rsid w:val="00F567C5"/>
    <w:rsid w:val="00F5710E"/>
    <w:rsid w:val="00F6000E"/>
    <w:rsid w:val="00F60794"/>
    <w:rsid w:val="00F640AB"/>
    <w:rsid w:val="00F647E3"/>
    <w:rsid w:val="00F67259"/>
    <w:rsid w:val="00F70ED5"/>
    <w:rsid w:val="00F72CDD"/>
    <w:rsid w:val="00F72F2F"/>
    <w:rsid w:val="00F742FB"/>
    <w:rsid w:val="00F75020"/>
    <w:rsid w:val="00F8115B"/>
    <w:rsid w:val="00F8354C"/>
    <w:rsid w:val="00F8527D"/>
    <w:rsid w:val="00F93073"/>
    <w:rsid w:val="00F953C3"/>
    <w:rsid w:val="00F976DD"/>
    <w:rsid w:val="00FA5683"/>
    <w:rsid w:val="00FB7C83"/>
    <w:rsid w:val="00FC5B1B"/>
    <w:rsid w:val="00FC5BFC"/>
    <w:rsid w:val="00FC65D7"/>
    <w:rsid w:val="00FD1927"/>
    <w:rsid w:val="00FD2496"/>
    <w:rsid w:val="00FD2B47"/>
    <w:rsid w:val="00FD5B04"/>
    <w:rsid w:val="00FD72E4"/>
    <w:rsid w:val="00FE1F18"/>
    <w:rsid w:val="00FF2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8F8A"/>
  <w15:docId w15:val="{A90DDEF8-1A57-4FA9-854C-FB6297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basedOn w:val="Numatytasispastraiposriftas"/>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2D7B34"/>
    <w:pPr>
      <w:tabs>
        <w:tab w:val="center" w:pos="4819"/>
        <w:tab w:val="right" w:pos="9638"/>
      </w:tabs>
    </w:pPr>
  </w:style>
  <w:style w:type="character" w:customStyle="1" w:styleId="PoratDiagrama">
    <w:name w:val="Poraštė Diagrama"/>
    <w:basedOn w:val="Numatytasispastraiposriftas"/>
    <w:link w:val="Porat"/>
    <w:uiPriority w:val="99"/>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2D7B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7B34"/>
    <w:rPr>
      <w:rFonts w:ascii="Tahoma" w:eastAsia="Times New Roman" w:hAnsi="Tahoma" w:cs="Tahoma"/>
      <w:sz w:val="16"/>
      <w:szCs w:val="16"/>
      <w:lang w:val="en-US" w:eastAsia="en-US"/>
    </w:rPr>
  </w:style>
  <w:style w:type="character" w:styleId="Hipersaitas">
    <w:name w:val="Hyperlink"/>
    <w:basedOn w:val="Numatytasispastraiposriftas"/>
    <w:uiPriority w:val="99"/>
    <w:unhideWhenUsed/>
    <w:rsid w:val="00DF7810"/>
    <w:rPr>
      <w:color w:val="0000FF" w:themeColor="hyperlink"/>
      <w:u w:val="single"/>
    </w:rPr>
  </w:style>
  <w:style w:type="paragraph" w:styleId="prastasiniatinklio">
    <w:name w:val="Normal (Web)"/>
    <w:basedOn w:val="prastasis"/>
    <w:uiPriority w:val="99"/>
    <w:unhideWhenUsed/>
    <w:rsid w:val="001E729F"/>
    <w:pPr>
      <w:spacing w:before="100" w:beforeAutospacing="1" w:after="100" w:afterAutospacing="1"/>
    </w:pPr>
    <w:rPr>
      <w:lang w:val="lt-LT" w:eastAsia="lt-LT"/>
    </w:rPr>
  </w:style>
  <w:style w:type="paragraph" w:styleId="Sraopastraipa">
    <w:name w:val="List Paragraph"/>
    <w:aliases w:val="ERP-List Paragraph,List Paragraph11,lp1,Bullet 1,Use Case List Paragraph"/>
    <w:basedOn w:val="prastasis"/>
    <w:link w:val="SraopastraipaDiagrama"/>
    <w:uiPriority w:val="34"/>
    <w:qFormat/>
    <w:rsid w:val="005439C6"/>
    <w:pPr>
      <w:ind w:left="720"/>
      <w:contextualSpacing/>
    </w:pPr>
  </w:style>
  <w:style w:type="character" w:customStyle="1" w:styleId="SraopastraipaDiagrama">
    <w:name w:val="Sąrašo pastraipa Diagrama"/>
    <w:aliases w:val="ERP-List Paragraph Diagrama,List Paragraph11 Diagrama,lp1 Diagrama,Bullet 1 Diagrama,Use Case List Paragraph Diagrama"/>
    <w:link w:val="Sraopastraipa"/>
    <w:uiPriority w:val="34"/>
    <w:locked/>
    <w:rsid w:val="005439C6"/>
    <w:rPr>
      <w:rFonts w:ascii="Times New Roman" w:eastAsia="Times New Roman" w:hAnsi="Times New Roman"/>
      <w:sz w:val="24"/>
      <w:szCs w:val="24"/>
      <w:lang w:val="en-US" w:eastAsia="en-US"/>
    </w:rPr>
  </w:style>
  <w:style w:type="character" w:styleId="Komentaronuoroda">
    <w:name w:val="annotation reference"/>
    <w:basedOn w:val="Numatytasispastraiposriftas"/>
    <w:uiPriority w:val="99"/>
    <w:semiHidden/>
    <w:unhideWhenUsed/>
    <w:rsid w:val="00E133B4"/>
    <w:rPr>
      <w:sz w:val="16"/>
      <w:szCs w:val="16"/>
    </w:rPr>
  </w:style>
  <w:style w:type="paragraph" w:styleId="Komentarotekstas">
    <w:name w:val="annotation text"/>
    <w:basedOn w:val="prastasis"/>
    <w:link w:val="KomentarotekstasDiagrama"/>
    <w:uiPriority w:val="99"/>
    <w:unhideWhenUsed/>
    <w:rsid w:val="00E133B4"/>
    <w:rPr>
      <w:sz w:val="20"/>
      <w:szCs w:val="20"/>
    </w:rPr>
  </w:style>
  <w:style w:type="character" w:customStyle="1" w:styleId="KomentarotekstasDiagrama">
    <w:name w:val="Komentaro tekstas Diagrama"/>
    <w:basedOn w:val="Numatytasispastraiposriftas"/>
    <w:link w:val="Komentarotekstas"/>
    <w:uiPriority w:val="99"/>
    <w:rsid w:val="00E133B4"/>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E133B4"/>
    <w:rPr>
      <w:b/>
      <w:bCs/>
    </w:rPr>
  </w:style>
  <w:style w:type="character" w:customStyle="1" w:styleId="KomentarotemaDiagrama">
    <w:name w:val="Komentaro tema Diagrama"/>
    <w:basedOn w:val="KomentarotekstasDiagrama"/>
    <w:link w:val="Komentarotema"/>
    <w:uiPriority w:val="99"/>
    <w:semiHidden/>
    <w:rsid w:val="00E133B4"/>
    <w:rPr>
      <w:rFonts w:ascii="Times New Roman" w:eastAsia="Times New Roman" w:hAnsi="Times New Roman"/>
      <w:b/>
      <w:bCs/>
      <w:lang w:val="en-US" w:eastAsia="en-US"/>
    </w:rPr>
  </w:style>
  <w:style w:type="table" w:customStyle="1" w:styleId="Lentelstinklelis1">
    <w:name w:val="Lentelės tinklelis1"/>
    <w:basedOn w:val="prastojilentel"/>
    <w:next w:val="Lentelstinklelis"/>
    <w:uiPriority w:val="59"/>
    <w:rsid w:val="00327F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D4593"/>
    <w:rPr>
      <w:color w:val="605E5C"/>
      <w:shd w:val="clear" w:color="auto" w:fill="E1DFDD"/>
    </w:rPr>
  </w:style>
  <w:style w:type="table" w:customStyle="1" w:styleId="Lentelstinklelis2">
    <w:name w:val="Lentelės tinklelis2"/>
    <w:basedOn w:val="prastojilentel"/>
    <w:next w:val="Lentelstinklelis"/>
    <w:uiPriority w:val="59"/>
    <w:rsid w:val="008A25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012CD"/>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2499">
      <w:bodyDiv w:val="1"/>
      <w:marLeft w:val="0"/>
      <w:marRight w:val="0"/>
      <w:marTop w:val="0"/>
      <w:marBottom w:val="0"/>
      <w:divBdr>
        <w:top w:val="none" w:sz="0" w:space="0" w:color="auto"/>
        <w:left w:val="none" w:sz="0" w:space="0" w:color="auto"/>
        <w:bottom w:val="none" w:sz="0" w:space="0" w:color="auto"/>
        <w:right w:val="none" w:sz="0" w:space="0" w:color="auto"/>
      </w:divBdr>
    </w:div>
    <w:div w:id="301666202">
      <w:bodyDiv w:val="1"/>
      <w:marLeft w:val="0"/>
      <w:marRight w:val="0"/>
      <w:marTop w:val="0"/>
      <w:marBottom w:val="0"/>
      <w:divBdr>
        <w:top w:val="none" w:sz="0" w:space="0" w:color="auto"/>
        <w:left w:val="none" w:sz="0" w:space="0" w:color="auto"/>
        <w:bottom w:val="none" w:sz="0" w:space="0" w:color="auto"/>
        <w:right w:val="none" w:sz="0" w:space="0" w:color="auto"/>
      </w:divBdr>
    </w:div>
    <w:div w:id="806704773">
      <w:bodyDiv w:val="1"/>
      <w:marLeft w:val="0"/>
      <w:marRight w:val="0"/>
      <w:marTop w:val="0"/>
      <w:marBottom w:val="0"/>
      <w:divBdr>
        <w:top w:val="none" w:sz="0" w:space="0" w:color="auto"/>
        <w:left w:val="none" w:sz="0" w:space="0" w:color="auto"/>
        <w:bottom w:val="none" w:sz="0" w:space="0" w:color="auto"/>
        <w:right w:val="none" w:sz="0" w:space="0" w:color="auto"/>
      </w:divBdr>
    </w:div>
    <w:div w:id="868569536">
      <w:bodyDiv w:val="1"/>
      <w:marLeft w:val="0"/>
      <w:marRight w:val="0"/>
      <w:marTop w:val="0"/>
      <w:marBottom w:val="0"/>
      <w:divBdr>
        <w:top w:val="none" w:sz="0" w:space="0" w:color="auto"/>
        <w:left w:val="none" w:sz="0" w:space="0" w:color="auto"/>
        <w:bottom w:val="none" w:sz="0" w:space="0" w:color="auto"/>
        <w:right w:val="none" w:sz="0" w:space="0" w:color="auto"/>
      </w:divBdr>
    </w:div>
    <w:div w:id="926034371">
      <w:bodyDiv w:val="1"/>
      <w:marLeft w:val="0"/>
      <w:marRight w:val="0"/>
      <w:marTop w:val="0"/>
      <w:marBottom w:val="0"/>
      <w:divBdr>
        <w:top w:val="none" w:sz="0" w:space="0" w:color="auto"/>
        <w:left w:val="none" w:sz="0" w:space="0" w:color="auto"/>
        <w:bottom w:val="none" w:sz="0" w:space="0" w:color="auto"/>
        <w:right w:val="none" w:sz="0" w:space="0" w:color="auto"/>
      </w:divBdr>
    </w:div>
    <w:div w:id="1260259094">
      <w:bodyDiv w:val="1"/>
      <w:marLeft w:val="0"/>
      <w:marRight w:val="0"/>
      <w:marTop w:val="0"/>
      <w:marBottom w:val="0"/>
      <w:divBdr>
        <w:top w:val="none" w:sz="0" w:space="0" w:color="auto"/>
        <w:left w:val="none" w:sz="0" w:space="0" w:color="auto"/>
        <w:bottom w:val="none" w:sz="0" w:space="0" w:color="auto"/>
        <w:right w:val="none" w:sz="0" w:space="0" w:color="auto"/>
      </w:divBdr>
      <w:divsChild>
        <w:div w:id="2055620378">
          <w:marLeft w:val="0"/>
          <w:marRight w:val="0"/>
          <w:marTop w:val="0"/>
          <w:marBottom w:val="0"/>
          <w:divBdr>
            <w:top w:val="none" w:sz="0" w:space="0" w:color="auto"/>
            <w:left w:val="none" w:sz="0" w:space="0" w:color="auto"/>
            <w:bottom w:val="none" w:sz="0" w:space="0" w:color="auto"/>
            <w:right w:val="none" w:sz="0" w:space="0" w:color="auto"/>
          </w:divBdr>
        </w:div>
      </w:divsChild>
    </w:div>
    <w:div w:id="1392197144">
      <w:bodyDiv w:val="1"/>
      <w:marLeft w:val="0"/>
      <w:marRight w:val="0"/>
      <w:marTop w:val="0"/>
      <w:marBottom w:val="0"/>
      <w:divBdr>
        <w:top w:val="none" w:sz="0" w:space="0" w:color="auto"/>
        <w:left w:val="none" w:sz="0" w:space="0" w:color="auto"/>
        <w:bottom w:val="none" w:sz="0" w:space="0" w:color="auto"/>
        <w:right w:val="none" w:sz="0" w:space="0" w:color="auto"/>
      </w:divBdr>
    </w:div>
    <w:div w:id="1430814113">
      <w:bodyDiv w:val="1"/>
      <w:marLeft w:val="0"/>
      <w:marRight w:val="0"/>
      <w:marTop w:val="0"/>
      <w:marBottom w:val="0"/>
      <w:divBdr>
        <w:top w:val="none" w:sz="0" w:space="0" w:color="auto"/>
        <w:left w:val="none" w:sz="0" w:space="0" w:color="auto"/>
        <w:bottom w:val="none" w:sz="0" w:space="0" w:color="auto"/>
        <w:right w:val="none" w:sz="0" w:space="0" w:color="auto"/>
      </w:divBdr>
    </w:div>
    <w:div w:id="1492063334">
      <w:bodyDiv w:val="1"/>
      <w:marLeft w:val="0"/>
      <w:marRight w:val="0"/>
      <w:marTop w:val="0"/>
      <w:marBottom w:val="0"/>
      <w:divBdr>
        <w:top w:val="none" w:sz="0" w:space="0" w:color="auto"/>
        <w:left w:val="none" w:sz="0" w:space="0" w:color="auto"/>
        <w:bottom w:val="none" w:sz="0" w:space="0" w:color="auto"/>
        <w:right w:val="none" w:sz="0" w:space="0" w:color="auto"/>
      </w:divBdr>
    </w:div>
    <w:div w:id="212830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CM4DDescription xmlns="1B9F072C-8D23-4035-A6E1-6FE42D1E6C46" xsi:nil="true"/>
    <DmsPermissionsFlags xmlns="1b9f072c-8d23-4035-a6e1-6fe42d1e6c46">,SECFALSE,</DmsPermissionsFlags>
  </documentManagement>
</p:properties>
</file>

<file path=customXml/item3.xml><?xml version="1.0" encoding="utf-8"?>
<ct:contentTypeSchema xmlns:ct="http://schemas.microsoft.com/office/2006/metadata/contentType" xmlns:ma="http://schemas.microsoft.com/office/2006/metadata/properties/metaAttributes" ct:_="" ma:_="" ma:contentTypeName="Generated Document Base" ma:contentTypeID="0x0101000B28D46CC52B40BB8D4032F069204C8B001CF1DB750A21424CBAC2F073BFF3C069" ma:contentTypeVersion="1" ma:contentTypeDescription="Generated Document Base" ma:contentTypeScope="" ma:versionID="de7b7dd834ec49a3d8507c8b6acb6479">
  <xsd:schema xmlns:xsd="http://www.w3.org/2001/XMLSchema" xmlns:xs="http://www.w3.org/2001/XMLSchema" xmlns:p="http://schemas.microsoft.com/office/2006/metadata/properties" xmlns:ns2="1B9F072C-8D23-4035-A6E1-6FE42D1E6C46" xmlns:ns3="1b9f072c-8d23-4035-a6e1-6fe42d1e6c46" targetNamespace="http://schemas.microsoft.com/office/2006/metadata/properties" ma:root="true" ma:fieldsID="7ec7be14e988195ae82a8838c3f99770" ns2:_="" ns3:_="">
    <xsd:import namespace="1B9F072C-8D23-4035-A6E1-6FE42D1E6C46"/>
    <xsd:import namespace="1b9f072c-8d23-4035-a6e1-6fe42d1e6c46"/>
    <xsd:element name="properties">
      <xsd:complexType>
        <xsd:sequence>
          <xsd:element name="documentManagement">
            <xsd:complexType>
              <xsd:all>
                <xsd:element ref="ns2:ECM4DDescription" minOccurs="0"/>
                <xsd:element ref="ns3: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ECM4DDescription" ma:index="8" nillable="true" ma:displayName="Description" ma:internalName="ECM4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DmsPermissionsFlags" ma:index="9"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EF21E-A88E-4D27-847B-F92EB6A1E431}">
  <ds:schemaRefs>
    <ds:schemaRef ds:uri="http://schemas.openxmlformats.org/officeDocument/2006/bibliography"/>
  </ds:schemaRefs>
</ds:datastoreItem>
</file>

<file path=customXml/itemProps2.xml><?xml version="1.0" encoding="utf-8"?>
<ds:datastoreItem xmlns:ds="http://schemas.openxmlformats.org/officeDocument/2006/customXml" ds:itemID="{4CF49295-B447-44AB-AC91-67AD1B105345}">
  <ds:schemaRefs>
    <ds:schemaRef ds:uri="1B9F072C-8D23-4035-A6E1-6FE42D1E6C46"/>
    <ds:schemaRef ds:uri="http://schemas.microsoft.com/office/infopath/2007/PartnerControls"/>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1b9f072c-8d23-4035-a6e1-6fe42d1e6c46"/>
    <ds:schemaRef ds:uri="http://www.w3.org/XML/1998/namespace"/>
    <ds:schemaRef ds:uri="http://purl.org/dc/elements/1.1/"/>
  </ds:schemaRefs>
</ds:datastoreItem>
</file>

<file path=customXml/itemProps3.xml><?xml version="1.0" encoding="utf-8"?>
<ds:datastoreItem xmlns:ds="http://schemas.openxmlformats.org/officeDocument/2006/customXml" ds:itemID="{142C9127-9954-4AA2-9DE5-4ADF05D7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F072C-8D23-4035-A6E1-6FE42D1E6C46"/>
    <ds:schemaRef ds:uri="1b9f072c-8d23-4035-a6e1-6fe42d1e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AD80B-BF0B-4AD5-AC97-846BE7F65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5124</Words>
  <Characters>2922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VLK-Siunčiamo rašto šablonas</vt:lpstr>
      <vt:lpstr>VLK-Siunčiamo rašto šablonas</vt:lpstr>
    </vt:vector>
  </TitlesOfParts>
  <Company>Hewlett-Packard Company</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VLK-Siunčiamo rašto šablonas</dc:title>
  <dc:creator>ISES</dc:creator>
  <cp:lastModifiedBy>Raimonda Zeleckienė</cp:lastModifiedBy>
  <cp:revision>2</cp:revision>
  <cp:lastPrinted>2019-07-12T08:15:00Z</cp:lastPrinted>
  <dcterms:created xsi:type="dcterms:W3CDTF">2025-10-07T07:43:00Z</dcterms:created>
  <dcterms:modified xsi:type="dcterms:W3CDTF">2025-10-07T07:43:00Z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0x0101000B28D46CC52B40BB8D4032F069204C8B001CF1DB750A21424CBAC2F073BFF3C069</vt:lpwstr>
  </property>
</Properties>
</file>