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3132" w14:textId="77777777" w:rsidR="00DA3EAD" w:rsidRDefault="00DA3EAD" w:rsidP="00DA3EAD">
      <w:pPr>
        <w:jc w:val="right"/>
        <w:rPr>
          <w:sz w:val="22"/>
          <w:szCs w:val="22"/>
          <w:lang w:eastAsia="en-US"/>
        </w:rPr>
      </w:pPr>
      <w:bookmarkStart w:id="0" w:name="_Hlk61247335"/>
      <w:r w:rsidRPr="00DA3EAD">
        <w:rPr>
          <w:color w:val="000000"/>
          <w:sz w:val="22"/>
          <w:szCs w:val="22"/>
        </w:rPr>
        <w:t xml:space="preserve">Pirkimo sąlygų </w:t>
      </w:r>
      <w:r w:rsidR="00B10570" w:rsidRPr="00DA3EAD">
        <w:rPr>
          <w:color w:val="000000"/>
          <w:sz w:val="22"/>
          <w:szCs w:val="22"/>
        </w:rPr>
        <w:t xml:space="preserve">2 </w:t>
      </w:r>
      <w:r w:rsidR="00B10570" w:rsidRPr="00DA3EAD">
        <w:rPr>
          <w:sz w:val="22"/>
          <w:szCs w:val="22"/>
          <w:lang w:eastAsia="en-US"/>
        </w:rPr>
        <w:t>priedas</w:t>
      </w:r>
      <w:bookmarkStart w:id="1" w:name="_Hlk160104875"/>
    </w:p>
    <w:p w14:paraId="645D07EB" w14:textId="48E8A267" w:rsidR="00B10570" w:rsidRPr="00DA3EAD" w:rsidRDefault="00DA3EAD" w:rsidP="00DA3EAD">
      <w:pPr>
        <w:jc w:val="right"/>
        <w:rPr>
          <w:sz w:val="22"/>
          <w:szCs w:val="22"/>
          <w:lang w:eastAsia="en-US"/>
        </w:rPr>
      </w:pPr>
      <w:r w:rsidRPr="00DA3EAD">
        <w:rPr>
          <w:sz w:val="22"/>
          <w:szCs w:val="22"/>
          <w:lang w:eastAsia="en-US"/>
        </w:rPr>
        <w:t xml:space="preserve"> „Techninė specifikacija“</w:t>
      </w:r>
    </w:p>
    <w:p w14:paraId="60059F81" w14:textId="260A02DA" w:rsidR="00B10570" w:rsidRPr="002C5894" w:rsidRDefault="00F46873" w:rsidP="00F46873">
      <w:pPr>
        <w:jc w:val="center"/>
        <w:rPr>
          <w:b/>
          <w:bCs/>
          <w:color w:val="000000"/>
          <w:sz w:val="28"/>
          <w:szCs w:val="28"/>
        </w:rPr>
      </w:pPr>
      <w:r w:rsidRPr="00F46873">
        <w:rPr>
          <w:b/>
          <w:bCs/>
          <w:sz w:val="28"/>
          <w:szCs w:val="28"/>
        </w:rPr>
        <w:t xml:space="preserve">KRAUJO DUJŲ </w:t>
      </w:r>
      <w:r w:rsidR="00B10570">
        <w:rPr>
          <w:b/>
          <w:bCs/>
          <w:sz w:val="28"/>
          <w:szCs w:val="28"/>
        </w:rPr>
        <w:t>TYRIMAMS</w:t>
      </w:r>
      <w:r w:rsidRPr="00F46873">
        <w:rPr>
          <w:b/>
          <w:bCs/>
          <w:color w:val="000000"/>
          <w:sz w:val="28"/>
          <w:szCs w:val="28"/>
        </w:rPr>
        <w:t xml:space="preserve">  KASETINI</w:t>
      </w:r>
      <w:r>
        <w:rPr>
          <w:b/>
          <w:bCs/>
          <w:color w:val="000000"/>
          <w:sz w:val="28"/>
          <w:szCs w:val="28"/>
        </w:rPr>
        <w:t>O</w:t>
      </w:r>
      <w:r w:rsidRPr="00F46873">
        <w:rPr>
          <w:b/>
          <w:bCs/>
          <w:color w:val="000000"/>
          <w:sz w:val="28"/>
          <w:szCs w:val="28"/>
        </w:rPr>
        <w:t xml:space="preserve"> KRAUJO DUJŲ </w:t>
      </w:r>
      <w:r w:rsidR="00B10570" w:rsidRPr="002C5894">
        <w:rPr>
          <w:b/>
          <w:bCs/>
          <w:color w:val="000000"/>
          <w:sz w:val="28"/>
          <w:szCs w:val="28"/>
        </w:rPr>
        <w:t>ANALIZATORI</w:t>
      </w:r>
      <w:r w:rsidR="00B10570">
        <w:rPr>
          <w:b/>
          <w:bCs/>
          <w:color w:val="000000"/>
          <w:sz w:val="28"/>
          <w:szCs w:val="28"/>
        </w:rPr>
        <w:t>AUS</w:t>
      </w:r>
    </w:p>
    <w:p w14:paraId="52C50F99" w14:textId="77777777" w:rsidR="00B10570" w:rsidRDefault="00B10570" w:rsidP="00B10570">
      <w:pPr>
        <w:jc w:val="center"/>
        <w:rPr>
          <w:b/>
          <w:bCs/>
          <w:sz w:val="28"/>
          <w:szCs w:val="28"/>
          <w:lang w:eastAsia="en-US"/>
        </w:rPr>
      </w:pPr>
      <w:r w:rsidRPr="00ED65AC">
        <w:rPr>
          <w:b/>
          <w:bCs/>
          <w:sz w:val="28"/>
          <w:szCs w:val="28"/>
        </w:rPr>
        <w:t>PANAUDOS</w:t>
      </w:r>
      <w:r w:rsidRPr="00ED65AC">
        <w:rPr>
          <w:rFonts w:eastAsia="Calibri"/>
          <w:b/>
          <w:szCs w:val="20"/>
        </w:rPr>
        <w:t xml:space="preserve"> </w:t>
      </w:r>
      <w:r w:rsidRPr="0031539F">
        <w:rPr>
          <w:b/>
          <w:bCs/>
          <w:sz w:val="28"/>
          <w:szCs w:val="28"/>
          <w:lang w:eastAsia="en-US"/>
        </w:rPr>
        <w:t>TECHNINĖ SPECIFIKACIJA</w:t>
      </w:r>
    </w:p>
    <w:p w14:paraId="6CF44476" w14:textId="45E0C612" w:rsidR="00B10570" w:rsidRPr="00F46873" w:rsidRDefault="00DA3EAD" w:rsidP="00F46873">
      <w:pPr>
        <w:jc w:val="right"/>
        <w:rPr>
          <w:color w:val="000000"/>
        </w:rPr>
      </w:pPr>
      <w:r>
        <w:rPr>
          <w:color w:val="000000"/>
        </w:rPr>
        <w:t>2</w:t>
      </w:r>
      <w:r w:rsidR="00F46873">
        <w:rPr>
          <w:color w:val="000000"/>
        </w:rPr>
        <w:t xml:space="preserve"> lentelė</w:t>
      </w:r>
    </w:p>
    <w:bookmarkEnd w:id="0"/>
    <w:p w14:paraId="71F34193" w14:textId="2E5A2B95" w:rsidR="00B10570" w:rsidRPr="00B65BEE" w:rsidRDefault="00B10570" w:rsidP="00B10570">
      <w:pPr>
        <w:tabs>
          <w:tab w:val="left" w:pos="1350"/>
          <w:tab w:val="left" w:pos="1440"/>
        </w:tabs>
        <w:suppressAutoHyphens/>
        <w:ind w:left="450" w:hanging="90"/>
        <w:jc w:val="right"/>
        <w:rPr>
          <w:b/>
          <w:bCs/>
          <w:sz w:val="22"/>
          <w:lang w:eastAsia="ar-SA"/>
        </w:rPr>
      </w:pPr>
    </w:p>
    <w:tbl>
      <w:tblPr>
        <w:tblStyle w:val="Lentelstinklelis"/>
        <w:tblW w:w="15168" w:type="dxa"/>
        <w:tblInd w:w="-998" w:type="dxa"/>
        <w:tblLayout w:type="fixed"/>
        <w:tblLook w:val="04A0" w:firstRow="1" w:lastRow="0" w:firstColumn="1" w:lastColumn="0" w:noHBand="0" w:noVBand="1"/>
      </w:tblPr>
      <w:tblGrid>
        <w:gridCol w:w="709"/>
        <w:gridCol w:w="2552"/>
        <w:gridCol w:w="3544"/>
        <w:gridCol w:w="3544"/>
        <w:gridCol w:w="4819"/>
      </w:tblGrid>
      <w:tr w:rsidR="00F46873" w:rsidRPr="00F46873" w14:paraId="0FC9E855" w14:textId="77777777" w:rsidTr="00F46873">
        <w:trPr>
          <w:trHeight w:val="312"/>
        </w:trPr>
        <w:tc>
          <w:tcPr>
            <w:tcW w:w="709" w:type="dxa"/>
            <w:noWrap/>
            <w:vAlign w:val="center"/>
          </w:tcPr>
          <w:p w14:paraId="49A8F586" w14:textId="77777777" w:rsidR="00F46873" w:rsidRPr="00D53441" w:rsidRDefault="00F46873" w:rsidP="00F46873">
            <w:pPr>
              <w:ind w:left="7205" w:hanging="7205"/>
              <w:jc w:val="center"/>
              <w:rPr>
                <w:b/>
                <w:bCs/>
                <w:color w:val="000000"/>
              </w:rPr>
            </w:pPr>
            <w:r w:rsidRPr="00D53441">
              <w:rPr>
                <w:b/>
                <w:bCs/>
                <w:color w:val="000000"/>
              </w:rPr>
              <w:t>Eil.</w:t>
            </w:r>
          </w:p>
          <w:p w14:paraId="5B0AED6D" w14:textId="71E0010D" w:rsidR="00F46873" w:rsidRPr="00F46873" w:rsidRDefault="00F46873" w:rsidP="00F46873">
            <w:pPr>
              <w:jc w:val="center"/>
            </w:pPr>
            <w:r w:rsidRPr="00D53441">
              <w:rPr>
                <w:b/>
                <w:bCs/>
                <w:color w:val="000000"/>
              </w:rPr>
              <w:t>Nr.</w:t>
            </w:r>
          </w:p>
        </w:tc>
        <w:tc>
          <w:tcPr>
            <w:tcW w:w="2552" w:type="dxa"/>
            <w:vAlign w:val="center"/>
          </w:tcPr>
          <w:p w14:paraId="4D43540D" w14:textId="2D0D20A6" w:rsidR="00F46873" w:rsidRPr="00F46873" w:rsidRDefault="00F46873" w:rsidP="00F46873">
            <w:pPr>
              <w:jc w:val="center"/>
            </w:pPr>
            <w:r w:rsidRPr="00D53441">
              <w:rPr>
                <w:b/>
                <w:bCs/>
                <w:color w:val="000000"/>
              </w:rPr>
              <w:t>Techniniai parametrai arba reikalavimai</w:t>
            </w:r>
          </w:p>
        </w:tc>
        <w:tc>
          <w:tcPr>
            <w:tcW w:w="3544" w:type="dxa"/>
            <w:vAlign w:val="center"/>
          </w:tcPr>
          <w:p w14:paraId="2AFC4E51" w14:textId="2A5E2061" w:rsidR="00F46873" w:rsidRPr="00F46873" w:rsidRDefault="00F46873" w:rsidP="00F46873">
            <w:pPr>
              <w:jc w:val="center"/>
            </w:pPr>
            <w:r w:rsidRPr="00D53441">
              <w:rPr>
                <w:b/>
                <w:bCs/>
                <w:color w:val="000000"/>
              </w:rPr>
              <w:t xml:space="preserve">Techninio </w:t>
            </w:r>
            <w:proofErr w:type="spellStart"/>
            <w:r w:rsidRPr="00D53441">
              <w:rPr>
                <w:b/>
                <w:bCs/>
                <w:color w:val="000000"/>
              </w:rPr>
              <w:t>parametron</w:t>
            </w:r>
            <w:proofErr w:type="spellEnd"/>
            <w:r w:rsidRPr="00D53441">
              <w:rPr>
                <w:b/>
                <w:bCs/>
                <w:color w:val="000000"/>
              </w:rPr>
              <w:t xml:space="preserve"> reikšmė arba reikalavimų aprašymas</w:t>
            </w:r>
          </w:p>
        </w:tc>
        <w:tc>
          <w:tcPr>
            <w:tcW w:w="3544" w:type="dxa"/>
            <w:noWrap/>
            <w:vAlign w:val="center"/>
          </w:tcPr>
          <w:p w14:paraId="441132C5" w14:textId="77777777" w:rsidR="00F46873" w:rsidRPr="008C341B" w:rsidRDefault="00F46873" w:rsidP="00F46873">
            <w:pPr>
              <w:jc w:val="center"/>
              <w:rPr>
                <w:b/>
                <w:bCs/>
                <w:color w:val="000000"/>
              </w:rPr>
            </w:pPr>
            <w:r w:rsidRPr="008C341B">
              <w:rPr>
                <w:b/>
                <w:bCs/>
                <w:color w:val="000000"/>
              </w:rPr>
              <w:t>Atitikimas reikalavimui</w:t>
            </w:r>
          </w:p>
          <w:p w14:paraId="2C5539DE" w14:textId="62D5801D" w:rsidR="00F46873" w:rsidRPr="00F46873" w:rsidRDefault="00F46873" w:rsidP="00F46873">
            <w:pPr>
              <w:jc w:val="center"/>
            </w:pPr>
            <w:r w:rsidRPr="008C341B">
              <w:rPr>
                <w:b/>
                <w:bCs/>
                <w:color w:val="000000"/>
              </w:rPr>
              <w:t>Siūloma techninio parametro reikšmė (tiekėjas privalo aprašyti siūlomos prekės atitiktį reikalaujamiems parametrams, nurodant konkrečias reikšmes nepaliekant žodžių „turi būti“, „ne mažiau“, „ne daugiau“ ir pan., įrašyti „Taip“, „Atitinka“ draudžiama</w:t>
            </w:r>
            <w:r w:rsidRPr="00D53441">
              <w:rPr>
                <w:b/>
                <w:bCs/>
                <w:i/>
                <w:iCs/>
                <w:color w:val="000000"/>
                <w:u w:val="single"/>
              </w:rPr>
              <w:t>)</w:t>
            </w:r>
          </w:p>
        </w:tc>
        <w:tc>
          <w:tcPr>
            <w:tcW w:w="4819" w:type="dxa"/>
            <w:vAlign w:val="center"/>
          </w:tcPr>
          <w:p w14:paraId="5C99B537" w14:textId="1F73517E" w:rsidR="00F46873" w:rsidRPr="00F46873" w:rsidRDefault="00F46873" w:rsidP="00F46873">
            <w:pPr>
              <w:jc w:val="center"/>
            </w:pPr>
            <w:r w:rsidRPr="008C341B">
              <w:rPr>
                <w:b/>
                <w:bCs/>
                <w:color w:val="000000"/>
              </w:rPr>
              <w:t xml:space="preserve">Reikalavimų atitikimas (tiksliai pažymimas techninis parametras gamintojo parengtoje  dokumentacijoje ir vertimuose į lietuvių kalbą. Būtina pateikti nuorodą į konkretų psl., pažymėti siūlomą parametrą ir nurodyti jo eil. </w:t>
            </w:r>
            <w:proofErr w:type="spellStart"/>
            <w:r w:rsidRPr="008C341B">
              <w:rPr>
                <w:b/>
                <w:bCs/>
                <w:color w:val="000000"/>
              </w:rPr>
              <w:t>nr</w:t>
            </w:r>
            <w:proofErr w:type="spellEnd"/>
            <w:r w:rsidRPr="008C341B">
              <w:rPr>
                <w:b/>
                <w:bCs/>
                <w:color w:val="000000"/>
              </w:rPr>
              <w:t>, esantį techninėje specifikacijoje (t. y. spalvotai pažymėti ir/ar nurodyti rodyklėmis ir/ar pabraukti konkrečias teikiamų dokumentų vietas, kur nurodoma atitiktis reikalaujamiems kokybiniams ir techniniams reikalavimams)</w:t>
            </w:r>
          </w:p>
        </w:tc>
      </w:tr>
      <w:bookmarkEnd w:id="1"/>
      <w:tr w:rsidR="00F46873" w:rsidRPr="00F46873" w14:paraId="3F786383" w14:textId="048A06D3" w:rsidTr="00F46873">
        <w:trPr>
          <w:trHeight w:val="312"/>
        </w:trPr>
        <w:tc>
          <w:tcPr>
            <w:tcW w:w="709" w:type="dxa"/>
            <w:noWrap/>
            <w:hideMark/>
          </w:tcPr>
          <w:p w14:paraId="45012E75" w14:textId="77777777" w:rsidR="00F46873" w:rsidRPr="00F46873" w:rsidRDefault="00F46873" w:rsidP="00F46873">
            <w:pPr>
              <w:jc w:val="both"/>
            </w:pPr>
            <w:r w:rsidRPr="00F46873">
              <w:t>1.</w:t>
            </w:r>
          </w:p>
        </w:tc>
        <w:tc>
          <w:tcPr>
            <w:tcW w:w="2552" w:type="dxa"/>
            <w:hideMark/>
          </w:tcPr>
          <w:p w14:paraId="59601D96" w14:textId="77777777" w:rsidR="00F46873" w:rsidRPr="00F46873" w:rsidRDefault="00F46873" w:rsidP="00F46873">
            <w:pPr>
              <w:jc w:val="both"/>
            </w:pPr>
            <w:r w:rsidRPr="00F46873">
              <w:t>Analizatoriaus tipas</w:t>
            </w:r>
          </w:p>
        </w:tc>
        <w:tc>
          <w:tcPr>
            <w:tcW w:w="3544" w:type="dxa"/>
            <w:hideMark/>
          </w:tcPr>
          <w:p w14:paraId="575BF096" w14:textId="77777777" w:rsidR="00F46873" w:rsidRPr="00F46873" w:rsidRDefault="00F46873" w:rsidP="00F46873">
            <w:pPr>
              <w:jc w:val="both"/>
            </w:pPr>
            <w:r w:rsidRPr="00F46873">
              <w:t>Portatyvus, nešiojamas, kasetinis, jungiamas į tinklą ir turi bateriją</w:t>
            </w:r>
          </w:p>
        </w:tc>
        <w:tc>
          <w:tcPr>
            <w:tcW w:w="3544" w:type="dxa"/>
            <w:noWrap/>
            <w:hideMark/>
          </w:tcPr>
          <w:p w14:paraId="7D299650" w14:textId="77777777" w:rsidR="00F46873" w:rsidRPr="00F46873" w:rsidRDefault="00F46873" w:rsidP="00F46873">
            <w:pPr>
              <w:jc w:val="both"/>
            </w:pPr>
            <w:r w:rsidRPr="00F46873">
              <w:t> </w:t>
            </w:r>
          </w:p>
        </w:tc>
        <w:tc>
          <w:tcPr>
            <w:tcW w:w="4819" w:type="dxa"/>
          </w:tcPr>
          <w:p w14:paraId="3E347BB5" w14:textId="77777777" w:rsidR="00F46873" w:rsidRPr="00F46873" w:rsidRDefault="00F46873" w:rsidP="00F46873">
            <w:pPr>
              <w:jc w:val="both"/>
            </w:pPr>
          </w:p>
        </w:tc>
      </w:tr>
      <w:tr w:rsidR="00F46873" w:rsidRPr="00F46873" w14:paraId="0D44D85C" w14:textId="7E7AAB49" w:rsidTr="00F46873">
        <w:trPr>
          <w:trHeight w:val="312"/>
        </w:trPr>
        <w:tc>
          <w:tcPr>
            <w:tcW w:w="709" w:type="dxa"/>
            <w:noWrap/>
            <w:hideMark/>
          </w:tcPr>
          <w:p w14:paraId="088E7A86" w14:textId="77777777" w:rsidR="00F46873" w:rsidRPr="00F46873" w:rsidRDefault="00F46873" w:rsidP="00F46873">
            <w:pPr>
              <w:jc w:val="both"/>
            </w:pPr>
            <w:r w:rsidRPr="00F46873">
              <w:t>2</w:t>
            </w:r>
          </w:p>
        </w:tc>
        <w:tc>
          <w:tcPr>
            <w:tcW w:w="2552" w:type="dxa"/>
            <w:hideMark/>
          </w:tcPr>
          <w:p w14:paraId="5CFF29AA" w14:textId="50343550" w:rsidR="00F46873" w:rsidRPr="00F46873" w:rsidRDefault="00F46873" w:rsidP="00F46873">
            <w:pPr>
              <w:jc w:val="both"/>
            </w:pPr>
            <w:r w:rsidRPr="00F46873">
              <w:t>Analizatoriaus pagaminimo metai</w:t>
            </w:r>
          </w:p>
        </w:tc>
        <w:tc>
          <w:tcPr>
            <w:tcW w:w="3544" w:type="dxa"/>
            <w:hideMark/>
          </w:tcPr>
          <w:p w14:paraId="43EE476F" w14:textId="77777777" w:rsidR="00F46873" w:rsidRPr="00F46873" w:rsidRDefault="00F46873" w:rsidP="00F46873">
            <w:pPr>
              <w:jc w:val="both"/>
            </w:pPr>
            <w:r w:rsidRPr="00F46873">
              <w:t>ne senesnis kaip 2025 m., nenaudotas, nebuvęs demonstracijoje</w:t>
            </w:r>
          </w:p>
        </w:tc>
        <w:tc>
          <w:tcPr>
            <w:tcW w:w="3544" w:type="dxa"/>
            <w:noWrap/>
            <w:hideMark/>
          </w:tcPr>
          <w:p w14:paraId="27373DA6" w14:textId="77777777" w:rsidR="00F46873" w:rsidRPr="00F46873" w:rsidRDefault="00F46873" w:rsidP="00F46873">
            <w:pPr>
              <w:jc w:val="both"/>
            </w:pPr>
            <w:r w:rsidRPr="00F46873">
              <w:t> </w:t>
            </w:r>
          </w:p>
        </w:tc>
        <w:tc>
          <w:tcPr>
            <w:tcW w:w="4819" w:type="dxa"/>
          </w:tcPr>
          <w:p w14:paraId="430A1C3C" w14:textId="77777777" w:rsidR="00F46873" w:rsidRPr="00F46873" w:rsidRDefault="00F46873" w:rsidP="00F46873">
            <w:pPr>
              <w:jc w:val="both"/>
            </w:pPr>
          </w:p>
        </w:tc>
      </w:tr>
      <w:tr w:rsidR="00F46873" w:rsidRPr="00F46873" w14:paraId="4B91C7BC" w14:textId="75EA086E" w:rsidTr="00F46873">
        <w:trPr>
          <w:trHeight w:val="312"/>
        </w:trPr>
        <w:tc>
          <w:tcPr>
            <w:tcW w:w="709" w:type="dxa"/>
            <w:noWrap/>
            <w:hideMark/>
          </w:tcPr>
          <w:p w14:paraId="252CE6BD" w14:textId="77777777" w:rsidR="00F46873" w:rsidRPr="00F46873" w:rsidRDefault="00F46873" w:rsidP="00F46873">
            <w:pPr>
              <w:jc w:val="both"/>
            </w:pPr>
            <w:r w:rsidRPr="00F46873">
              <w:t>3</w:t>
            </w:r>
          </w:p>
        </w:tc>
        <w:tc>
          <w:tcPr>
            <w:tcW w:w="2552" w:type="dxa"/>
            <w:hideMark/>
          </w:tcPr>
          <w:p w14:paraId="469CA5AB" w14:textId="77777777" w:rsidR="00F46873" w:rsidRPr="00F46873" w:rsidRDefault="00F46873" w:rsidP="00F46873">
            <w:pPr>
              <w:jc w:val="both"/>
            </w:pPr>
            <w:r w:rsidRPr="00F46873">
              <w:t xml:space="preserve">Kasetinis analizatorius turi nenaudoti </w:t>
            </w:r>
            <w:proofErr w:type="spellStart"/>
            <w:r w:rsidRPr="00F46873">
              <w:t>kalibracinių</w:t>
            </w:r>
            <w:proofErr w:type="spellEnd"/>
            <w:r w:rsidRPr="00F46873">
              <w:t xml:space="preserve"> dujų, keičiamų elektrodų</w:t>
            </w:r>
          </w:p>
        </w:tc>
        <w:tc>
          <w:tcPr>
            <w:tcW w:w="3544" w:type="dxa"/>
            <w:hideMark/>
          </w:tcPr>
          <w:p w14:paraId="028C7621" w14:textId="77777777" w:rsidR="00F46873" w:rsidRPr="00F46873" w:rsidRDefault="00F46873" w:rsidP="00F46873">
            <w:pPr>
              <w:jc w:val="both"/>
            </w:pPr>
            <w:r w:rsidRPr="00F46873">
              <w:t>Būtina</w:t>
            </w:r>
          </w:p>
        </w:tc>
        <w:tc>
          <w:tcPr>
            <w:tcW w:w="3544" w:type="dxa"/>
            <w:noWrap/>
            <w:hideMark/>
          </w:tcPr>
          <w:p w14:paraId="619C7DC5" w14:textId="77777777" w:rsidR="00F46873" w:rsidRPr="00F46873" w:rsidRDefault="00F46873" w:rsidP="00F46873">
            <w:pPr>
              <w:jc w:val="both"/>
            </w:pPr>
            <w:r w:rsidRPr="00F46873">
              <w:t> </w:t>
            </w:r>
          </w:p>
        </w:tc>
        <w:tc>
          <w:tcPr>
            <w:tcW w:w="4819" w:type="dxa"/>
          </w:tcPr>
          <w:p w14:paraId="2E524D9C" w14:textId="77777777" w:rsidR="00F46873" w:rsidRPr="00F46873" w:rsidRDefault="00F46873" w:rsidP="00F46873">
            <w:pPr>
              <w:jc w:val="both"/>
            </w:pPr>
          </w:p>
        </w:tc>
      </w:tr>
      <w:tr w:rsidR="00F46873" w:rsidRPr="00F46873" w14:paraId="687E8926" w14:textId="26783802" w:rsidTr="00F46873">
        <w:trPr>
          <w:trHeight w:val="312"/>
        </w:trPr>
        <w:tc>
          <w:tcPr>
            <w:tcW w:w="709" w:type="dxa"/>
            <w:noWrap/>
            <w:hideMark/>
          </w:tcPr>
          <w:p w14:paraId="32A8479F" w14:textId="77777777" w:rsidR="00F46873" w:rsidRPr="00F46873" w:rsidRDefault="00F46873" w:rsidP="00F46873">
            <w:pPr>
              <w:jc w:val="both"/>
            </w:pPr>
            <w:r w:rsidRPr="00F46873">
              <w:t>4</w:t>
            </w:r>
          </w:p>
        </w:tc>
        <w:tc>
          <w:tcPr>
            <w:tcW w:w="2552" w:type="dxa"/>
            <w:hideMark/>
          </w:tcPr>
          <w:p w14:paraId="7CD06DCF" w14:textId="77777777" w:rsidR="00F46873" w:rsidRPr="00F46873" w:rsidRDefault="00F46873" w:rsidP="00F46873">
            <w:pPr>
              <w:jc w:val="both"/>
            </w:pPr>
            <w:r w:rsidRPr="00F46873">
              <w:t>Analizatoriaus kasetės turi būti vienkartinės, į analizatorių dedamos po vieną.</w:t>
            </w:r>
          </w:p>
        </w:tc>
        <w:tc>
          <w:tcPr>
            <w:tcW w:w="3544" w:type="dxa"/>
            <w:hideMark/>
          </w:tcPr>
          <w:p w14:paraId="6311903D" w14:textId="77777777" w:rsidR="00F46873" w:rsidRPr="00F46873" w:rsidRDefault="00F46873" w:rsidP="00F46873">
            <w:pPr>
              <w:jc w:val="both"/>
            </w:pPr>
            <w:r w:rsidRPr="00F46873">
              <w:t xml:space="preserve">Būtina </w:t>
            </w:r>
          </w:p>
        </w:tc>
        <w:tc>
          <w:tcPr>
            <w:tcW w:w="3544" w:type="dxa"/>
            <w:noWrap/>
            <w:hideMark/>
          </w:tcPr>
          <w:p w14:paraId="33D75FAF" w14:textId="77777777" w:rsidR="00F46873" w:rsidRPr="00F46873" w:rsidRDefault="00F46873" w:rsidP="00F46873">
            <w:pPr>
              <w:jc w:val="both"/>
            </w:pPr>
            <w:r w:rsidRPr="00F46873">
              <w:t> </w:t>
            </w:r>
          </w:p>
        </w:tc>
        <w:tc>
          <w:tcPr>
            <w:tcW w:w="4819" w:type="dxa"/>
          </w:tcPr>
          <w:p w14:paraId="6D097280" w14:textId="77777777" w:rsidR="00F46873" w:rsidRPr="00F46873" w:rsidRDefault="00F46873" w:rsidP="00F46873">
            <w:pPr>
              <w:jc w:val="both"/>
            </w:pPr>
          </w:p>
        </w:tc>
      </w:tr>
      <w:tr w:rsidR="00F46873" w:rsidRPr="00F46873" w14:paraId="285ACAD9" w14:textId="1E7A872C" w:rsidTr="00F46873">
        <w:trPr>
          <w:trHeight w:val="312"/>
        </w:trPr>
        <w:tc>
          <w:tcPr>
            <w:tcW w:w="709" w:type="dxa"/>
            <w:noWrap/>
            <w:hideMark/>
          </w:tcPr>
          <w:p w14:paraId="59606912" w14:textId="77777777" w:rsidR="00F46873" w:rsidRPr="00F46873" w:rsidRDefault="00F46873" w:rsidP="00F46873">
            <w:pPr>
              <w:jc w:val="both"/>
            </w:pPr>
            <w:r w:rsidRPr="00F46873">
              <w:t>5</w:t>
            </w:r>
          </w:p>
        </w:tc>
        <w:tc>
          <w:tcPr>
            <w:tcW w:w="2552" w:type="dxa"/>
            <w:hideMark/>
          </w:tcPr>
          <w:p w14:paraId="62ABB174" w14:textId="77777777" w:rsidR="00F46873" w:rsidRPr="00F46873" w:rsidRDefault="00F46873" w:rsidP="00F46873">
            <w:pPr>
              <w:jc w:val="both"/>
            </w:pPr>
            <w:r w:rsidRPr="00F46873">
              <w:t>Elektrocheminis, sensorinis kasečių veikimo principas</w:t>
            </w:r>
          </w:p>
        </w:tc>
        <w:tc>
          <w:tcPr>
            <w:tcW w:w="3544" w:type="dxa"/>
            <w:hideMark/>
          </w:tcPr>
          <w:p w14:paraId="6FC387C7" w14:textId="77777777" w:rsidR="00F46873" w:rsidRPr="00F46873" w:rsidRDefault="00F46873" w:rsidP="00F46873">
            <w:pPr>
              <w:jc w:val="both"/>
            </w:pPr>
            <w:r w:rsidRPr="00F46873">
              <w:t xml:space="preserve">Būtina </w:t>
            </w:r>
          </w:p>
        </w:tc>
        <w:tc>
          <w:tcPr>
            <w:tcW w:w="3544" w:type="dxa"/>
            <w:noWrap/>
            <w:hideMark/>
          </w:tcPr>
          <w:p w14:paraId="3B3CD8ED" w14:textId="77777777" w:rsidR="00F46873" w:rsidRPr="00F46873" w:rsidRDefault="00F46873" w:rsidP="00F46873">
            <w:pPr>
              <w:jc w:val="both"/>
            </w:pPr>
            <w:r w:rsidRPr="00F46873">
              <w:t> </w:t>
            </w:r>
          </w:p>
        </w:tc>
        <w:tc>
          <w:tcPr>
            <w:tcW w:w="4819" w:type="dxa"/>
          </w:tcPr>
          <w:p w14:paraId="5DA06166" w14:textId="77777777" w:rsidR="00F46873" w:rsidRPr="00F46873" w:rsidRDefault="00F46873" w:rsidP="00F46873">
            <w:pPr>
              <w:jc w:val="both"/>
            </w:pPr>
          </w:p>
        </w:tc>
      </w:tr>
      <w:tr w:rsidR="00F46873" w:rsidRPr="00F46873" w14:paraId="6C919609" w14:textId="6CC56BA8" w:rsidTr="00F46873">
        <w:trPr>
          <w:trHeight w:val="1650"/>
        </w:trPr>
        <w:tc>
          <w:tcPr>
            <w:tcW w:w="709" w:type="dxa"/>
            <w:noWrap/>
            <w:hideMark/>
          </w:tcPr>
          <w:p w14:paraId="3E24BD00" w14:textId="77777777" w:rsidR="00F46873" w:rsidRPr="00F46873" w:rsidRDefault="00F46873" w:rsidP="00F46873">
            <w:pPr>
              <w:jc w:val="both"/>
            </w:pPr>
            <w:r w:rsidRPr="00F46873">
              <w:lastRenderedPageBreak/>
              <w:t>6</w:t>
            </w:r>
          </w:p>
        </w:tc>
        <w:tc>
          <w:tcPr>
            <w:tcW w:w="2552" w:type="dxa"/>
            <w:hideMark/>
          </w:tcPr>
          <w:p w14:paraId="22737E7F" w14:textId="77777777" w:rsidR="00F46873" w:rsidRPr="00F46873" w:rsidRDefault="00F46873" w:rsidP="00F46873">
            <w:pPr>
              <w:jc w:val="both"/>
            </w:pPr>
            <w:r w:rsidRPr="00F46873">
              <w:t>Parametrai</w:t>
            </w:r>
          </w:p>
        </w:tc>
        <w:tc>
          <w:tcPr>
            <w:tcW w:w="3544" w:type="dxa"/>
            <w:hideMark/>
          </w:tcPr>
          <w:p w14:paraId="43C88B47" w14:textId="77777777" w:rsidR="00F46873" w:rsidRPr="00F46873" w:rsidRDefault="00F46873" w:rsidP="00F46873">
            <w:pPr>
              <w:jc w:val="both"/>
            </w:pPr>
            <w:r w:rsidRPr="00F46873">
              <w:t>Reagento pakuotė pilnai paruošta naudojimui</w:t>
            </w:r>
            <w:r w:rsidRPr="00F46873">
              <w:br/>
              <w:t xml:space="preserve">(Viena kasetė turi matuoti: pH, pCO2, pO2. Turi apskaičiuoti ne mažiau: </w:t>
            </w:r>
            <w:proofErr w:type="spellStart"/>
            <w:r w:rsidRPr="00F46873">
              <w:t>cH</w:t>
            </w:r>
            <w:proofErr w:type="spellEnd"/>
            <w:r w:rsidRPr="00F46873">
              <w:t>+, HCO3-act, HCO3-std, BE(</w:t>
            </w:r>
            <w:proofErr w:type="spellStart"/>
            <w:r w:rsidRPr="00F46873">
              <w:t>ecf</w:t>
            </w:r>
            <w:proofErr w:type="spellEnd"/>
            <w:r w:rsidRPr="00F46873">
              <w:t>), BE(B), BB(B), ctCO2, sO2(</w:t>
            </w:r>
            <w:proofErr w:type="spellStart"/>
            <w:r w:rsidRPr="00F46873">
              <w:t>est</w:t>
            </w:r>
            <w:proofErr w:type="spellEnd"/>
            <w:r w:rsidRPr="00F46873">
              <w:t xml:space="preserve">), pO2(A-a), pO2(a/A), RI, pO2/FIO2, </w:t>
            </w:r>
            <w:proofErr w:type="spellStart"/>
            <w:r w:rsidRPr="00F46873">
              <w:t>cH</w:t>
            </w:r>
            <w:proofErr w:type="spellEnd"/>
            <w:r w:rsidRPr="00F46873">
              <w:t>+(T), pH(T), pCO2(T), pO2(T), pO2(A-a)(T), pO2(a/A)(T), RI(T), pO2(T)/FIO2</w:t>
            </w:r>
          </w:p>
        </w:tc>
        <w:tc>
          <w:tcPr>
            <w:tcW w:w="3544" w:type="dxa"/>
            <w:noWrap/>
            <w:hideMark/>
          </w:tcPr>
          <w:p w14:paraId="7F940505" w14:textId="77777777" w:rsidR="00F46873" w:rsidRPr="00F46873" w:rsidRDefault="00F46873" w:rsidP="00F46873">
            <w:pPr>
              <w:jc w:val="both"/>
            </w:pPr>
            <w:r w:rsidRPr="00F46873">
              <w:t> </w:t>
            </w:r>
          </w:p>
        </w:tc>
        <w:tc>
          <w:tcPr>
            <w:tcW w:w="4819" w:type="dxa"/>
          </w:tcPr>
          <w:p w14:paraId="6CBFF18F" w14:textId="77777777" w:rsidR="00F46873" w:rsidRPr="00F46873" w:rsidRDefault="00F46873" w:rsidP="00F46873">
            <w:pPr>
              <w:jc w:val="both"/>
            </w:pPr>
          </w:p>
        </w:tc>
      </w:tr>
      <w:tr w:rsidR="00F46873" w:rsidRPr="00F46873" w14:paraId="2056644F" w14:textId="1AA2D996" w:rsidTr="00F46873">
        <w:trPr>
          <w:trHeight w:val="690"/>
        </w:trPr>
        <w:tc>
          <w:tcPr>
            <w:tcW w:w="709" w:type="dxa"/>
            <w:noWrap/>
            <w:hideMark/>
          </w:tcPr>
          <w:p w14:paraId="2835D5FA" w14:textId="77777777" w:rsidR="00F46873" w:rsidRPr="00F46873" w:rsidRDefault="00F46873" w:rsidP="00F46873">
            <w:pPr>
              <w:jc w:val="both"/>
            </w:pPr>
            <w:r w:rsidRPr="00F46873">
              <w:t>7</w:t>
            </w:r>
          </w:p>
        </w:tc>
        <w:tc>
          <w:tcPr>
            <w:tcW w:w="2552" w:type="dxa"/>
            <w:hideMark/>
          </w:tcPr>
          <w:p w14:paraId="345E914B" w14:textId="77777777" w:rsidR="00F46873" w:rsidRPr="00F46873" w:rsidRDefault="00F46873" w:rsidP="00F46873">
            <w:pPr>
              <w:jc w:val="both"/>
            </w:pPr>
            <w:r w:rsidRPr="00F46873">
              <w:t>Analizatoriaus ekranas lietimui jautrus,</w:t>
            </w:r>
            <w:r w:rsidRPr="00F46873">
              <w:br/>
              <w:t>skystų kristalų.</w:t>
            </w:r>
          </w:p>
        </w:tc>
        <w:tc>
          <w:tcPr>
            <w:tcW w:w="3544" w:type="dxa"/>
            <w:hideMark/>
          </w:tcPr>
          <w:p w14:paraId="2AF8A9F0" w14:textId="77777777" w:rsidR="00F46873" w:rsidRPr="00F46873" w:rsidRDefault="00F46873" w:rsidP="00F46873">
            <w:pPr>
              <w:jc w:val="both"/>
            </w:pPr>
            <w:r w:rsidRPr="00F46873">
              <w:t>Būtinas</w:t>
            </w:r>
          </w:p>
        </w:tc>
        <w:tc>
          <w:tcPr>
            <w:tcW w:w="3544" w:type="dxa"/>
            <w:noWrap/>
            <w:hideMark/>
          </w:tcPr>
          <w:p w14:paraId="209C1ECD" w14:textId="77777777" w:rsidR="00F46873" w:rsidRPr="00F46873" w:rsidRDefault="00F46873" w:rsidP="00F46873">
            <w:pPr>
              <w:jc w:val="both"/>
            </w:pPr>
            <w:r w:rsidRPr="00F46873">
              <w:t> </w:t>
            </w:r>
          </w:p>
        </w:tc>
        <w:tc>
          <w:tcPr>
            <w:tcW w:w="4819" w:type="dxa"/>
          </w:tcPr>
          <w:p w14:paraId="748212DA" w14:textId="77777777" w:rsidR="00F46873" w:rsidRPr="00F46873" w:rsidRDefault="00F46873" w:rsidP="00F46873">
            <w:pPr>
              <w:jc w:val="both"/>
            </w:pPr>
          </w:p>
        </w:tc>
      </w:tr>
      <w:tr w:rsidR="00F46873" w:rsidRPr="00F46873" w14:paraId="617C4F0C" w14:textId="3D1A1A59" w:rsidTr="00F46873">
        <w:trPr>
          <w:trHeight w:val="300"/>
        </w:trPr>
        <w:tc>
          <w:tcPr>
            <w:tcW w:w="709" w:type="dxa"/>
            <w:noWrap/>
            <w:hideMark/>
          </w:tcPr>
          <w:p w14:paraId="2D52E944" w14:textId="77777777" w:rsidR="00F46873" w:rsidRPr="00F46873" w:rsidRDefault="00F46873" w:rsidP="00F46873">
            <w:pPr>
              <w:jc w:val="both"/>
            </w:pPr>
            <w:r w:rsidRPr="00F46873">
              <w:t>8</w:t>
            </w:r>
          </w:p>
        </w:tc>
        <w:tc>
          <w:tcPr>
            <w:tcW w:w="2552" w:type="dxa"/>
            <w:hideMark/>
          </w:tcPr>
          <w:p w14:paraId="60CBA2E1" w14:textId="77777777" w:rsidR="00F46873" w:rsidRPr="00F46873" w:rsidRDefault="00F46873" w:rsidP="00F46873">
            <w:pPr>
              <w:jc w:val="both"/>
            </w:pPr>
            <w:r w:rsidRPr="00F46873">
              <w:t>Integruotas vidinis terminis spausdintuvas</w:t>
            </w:r>
          </w:p>
        </w:tc>
        <w:tc>
          <w:tcPr>
            <w:tcW w:w="3544" w:type="dxa"/>
            <w:hideMark/>
          </w:tcPr>
          <w:p w14:paraId="7F346F05" w14:textId="77777777" w:rsidR="00F46873" w:rsidRPr="00F46873" w:rsidRDefault="00F46873" w:rsidP="00F46873">
            <w:pPr>
              <w:jc w:val="both"/>
            </w:pPr>
            <w:r w:rsidRPr="00F46873">
              <w:t>Būtinas</w:t>
            </w:r>
          </w:p>
        </w:tc>
        <w:tc>
          <w:tcPr>
            <w:tcW w:w="3544" w:type="dxa"/>
            <w:noWrap/>
            <w:hideMark/>
          </w:tcPr>
          <w:p w14:paraId="1994187E" w14:textId="77777777" w:rsidR="00F46873" w:rsidRPr="00F46873" w:rsidRDefault="00F46873" w:rsidP="00F46873">
            <w:pPr>
              <w:jc w:val="both"/>
            </w:pPr>
            <w:r w:rsidRPr="00F46873">
              <w:t> </w:t>
            </w:r>
          </w:p>
        </w:tc>
        <w:tc>
          <w:tcPr>
            <w:tcW w:w="4819" w:type="dxa"/>
          </w:tcPr>
          <w:p w14:paraId="2D71AA91" w14:textId="77777777" w:rsidR="00F46873" w:rsidRPr="00F46873" w:rsidRDefault="00F46873" w:rsidP="00F46873">
            <w:pPr>
              <w:jc w:val="both"/>
            </w:pPr>
          </w:p>
        </w:tc>
      </w:tr>
      <w:tr w:rsidR="00F46873" w:rsidRPr="00F46873" w14:paraId="5F8728E6" w14:textId="7CA9352B" w:rsidTr="00F46873">
        <w:trPr>
          <w:trHeight w:val="570"/>
        </w:trPr>
        <w:tc>
          <w:tcPr>
            <w:tcW w:w="709" w:type="dxa"/>
            <w:noWrap/>
            <w:hideMark/>
          </w:tcPr>
          <w:p w14:paraId="78F15ED1" w14:textId="77777777" w:rsidR="00F46873" w:rsidRPr="00F46873" w:rsidRDefault="00F46873" w:rsidP="00F46873">
            <w:pPr>
              <w:jc w:val="both"/>
            </w:pPr>
            <w:r w:rsidRPr="00F46873">
              <w:t>9</w:t>
            </w:r>
          </w:p>
        </w:tc>
        <w:tc>
          <w:tcPr>
            <w:tcW w:w="2552" w:type="dxa"/>
            <w:hideMark/>
          </w:tcPr>
          <w:p w14:paraId="5ECF6180" w14:textId="77777777" w:rsidR="00F46873" w:rsidRPr="00F46873" w:rsidRDefault="00F46873" w:rsidP="00F46873">
            <w:pPr>
              <w:jc w:val="both"/>
            </w:pPr>
            <w:r w:rsidRPr="00F46873">
              <w:t>Vidinis ir išorinis brūkšninių kodų</w:t>
            </w:r>
            <w:r w:rsidRPr="00F46873">
              <w:br/>
              <w:t>skaitytuvai</w:t>
            </w:r>
          </w:p>
        </w:tc>
        <w:tc>
          <w:tcPr>
            <w:tcW w:w="3544" w:type="dxa"/>
            <w:hideMark/>
          </w:tcPr>
          <w:p w14:paraId="54DC42CA" w14:textId="77777777" w:rsidR="00F46873" w:rsidRPr="00F46873" w:rsidRDefault="00F46873" w:rsidP="00F46873">
            <w:pPr>
              <w:jc w:val="both"/>
            </w:pPr>
            <w:r w:rsidRPr="00F46873">
              <w:t>Būtina</w:t>
            </w:r>
          </w:p>
        </w:tc>
        <w:tc>
          <w:tcPr>
            <w:tcW w:w="3544" w:type="dxa"/>
            <w:noWrap/>
            <w:hideMark/>
          </w:tcPr>
          <w:p w14:paraId="20FB30AD" w14:textId="77777777" w:rsidR="00F46873" w:rsidRPr="00F46873" w:rsidRDefault="00F46873" w:rsidP="00F46873">
            <w:pPr>
              <w:jc w:val="both"/>
            </w:pPr>
            <w:r w:rsidRPr="00F46873">
              <w:t> </w:t>
            </w:r>
          </w:p>
        </w:tc>
        <w:tc>
          <w:tcPr>
            <w:tcW w:w="4819" w:type="dxa"/>
          </w:tcPr>
          <w:p w14:paraId="0269B12E" w14:textId="77777777" w:rsidR="00F46873" w:rsidRPr="00F46873" w:rsidRDefault="00F46873" w:rsidP="00F46873">
            <w:pPr>
              <w:jc w:val="both"/>
            </w:pPr>
          </w:p>
        </w:tc>
      </w:tr>
      <w:tr w:rsidR="00F46873" w:rsidRPr="00F46873" w14:paraId="6BD2BF28" w14:textId="2BBEDD3F" w:rsidTr="00F46873">
        <w:trPr>
          <w:trHeight w:val="2355"/>
        </w:trPr>
        <w:tc>
          <w:tcPr>
            <w:tcW w:w="709" w:type="dxa"/>
            <w:noWrap/>
            <w:hideMark/>
          </w:tcPr>
          <w:p w14:paraId="5F38E767" w14:textId="77777777" w:rsidR="00F46873" w:rsidRPr="00F46873" w:rsidRDefault="00F46873" w:rsidP="00F46873">
            <w:pPr>
              <w:jc w:val="both"/>
            </w:pPr>
            <w:r w:rsidRPr="00F46873">
              <w:t>10</w:t>
            </w:r>
          </w:p>
        </w:tc>
        <w:tc>
          <w:tcPr>
            <w:tcW w:w="2552" w:type="dxa"/>
            <w:hideMark/>
          </w:tcPr>
          <w:p w14:paraId="2512512E" w14:textId="77777777" w:rsidR="00F46873" w:rsidRPr="00F46873" w:rsidRDefault="00F46873" w:rsidP="00F46873">
            <w:pPr>
              <w:jc w:val="both"/>
            </w:pPr>
            <w:r w:rsidRPr="00F46873">
              <w:t>Duomenų valdymo sistema. Būtina pilna sistema:</w:t>
            </w:r>
          </w:p>
        </w:tc>
        <w:tc>
          <w:tcPr>
            <w:tcW w:w="3544" w:type="dxa"/>
            <w:hideMark/>
          </w:tcPr>
          <w:p w14:paraId="4AC127BA" w14:textId="77777777" w:rsidR="00F46873" w:rsidRPr="00F46873" w:rsidRDefault="00F46873" w:rsidP="00F46873">
            <w:pPr>
              <w:jc w:val="both"/>
            </w:pPr>
            <w:r w:rsidRPr="00F46873">
              <w:t>1. Informacija pagal paciento vardą arba ID;</w:t>
            </w:r>
            <w:r w:rsidRPr="00F46873">
              <w:br/>
              <w:t>2. Informacija pagal mėginio tipą ir atlikimo</w:t>
            </w:r>
            <w:r w:rsidRPr="00F46873">
              <w:br/>
              <w:t>datą;</w:t>
            </w:r>
            <w:r w:rsidRPr="00F46873">
              <w:br/>
              <w:t>3. Kokybės kontroliniai rezultatai;</w:t>
            </w:r>
            <w:r w:rsidRPr="00F46873">
              <w:br/>
              <w:t>4. Kasečių pasirinkimas pagal tipą;</w:t>
            </w:r>
            <w:r w:rsidRPr="00F46873">
              <w:br/>
              <w:t>5.Paciento lyties, temperatūros, FIO2 įvedimo</w:t>
            </w:r>
            <w:r w:rsidRPr="00F46873">
              <w:br/>
              <w:t>galimybė.</w:t>
            </w:r>
            <w:r w:rsidRPr="00F46873">
              <w:br/>
              <w:t>6. Turi būti pateiktos normos reikšmės arterinio,</w:t>
            </w:r>
            <w:r w:rsidRPr="00F46873">
              <w:br/>
              <w:t>veninio ir kapiliarinio kraujo mėginiams</w:t>
            </w:r>
          </w:p>
        </w:tc>
        <w:tc>
          <w:tcPr>
            <w:tcW w:w="3544" w:type="dxa"/>
            <w:noWrap/>
            <w:hideMark/>
          </w:tcPr>
          <w:p w14:paraId="6F1DF87D" w14:textId="77777777" w:rsidR="00F46873" w:rsidRPr="00F46873" w:rsidRDefault="00F46873" w:rsidP="00F46873">
            <w:pPr>
              <w:jc w:val="both"/>
            </w:pPr>
            <w:r w:rsidRPr="00F46873">
              <w:t> </w:t>
            </w:r>
          </w:p>
        </w:tc>
        <w:tc>
          <w:tcPr>
            <w:tcW w:w="4819" w:type="dxa"/>
          </w:tcPr>
          <w:p w14:paraId="543A81D2" w14:textId="77777777" w:rsidR="00F46873" w:rsidRPr="00F46873" w:rsidRDefault="00F46873" w:rsidP="00F46873">
            <w:pPr>
              <w:jc w:val="both"/>
            </w:pPr>
          </w:p>
        </w:tc>
      </w:tr>
      <w:tr w:rsidR="00F46873" w:rsidRPr="00F46873" w14:paraId="102D8E94" w14:textId="63932E27" w:rsidTr="00F46873">
        <w:trPr>
          <w:trHeight w:val="312"/>
        </w:trPr>
        <w:tc>
          <w:tcPr>
            <w:tcW w:w="709" w:type="dxa"/>
            <w:noWrap/>
            <w:hideMark/>
          </w:tcPr>
          <w:p w14:paraId="0EFC432B" w14:textId="77777777" w:rsidR="00F46873" w:rsidRPr="00F46873" w:rsidRDefault="00F46873" w:rsidP="00F46873">
            <w:pPr>
              <w:jc w:val="both"/>
            </w:pPr>
            <w:r w:rsidRPr="00F46873">
              <w:lastRenderedPageBreak/>
              <w:t>11</w:t>
            </w:r>
          </w:p>
        </w:tc>
        <w:tc>
          <w:tcPr>
            <w:tcW w:w="2552" w:type="dxa"/>
            <w:hideMark/>
          </w:tcPr>
          <w:p w14:paraId="7EA96FCE" w14:textId="77777777" w:rsidR="00F46873" w:rsidRPr="00F46873" w:rsidRDefault="00F46873" w:rsidP="00F46873">
            <w:pPr>
              <w:jc w:val="both"/>
            </w:pPr>
            <w:r w:rsidRPr="00F46873">
              <w:t>Galimybė tiesiogiai jungtis į LIS sistemą per LAN jungtį</w:t>
            </w:r>
          </w:p>
        </w:tc>
        <w:tc>
          <w:tcPr>
            <w:tcW w:w="3544" w:type="dxa"/>
            <w:hideMark/>
          </w:tcPr>
          <w:p w14:paraId="453331F7" w14:textId="77777777" w:rsidR="00F46873" w:rsidRPr="00F46873" w:rsidRDefault="00F46873" w:rsidP="00F46873">
            <w:pPr>
              <w:jc w:val="both"/>
            </w:pPr>
            <w:r w:rsidRPr="00F46873">
              <w:t>Būtina</w:t>
            </w:r>
          </w:p>
        </w:tc>
        <w:tc>
          <w:tcPr>
            <w:tcW w:w="3544" w:type="dxa"/>
            <w:noWrap/>
            <w:hideMark/>
          </w:tcPr>
          <w:p w14:paraId="58109B95" w14:textId="77777777" w:rsidR="00F46873" w:rsidRPr="00F46873" w:rsidRDefault="00F46873" w:rsidP="00F46873">
            <w:pPr>
              <w:jc w:val="both"/>
            </w:pPr>
            <w:r w:rsidRPr="00F46873">
              <w:t> </w:t>
            </w:r>
          </w:p>
        </w:tc>
        <w:tc>
          <w:tcPr>
            <w:tcW w:w="4819" w:type="dxa"/>
          </w:tcPr>
          <w:p w14:paraId="205E7858" w14:textId="77777777" w:rsidR="00F46873" w:rsidRPr="00F46873" w:rsidRDefault="00F46873" w:rsidP="00F46873">
            <w:pPr>
              <w:jc w:val="both"/>
            </w:pPr>
          </w:p>
        </w:tc>
      </w:tr>
      <w:tr w:rsidR="00F46873" w:rsidRPr="00F46873" w14:paraId="1DB1117C" w14:textId="633B8A34" w:rsidTr="00F46873">
        <w:trPr>
          <w:trHeight w:val="312"/>
        </w:trPr>
        <w:tc>
          <w:tcPr>
            <w:tcW w:w="709" w:type="dxa"/>
            <w:noWrap/>
            <w:hideMark/>
          </w:tcPr>
          <w:p w14:paraId="3EC38960" w14:textId="77777777" w:rsidR="00F46873" w:rsidRPr="00F46873" w:rsidRDefault="00F46873" w:rsidP="00F46873">
            <w:pPr>
              <w:jc w:val="both"/>
            </w:pPr>
            <w:r w:rsidRPr="00F46873">
              <w:t>12</w:t>
            </w:r>
          </w:p>
        </w:tc>
        <w:tc>
          <w:tcPr>
            <w:tcW w:w="2552" w:type="dxa"/>
            <w:hideMark/>
          </w:tcPr>
          <w:p w14:paraId="6E79F7E5" w14:textId="77777777" w:rsidR="00F46873" w:rsidRPr="00F46873" w:rsidRDefault="00F46873" w:rsidP="00F46873">
            <w:pPr>
              <w:jc w:val="both"/>
            </w:pPr>
            <w:r w:rsidRPr="00F46873">
              <w:t>Instaliuota prietaise mokomoji demonstracinė programa arba pateikiama trumpa ir aiški animuota instrukcija</w:t>
            </w:r>
          </w:p>
        </w:tc>
        <w:tc>
          <w:tcPr>
            <w:tcW w:w="3544" w:type="dxa"/>
            <w:hideMark/>
          </w:tcPr>
          <w:p w14:paraId="58280C18" w14:textId="77777777" w:rsidR="00F46873" w:rsidRPr="00F46873" w:rsidRDefault="00F46873" w:rsidP="00F46873">
            <w:pPr>
              <w:jc w:val="both"/>
            </w:pPr>
            <w:r w:rsidRPr="00F46873">
              <w:t>Būtina</w:t>
            </w:r>
          </w:p>
        </w:tc>
        <w:tc>
          <w:tcPr>
            <w:tcW w:w="3544" w:type="dxa"/>
            <w:noWrap/>
            <w:hideMark/>
          </w:tcPr>
          <w:p w14:paraId="1364D0F5" w14:textId="77777777" w:rsidR="00F46873" w:rsidRPr="00F46873" w:rsidRDefault="00F46873" w:rsidP="00F46873">
            <w:pPr>
              <w:jc w:val="both"/>
            </w:pPr>
            <w:r w:rsidRPr="00F46873">
              <w:t> </w:t>
            </w:r>
          </w:p>
        </w:tc>
        <w:tc>
          <w:tcPr>
            <w:tcW w:w="4819" w:type="dxa"/>
          </w:tcPr>
          <w:p w14:paraId="7E31DC9B" w14:textId="77777777" w:rsidR="00F46873" w:rsidRPr="00F46873" w:rsidRDefault="00F46873" w:rsidP="00F46873">
            <w:pPr>
              <w:jc w:val="both"/>
            </w:pPr>
          </w:p>
        </w:tc>
      </w:tr>
      <w:tr w:rsidR="00F46873" w:rsidRPr="00F46873" w14:paraId="1F626928" w14:textId="59E91FD7" w:rsidTr="00F46873">
        <w:trPr>
          <w:trHeight w:val="921"/>
        </w:trPr>
        <w:tc>
          <w:tcPr>
            <w:tcW w:w="709" w:type="dxa"/>
            <w:noWrap/>
            <w:hideMark/>
          </w:tcPr>
          <w:p w14:paraId="2CF88AA7" w14:textId="77777777" w:rsidR="00F46873" w:rsidRPr="00F46873" w:rsidRDefault="00F46873" w:rsidP="00F46873">
            <w:pPr>
              <w:jc w:val="both"/>
            </w:pPr>
            <w:r w:rsidRPr="00F46873">
              <w:t>13</w:t>
            </w:r>
          </w:p>
        </w:tc>
        <w:tc>
          <w:tcPr>
            <w:tcW w:w="2552" w:type="dxa"/>
            <w:hideMark/>
          </w:tcPr>
          <w:p w14:paraId="55EC02E1" w14:textId="77777777" w:rsidR="00F46873" w:rsidRPr="00F46873" w:rsidRDefault="00F46873" w:rsidP="00F46873">
            <w:pPr>
              <w:jc w:val="both"/>
            </w:pPr>
            <w:proofErr w:type="spellStart"/>
            <w:r w:rsidRPr="00F46873">
              <w:t>Kalibracija</w:t>
            </w:r>
            <w:proofErr w:type="spellEnd"/>
            <w:r w:rsidRPr="00F46873">
              <w:t xml:space="preserve"> atliekama skystu </w:t>
            </w:r>
            <w:proofErr w:type="spellStart"/>
            <w:r w:rsidRPr="00F46873">
              <w:t>kalibraciniu</w:t>
            </w:r>
            <w:proofErr w:type="spellEnd"/>
            <w:r w:rsidRPr="00F46873">
              <w:t xml:space="preserve"> tirpalu</w:t>
            </w:r>
          </w:p>
        </w:tc>
        <w:tc>
          <w:tcPr>
            <w:tcW w:w="3544" w:type="dxa"/>
            <w:hideMark/>
          </w:tcPr>
          <w:p w14:paraId="5A376640" w14:textId="77777777" w:rsidR="00F46873" w:rsidRPr="00F46873" w:rsidRDefault="00F46873" w:rsidP="00F46873">
            <w:pPr>
              <w:jc w:val="both"/>
            </w:pPr>
            <w:r w:rsidRPr="00F46873">
              <w:t xml:space="preserve">Būtina-atliekama kiekvienam mėginiui, </w:t>
            </w:r>
            <w:proofErr w:type="spellStart"/>
            <w:r w:rsidRPr="00F46873">
              <w:t>kalibracinis</w:t>
            </w:r>
            <w:proofErr w:type="spellEnd"/>
            <w:r w:rsidRPr="00F46873">
              <w:t xml:space="preserve"> tirpalas įsiurbiamas automatiškai iš </w:t>
            </w:r>
            <w:proofErr w:type="spellStart"/>
            <w:r w:rsidRPr="00F46873">
              <w:t>kalibratoriaus</w:t>
            </w:r>
            <w:proofErr w:type="spellEnd"/>
            <w:r w:rsidRPr="00F46873">
              <w:t xml:space="preserve"> pako, esančio analizatoriuje, į kiekvieną kasetę kiekvieno tyrimo metu</w:t>
            </w:r>
          </w:p>
        </w:tc>
        <w:tc>
          <w:tcPr>
            <w:tcW w:w="3544" w:type="dxa"/>
            <w:noWrap/>
            <w:hideMark/>
          </w:tcPr>
          <w:p w14:paraId="1A5A9066" w14:textId="77777777" w:rsidR="00F46873" w:rsidRPr="00F46873" w:rsidRDefault="00F46873" w:rsidP="00F46873">
            <w:pPr>
              <w:jc w:val="both"/>
            </w:pPr>
            <w:r w:rsidRPr="00F46873">
              <w:t> </w:t>
            </w:r>
          </w:p>
        </w:tc>
        <w:tc>
          <w:tcPr>
            <w:tcW w:w="4819" w:type="dxa"/>
          </w:tcPr>
          <w:p w14:paraId="5F776CEC" w14:textId="77777777" w:rsidR="00F46873" w:rsidRPr="00F46873" w:rsidRDefault="00F46873" w:rsidP="00F46873">
            <w:pPr>
              <w:jc w:val="both"/>
            </w:pPr>
          </w:p>
        </w:tc>
      </w:tr>
      <w:tr w:rsidR="00F46873" w:rsidRPr="00F46873" w14:paraId="3098852C" w14:textId="039A7035" w:rsidTr="00F46873">
        <w:trPr>
          <w:trHeight w:val="645"/>
        </w:trPr>
        <w:tc>
          <w:tcPr>
            <w:tcW w:w="709" w:type="dxa"/>
            <w:noWrap/>
            <w:hideMark/>
          </w:tcPr>
          <w:p w14:paraId="1D68DDAE" w14:textId="77777777" w:rsidR="00F46873" w:rsidRPr="00F46873" w:rsidRDefault="00F46873" w:rsidP="00F46873">
            <w:pPr>
              <w:jc w:val="both"/>
            </w:pPr>
            <w:r w:rsidRPr="00F46873">
              <w:t>14</w:t>
            </w:r>
          </w:p>
        </w:tc>
        <w:tc>
          <w:tcPr>
            <w:tcW w:w="2552" w:type="dxa"/>
            <w:hideMark/>
          </w:tcPr>
          <w:p w14:paraId="5B0D0DE3" w14:textId="77777777" w:rsidR="00F46873" w:rsidRPr="00F46873" w:rsidRDefault="00F46873" w:rsidP="00F46873">
            <w:pPr>
              <w:jc w:val="both"/>
            </w:pPr>
            <w:r w:rsidRPr="00F46873">
              <w:t>Galimybė pasirinkti ne mažiau 3 tiriamo mėginio tipus: arterinis,</w:t>
            </w:r>
            <w:r w:rsidRPr="00F46873">
              <w:br/>
              <w:t>veninis, kapiliarinis</w:t>
            </w:r>
          </w:p>
        </w:tc>
        <w:tc>
          <w:tcPr>
            <w:tcW w:w="3544" w:type="dxa"/>
            <w:hideMark/>
          </w:tcPr>
          <w:p w14:paraId="1EDAA7B7" w14:textId="77777777" w:rsidR="00F46873" w:rsidRPr="00F46873" w:rsidRDefault="00F46873" w:rsidP="00F46873">
            <w:pPr>
              <w:jc w:val="both"/>
            </w:pPr>
            <w:r w:rsidRPr="00F46873">
              <w:t>Būtina</w:t>
            </w:r>
          </w:p>
        </w:tc>
        <w:tc>
          <w:tcPr>
            <w:tcW w:w="3544" w:type="dxa"/>
            <w:noWrap/>
            <w:hideMark/>
          </w:tcPr>
          <w:p w14:paraId="4560E0AF" w14:textId="77777777" w:rsidR="00F46873" w:rsidRPr="00F46873" w:rsidRDefault="00F46873" w:rsidP="00F46873">
            <w:pPr>
              <w:jc w:val="both"/>
            </w:pPr>
            <w:r w:rsidRPr="00F46873">
              <w:t> </w:t>
            </w:r>
          </w:p>
        </w:tc>
        <w:tc>
          <w:tcPr>
            <w:tcW w:w="4819" w:type="dxa"/>
          </w:tcPr>
          <w:p w14:paraId="56CF45E5" w14:textId="77777777" w:rsidR="00F46873" w:rsidRPr="00F46873" w:rsidRDefault="00F46873" w:rsidP="00F46873">
            <w:pPr>
              <w:jc w:val="both"/>
            </w:pPr>
          </w:p>
        </w:tc>
      </w:tr>
      <w:tr w:rsidR="00F46873" w:rsidRPr="00F46873" w14:paraId="31F896F7" w14:textId="68B93536" w:rsidTr="00F46873">
        <w:trPr>
          <w:trHeight w:val="312"/>
        </w:trPr>
        <w:tc>
          <w:tcPr>
            <w:tcW w:w="709" w:type="dxa"/>
            <w:noWrap/>
            <w:hideMark/>
          </w:tcPr>
          <w:p w14:paraId="6639BC87" w14:textId="77777777" w:rsidR="00F46873" w:rsidRPr="00F46873" w:rsidRDefault="00F46873" w:rsidP="00F46873">
            <w:pPr>
              <w:jc w:val="both"/>
            </w:pPr>
            <w:r w:rsidRPr="00F46873">
              <w:t>15</w:t>
            </w:r>
          </w:p>
        </w:tc>
        <w:tc>
          <w:tcPr>
            <w:tcW w:w="2552" w:type="dxa"/>
            <w:hideMark/>
          </w:tcPr>
          <w:p w14:paraId="50027530" w14:textId="77777777" w:rsidR="00F46873" w:rsidRPr="00F46873" w:rsidRDefault="00F46873" w:rsidP="00F46873">
            <w:pPr>
              <w:jc w:val="both"/>
            </w:pPr>
            <w:r w:rsidRPr="00F46873">
              <w:t>Matavimo laikas</w:t>
            </w:r>
          </w:p>
        </w:tc>
        <w:tc>
          <w:tcPr>
            <w:tcW w:w="3544" w:type="dxa"/>
            <w:hideMark/>
          </w:tcPr>
          <w:p w14:paraId="09568CBB" w14:textId="77777777" w:rsidR="00F46873" w:rsidRPr="00F46873" w:rsidRDefault="00F46873" w:rsidP="00F46873">
            <w:pPr>
              <w:jc w:val="both"/>
            </w:pPr>
            <w:r w:rsidRPr="00F46873">
              <w:t>Turi išmatuoti ne ilgiau kaip per 60 sek.(±5sek.)</w:t>
            </w:r>
          </w:p>
        </w:tc>
        <w:tc>
          <w:tcPr>
            <w:tcW w:w="3544" w:type="dxa"/>
            <w:noWrap/>
            <w:hideMark/>
          </w:tcPr>
          <w:p w14:paraId="586190B0" w14:textId="77777777" w:rsidR="00F46873" w:rsidRPr="00F46873" w:rsidRDefault="00F46873" w:rsidP="00F46873">
            <w:pPr>
              <w:jc w:val="both"/>
            </w:pPr>
            <w:r w:rsidRPr="00F46873">
              <w:t> </w:t>
            </w:r>
          </w:p>
        </w:tc>
        <w:tc>
          <w:tcPr>
            <w:tcW w:w="4819" w:type="dxa"/>
          </w:tcPr>
          <w:p w14:paraId="243B3C59" w14:textId="77777777" w:rsidR="00F46873" w:rsidRPr="00F46873" w:rsidRDefault="00F46873" w:rsidP="00F46873">
            <w:pPr>
              <w:jc w:val="both"/>
            </w:pPr>
          </w:p>
        </w:tc>
      </w:tr>
      <w:tr w:rsidR="00F46873" w:rsidRPr="00F46873" w14:paraId="1831A5C5" w14:textId="0F86F31C" w:rsidTr="00F46873">
        <w:trPr>
          <w:trHeight w:val="312"/>
        </w:trPr>
        <w:tc>
          <w:tcPr>
            <w:tcW w:w="709" w:type="dxa"/>
            <w:noWrap/>
            <w:hideMark/>
          </w:tcPr>
          <w:p w14:paraId="28C45235" w14:textId="77777777" w:rsidR="00F46873" w:rsidRPr="00F46873" w:rsidRDefault="00F46873" w:rsidP="00F46873">
            <w:pPr>
              <w:jc w:val="both"/>
            </w:pPr>
            <w:r w:rsidRPr="00F46873">
              <w:t>16</w:t>
            </w:r>
          </w:p>
        </w:tc>
        <w:tc>
          <w:tcPr>
            <w:tcW w:w="2552" w:type="dxa"/>
            <w:hideMark/>
          </w:tcPr>
          <w:p w14:paraId="0E9271E1" w14:textId="77777777" w:rsidR="00F46873" w:rsidRPr="00F46873" w:rsidRDefault="00F46873" w:rsidP="00F46873">
            <w:pPr>
              <w:jc w:val="both"/>
            </w:pPr>
            <w:r w:rsidRPr="00F46873">
              <w:t>Tyrimų duomenų išsaugojimas</w:t>
            </w:r>
          </w:p>
        </w:tc>
        <w:tc>
          <w:tcPr>
            <w:tcW w:w="3544" w:type="dxa"/>
            <w:hideMark/>
          </w:tcPr>
          <w:p w14:paraId="2327882D" w14:textId="77777777" w:rsidR="00F46873" w:rsidRPr="00F46873" w:rsidRDefault="00F46873" w:rsidP="00F46873">
            <w:pPr>
              <w:jc w:val="both"/>
            </w:pPr>
            <w:r w:rsidRPr="00F46873">
              <w:t xml:space="preserve">Ne mažiau 10 000 tyrimų </w:t>
            </w:r>
          </w:p>
        </w:tc>
        <w:tc>
          <w:tcPr>
            <w:tcW w:w="3544" w:type="dxa"/>
            <w:noWrap/>
            <w:hideMark/>
          </w:tcPr>
          <w:p w14:paraId="3E9FEC1B" w14:textId="77777777" w:rsidR="00F46873" w:rsidRPr="00F46873" w:rsidRDefault="00F46873" w:rsidP="00F46873">
            <w:pPr>
              <w:jc w:val="both"/>
            </w:pPr>
            <w:r w:rsidRPr="00F46873">
              <w:t> </w:t>
            </w:r>
          </w:p>
        </w:tc>
        <w:tc>
          <w:tcPr>
            <w:tcW w:w="4819" w:type="dxa"/>
          </w:tcPr>
          <w:p w14:paraId="4729254E" w14:textId="77777777" w:rsidR="00F46873" w:rsidRPr="00F46873" w:rsidRDefault="00F46873" w:rsidP="00F46873">
            <w:pPr>
              <w:jc w:val="both"/>
            </w:pPr>
          </w:p>
        </w:tc>
      </w:tr>
      <w:tr w:rsidR="00F46873" w:rsidRPr="00F46873" w14:paraId="48D0FA8B" w14:textId="1088FAA7" w:rsidTr="00F46873">
        <w:trPr>
          <w:trHeight w:val="720"/>
        </w:trPr>
        <w:tc>
          <w:tcPr>
            <w:tcW w:w="709" w:type="dxa"/>
            <w:noWrap/>
            <w:hideMark/>
          </w:tcPr>
          <w:p w14:paraId="43B147DD" w14:textId="77777777" w:rsidR="00F46873" w:rsidRPr="00F46873" w:rsidRDefault="00F46873" w:rsidP="00F46873">
            <w:pPr>
              <w:jc w:val="both"/>
            </w:pPr>
            <w:r w:rsidRPr="00F46873">
              <w:t>17</w:t>
            </w:r>
          </w:p>
        </w:tc>
        <w:tc>
          <w:tcPr>
            <w:tcW w:w="2552" w:type="dxa"/>
            <w:hideMark/>
          </w:tcPr>
          <w:p w14:paraId="031EC633" w14:textId="77777777" w:rsidR="00F46873" w:rsidRPr="00F46873" w:rsidRDefault="00F46873" w:rsidP="00F46873">
            <w:pPr>
              <w:jc w:val="both"/>
            </w:pPr>
            <w:r w:rsidRPr="00F46873">
              <w:t>Vaizdinis pranešimas ekrane ir kasetės</w:t>
            </w:r>
            <w:r w:rsidRPr="00F46873">
              <w:br/>
              <w:t>išstūmimas iš analizatoriaus iš karto, įdėjus negaliojančią kasetę</w:t>
            </w:r>
          </w:p>
        </w:tc>
        <w:tc>
          <w:tcPr>
            <w:tcW w:w="3544" w:type="dxa"/>
            <w:hideMark/>
          </w:tcPr>
          <w:p w14:paraId="4EA64EFE" w14:textId="77777777" w:rsidR="00F46873" w:rsidRPr="00F46873" w:rsidRDefault="00F46873" w:rsidP="00F46873">
            <w:pPr>
              <w:jc w:val="both"/>
            </w:pPr>
            <w:r w:rsidRPr="00F46873">
              <w:t>Būtina</w:t>
            </w:r>
          </w:p>
        </w:tc>
        <w:tc>
          <w:tcPr>
            <w:tcW w:w="3544" w:type="dxa"/>
            <w:noWrap/>
            <w:hideMark/>
          </w:tcPr>
          <w:p w14:paraId="5D315684" w14:textId="77777777" w:rsidR="00F46873" w:rsidRPr="00F46873" w:rsidRDefault="00F46873" w:rsidP="00F46873">
            <w:pPr>
              <w:jc w:val="both"/>
            </w:pPr>
            <w:r w:rsidRPr="00F46873">
              <w:t> </w:t>
            </w:r>
          </w:p>
        </w:tc>
        <w:tc>
          <w:tcPr>
            <w:tcW w:w="4819" w:type="dxa"/>
          </w:tcPr>
          <w:p w14:paraId="72049FEC" w14:textId="77777777" w:rsidR="00F46873" w:rsidRPr="00F46873" w:rsidRDefault="00F46873" w:rsidP="00F46873">
            <w:pPr>
              <w:jc w:val="both"/>
            </w:pPr>
          </w:p>
        </w:tc>
      </w:tr>
      <w:tr w:rsidR="00F46873" w:rsidRPr="00F46873" w14:paraId="48AC6569" w14:textId="367816F9" w:rsidTr="00F46873">
        <w:trPr>
          <w:trHeight w:val="690"/>
        </w:trPr>
        <w:tc>
          <w:tcPr>
            <w:tcW w:w="709" w:type="dxa"/>
            <w:noWrap/>
            <w:hideMark/>
          </w:tcPr>
          <w:p w14:paraId="14287240" w14:textId="77777777" w:rsidR="00F46873" w:rsidRPr="00F46873" w:rsidRDefault="00F46873" w:rsidP="00F46873">
            <w:pPr>
              <w:jc w:val="both"/>
            </w:pPr>
            <w:r w:rsidRPr="00F46873">
              <w:t>18</w:t>
            </w:r>
          </w:p>
        </w:tc>
        <w:tc>
          <w:tcPr>
            <w:tcW w:w="2552" w:type="dxa"/>
            <w:hideMark/>
          </w:tcPr>
          <w:p w14:paraId="6EB3CD3A" w14:textId="77777777" w:rsidR="00F46873" w:rsidRPr="00F46873" w:rsidRDefault="00F46873" w:rsidP="00F46873">
            <w:pPr>
              <w:jc w:val="both"/>
            </w:pPr>
            <w:r w:rsidRPr="00F46873">
              <w:t xml:space="preserve">Kokybės kontrolė </w:t>
            </w:r>
          </w:p>
        </w:tc>
        <w:tc>
          <w:tcPr>
            <w:tcW w:w="3544" w:type="dxa"/>
            <w:hideMark/>
          </w:tcPr>
          <w:p w14:paraId="02D50AF5" w14:textId="77777777" w:rsidR="00F46873" w:rsidRPr="00F46873" w:rsidRDefault="00F46873" w:rsidP="00F46873">
            <w:pPr>
              <w:jc w:val="both"/>
            </w:pPr>
            <w:r w:rsidRPr="00F46873">
              <w:t>Skysta, ne mažiau dviejų lygių, atliekama ne rečiau, kaip naujai keičiantis reagentų kasečių partijai</w:t>
            </w:r>
          </w:p>
        </w:tc>
        <w:tc>
          <w:tcPr>
            <w:tcW w:w="3544" w:type="dxa"/>
            <w:noWrap/>
            <w:hideMark/>
          </w:tcPr>
          <w:p w14:paraId="4212073C" w14:textId="77777777" w:rsidR="00F46873" w:rsidRPr="00F46873" w:rsidRDefault="00F46873" w:rsidP="00F46873">
            <w:pPr>
              <w:jc w:val="both"/>
            </w:pPr>
            <w:r w:rsidRPr="00F46873">
              <w:t> </w:t>
            </w:r>
          </w:p>
        </w:tc>
        <w:tc>
          <w:tcPr>
            <w:tcW w:w="4819" w:type="dxa"/>
          </w:tcPr>
          <w:p w14:paraId="38161A36" w14:textId="77777777" w:rsidR="00F46873" w:rsidRPr="00F46873" w:rsidRDefault="00F46873" w:rsidP="00F46873">
            <w:pPr>
              <w:jc w:val="both"/>
            </w:pPr>
          </w:p>
        </w:tc>
      </w:tr>
      <w:tr w:rsidR="00F46873" w:rsidRPr="00F46873" w14:paraId="14D6EBBB" w14:textId="42F85598" w:rsidTr="00F46873">
        <w:trPr>
          <w:trHeight w:val="312"/>
        </w:trPr>
        <w:tc>
          <w:tcPr>
            <w:tcW w:w="709" w:type="dxa"/>
            <w:noWrap/>
            <w:hideMark/>
          </w:tcPr>
          <w:p w14:paraId="18BB4B1B" w14:textId="77777777" w:rsidR="00F46873" w:rsidRPr="00F46873" w:rsidRDefault="00F46873" w:rsidP="00F46873">
            <w:pPr>
              <w:jc w:val="both"/>
            </w:pPr>
            <w:r w:rsidRPr="00F46873">
              <w:lastRenderedPageBreak/>
              <w:t>19</w:t>
            </w:r>
          </w:p>
        </w:tc>
        <w:tc>
          <w:tcPr>
            <w:tcW w:w="2552" w:type="dxa"/>
            <w:hideMark/>
          </w:tcPr>
          <w:p w14:paraId="643D1C1B" w14:textId="77777777" w:rsidR="00F46873" w:rsidRPr="00F46873" w:rsidRDefault="00F46873" w:rsidP="00F46873">
            <w:pPr>
              <w:jc w:val="both"/>
            </w:pPr>
            <w:r w:rsidRPr="00F46873">
              <w:t>Automatinė elektroninė kokybės kontrolė</w:t>
            </w:r>
          </w:p>
        </w:tc>
        <w:tc>
          <w:tcPr>
            <w:tcW w:w="3544" w:type="dxa"/>
            <w:hideMark/>
          </w:tcPr>
          <w:p w14:paraId="176C14B9" w14:textId="77777777" w:rsidR="00F46873" w:rsidRPr="00F46873" w:rsidRDefault="00F46873" w:rsidP="00F46873">
            <w:pPr>
              <w:jc w:val="both"/>
            </w:pPr>
            <w:r w:rsidRPr="00F46873">
              <w:t>Būtina, integruota analizatoriuje</w:t>
            </w:r>
          </w:p>
        </w:tc>
        <w:tc>
          <w:tcPr>
            <w:tcW w:w="3544" w:type="dxa"/>
            <w:noWrap/>
            <w:hideMark/>
          </w:tcPr>
          <w:p w14:paraId="2863B9AD" w14:textId="77777777" w:rsidR="00F46873" w:rsidRPr="00F46873" w:rsidRDefault="00F46873" w:rsidP="00F46873">
            <w:pPr>
              <w:jc w:val="both"/>
            </w:pPr>
            <w:r w:rsidRPr="00F46873">
              <w:t> </w:t>
            </w:r>
          </w:p>
        </w:tc>
        <w:tc>
          <w:tcPr>
            <w:tcW w:w="4819" w:type="dxa"/>
          </w:tcPr>
          <w:p w14:paraId="4BF8891A" w14:textId="77777777" w:rsidR="00F46873" w:rsidRPr="00F46873" w:rsidRDefault="00F46873" w:rsidP="00F46873">
            <w:pPr>
              <w:jc w:val="both"/>
            </w:pPr>
          </w:p>
        </w:tc>
      </w:tr>
      <w:tr w:rsidR="00F46873" w:rsidRPr="00F46873" w14:paraId="0DC28BE0" w14:textId="18B07EF8" w:rsidTr="00F46873">
        <w:trPr>
          <w:trHeight w:val="720"/>
        </w:trPr>
        <w:tc>
          <w:tcPr>
            <w:tcW w:w="709" w:type="dxa"/>
            <w:noWrap/>
            <w:hideMark/>
          </w:tcPr>
          <w:p w14:paraId="141E1C29" w14:textId="77777777" w:rsidR="00F46873" w:rsidRPr="00F46873" w:rsidRDefault="00F46873" w:rsidP="00F46873">
            <w:pPr>
              <w:jc w:val="both"/>
            </w:pPr>
            <w:r w:rsidRPr="00F46873">
              <w:t>20</w:t>
            </w:r>
          </w:p>
        </w:tc>
        <w:tc>
          <w:tcPr>
            <w:tcW w:w="2552" w:type="dxa"/>
            <w:hideMark/>
          </w:tcPr>
          <w:p w14:paraId="622AFF59" w14:textId="77777777" w:rsidR="00F46873" w:rsidRPr="00F46873" w:rsidRDefault="00F46873" w:rsidP="00F46873">
            <w:pPr>
              <w:jc w:val="both"/>
            </w:pPr>
            <w:r w:rsidRPr="00F46873">
              <w:t>Reagentai, papildomos medžiagos/priemonės turi būti paženklinti CE ženklu pagal Europos Parlamento ir Tarybos Reglamento 2017/746 nuostatas</w:t>
            </w:r>
          </w:p>
        </w:tc>
        <w:tc>
          <w:tcPr>
            <w:tcW w:w="3544" w:type="dxa"/>
            <w:hideMark/>
          </w:tcPr>
          <w:p w14:paraId="2692EADA" w14:textId="77777777" w:rsidR="00F46873" w:rsidRPr="00F46873" w:rsidRDefault="00F46873" w:rsidP="00F46873">
            <w:pPr>
              <w:jc w:val="both"/>
            </w:pPr>
            <w:r w:rsidRPr="00F46873">
              <w:t>Būtina</w:t>
            </w:r>
          </w:p>
        </w:tc>
        <w:tc>
          <w:tcPr>
            <w:tcW w:w="3544" w:type="dxa"/>
            <w:noWrap/>
            <w:hideMark/>
          </w:tcPr>
          <w:p w14:paraId="6D4867C9" w14:textId="77777777" w:rsidR="00F46873" w:rsidRPr="00F46873" w:rsidRDefault="00F46873" w:rsidP="00F46873">
            <w:pPr>
              <w:jc w:val="both"/>
            </w:pPr>
            <w:r w:rsidRPr="00F46873">
              <w:t> </w:t>
            </w:r>
          </w:p>
        </w:tc>
        <w:tc>
          <w:tcPr>
            <w:tcW w:w="4819" w:type="dxa"/>
          </w:tcPr>
          <w:p w14:paraId="46039F60" w14:textId="77777777" w:rsidR="00F46873" w:rsidRPr="00F46873" w:rsidRDefault="00F46873" w:rsidP="00F46873">
            <w:pPr>
              <w:jc w:val="both"/>
            </w:pPr>
          </w:p>
        </w:tc>
      </w:tr>
    </w:tbl>
    <w:p w14:paraId="47809060" w14:textId="77777777" w:rsidR="00720EB7" w:rsidRDefault="00720EB7" w:rsidP="00E63FC1">
      <w:pPr>
        <w:jc w:val="both"/>
      </w:pPr>
    </w:p>
    <w:p w14:paraId="329A2882" w14:textId="77777777" w:rsidR="00F46873" w:rsidRDefault="00F46873" w:rsidP="00E63FC1">
      <w:pPr>
        <w:jc w:val="both"/>
      </w:pPr>
    </w:p>
    <w:p w14:paraId="12C81F15" w14:textId="77777777" w:rsidR="00F46873" w:rsidRPr="00E063D5" w:rsidRDefault="00F46873" w:rsidP="00F46873">
      <w:pPr>
        <w:jc w:val="both"/>
        <w:rPr>
          <w:b/>
          <w:bCs/>
        </w:rPr>
      </w:pPr>
      <w:r w:rsidRPr="00E063D5">
        <w:rPr>
          <w:b/>
          <w:bCs/>
          <w:u w:val="single"/>
        </w:rPr>
        <w:t xml:space="preserve">Bendrieji reikalavimai analizatorių </w:t>
      </w:r>
      <w:r>
        <w:rPr>
          <w:b/>
          <w:bCs/>
          <w:u w:val="single"/>
        </w:rPr>
        <w:t xml:space="preserve">panaudai </w:t>
      </w:r>
      <w:r w:rsidRPr="00E063D5">
        <w:t>(</w:t>
      </w:r>
      <w:r w:rsidRPr="00E063D5">
        <w:rPr>
          <w:i/>
          <w:iCs/>
        </w:rPr>
        <w:t xml:space="preserve">taikoma tose pirkimo dalyse, kuriose medicinos įranga bus naudojama </w:t>
      </w:r>
      <w:r w:rsidRPr="00ED65AC">
        <w:rPr>
          <w:i/>
          <w:iCs/>
        </w:rPr>
        <w:t xml:space="preserve">panaudos </w:t>
      </w:r>
      <w:r w:rsidRPr="00E063D5">
        <w:rPr>
          <w:i/>
          <w:iCs/>
        </w:rPr>
        <w:t>pagrindais</w:t>
      </w:r>
      <w:r w:rsidRPr="00E063D5">
        <w:t>):</w:t>
      </w:r>
    </w:p>
    <w:p w14:paraId="225D331C" w14:textId="77777777" w:rsidR="00F46873" w:rsidRPr="00ED65AC" w:rsidRDefault="00F46873" w:rsidP="00F46873">
      <w:pPr>
        <w:jc w:val="both"/>
        <w:rPr>
          <w:b/>
          <w:bCs/>
        </w:rPr>
      </w:pPr>
      <w:r w:rsidRPr="00E063D5">
        <w:rPr>
          <w:color w:val="000000"/>
        </w:rPr>
        <w:t>1. Analizatorius</w:t>
      </w:r>
      <w:r>
        <w:rPr>
          <w:color w:val="000000"/>
        </w:rPr>
        <w:t xml:space="preserve"> turi būti pažymėtas CE ženklu. </w:t>
      </w:r>
      <w:r w:rsidRPr="00AC6DEB">
        <w:rPr>
          <w:color w:val="000000"/>
        </w:rPr>
        <w:t xml:space="preserve">Tiekėjas privalo savo sąskaita užtikrinti </w:t>
      </w:r>
      <w:r>
        <w:t>panaudai teikiamo</w:t>
      </w:r>
      <w:r w:rsidRPr="00ED65AC">
        <w:t xml:space="preserve"> analizatoriaus techninę priežiūrą, techninės būklės tikrinimą ir remontą visą garantinio laikotarpio terminą.</w:t>
      </w:r>
    </w:p>
    <w:p w14:paraId="6C7E81C6" w14:textId="77777777" w:rsidR="00F46873" w:rsidRPr="00E063D5" w:rsidRDefault="00F46873" w:rsidP="00F46873">
      <w:pPr>
        <w:jc w:val="both"/>
        <w:rPr>
          <w:b/>
          <w:bCs/>
        </w:rPr>
      </w:pPr>
      <w:r w:rsidRPr="00E063D5">
        <w:t>2.</w:t>
      </w:r>
      <w:r w:rsidRPr="00E063D5">
        <w:rPr>
          <w:b/>
          <w:bCs/>
        </w:rPr>
        <w:t xml:space="preserve"> </w:t>
      </w:r>
      <w:r w:rsidRPr="00E063D5">
        <w:rPr>
          <w:color w:val="000000"/>
        </w:rPr>
        <w:t xml:space="preserve">Tiekėjas privalo </w:t>
      </w:r>
      <w:r w:rsidRPr="00ED65AC">
        <w:t xml:space="preserve">panaudos </w:t>
      </w:r>
      <w:r w:rsidRPr="00E063D5">
        <w:rPr>
          <w:color w:val="000000"/>
        </w:rPr>
        <w:t>pagrindais suteikti Perkančiajai organizacijai naudotis analizatoriumi, atitinkančiu šioje techninėje specifikacijoje nustatytus reikalavimus tol, kol pagal prekių viešojo pirkimo – pardavimo sutartį bus perkami iš tiekėjo reagentai ir papildomos priemonės.</w:t>
      </w:r>
    </w:p>
    <w:p w14:paraId="631BA92F" w14:textId="77777777" w:rsidR="00353164" w:rsidRDefault="00F46873" w:rsidP="00353164">
      <w:pPr>
        <w:ind w:right="-6237"/>
        <w:rPr>
          <w:color w:val="000000"/>
        </w:rPr>
      </w:pPr>
      <w:r>
        <w:t>3</w:t>
      </w:r>
      <w:r w:rsidRPr="00E063D5">
        <w:t>.</w:t>
      </w:r>
      <w:r w:rsidRPr="00E063D5">
        <w:rPr>
          <w:b/>
          <w:bCs/>
        </w:rPr>
        <w:t xml:space="preserve"> </w:t>
      </w:r>
      <w:r w:rsidRPr="00E063D5">
        <w:rPr>
          <w:color w:val="000000"/>
        </w:rPr>
        <w:t>Tiekėjas turės supažindinti Perkančiosios organizacijos personalą su</w:t>
      </w:r>
      <w:r w:rsidRPr="00ED65AC">
        <w:t xml:space="preserve"> </w:t>
      </w:r>
      <w:r>
        <w:t>panaudai suteikto</w:t>
      </w:r>
      <w:r w:rsidRPr="00ED65AC">
        <w:t xml:space="preserve"> </w:t>
      </w:r>
      <w:r w:rsidRPr="00E063D5">
        <w:rPr>
          <w:color w:val="000000"/>
        </w:rPr>
        <w:t xml:space="preserve">analizatoriaus naudojimo ypatumais, perduoti </w:t>
      </w:r>
    </w:p>
    <w:p w14:paraId="2B93C8C0" w14:textId="77777777" w:rsidR="00353164" w:rsidRDefault="00F46873" w:rsidP="00353164">
      <w:pPr>
        <w:ind w:right="-6237"/>
        <w:rPr>
          <w:color w:val="000000"/>
        </w:rPr>
      </w:pPr>
      <w:r w:rsidRPr="00E063D5">
        <w:rPr>
          <w:color w:val="000000"/>
        </w:rPr>
        <w:t xml:space="preserve">analizatoriaus naudojimosi instrukcijas (lietuvių kalba), Perkančiosios organizacijos prašymu ne vėliau kaip per 3 (tris) darbo dienas nuo </w:t>
      </w:r>
    </w:p>
    <w:p w14:paraId="30696406" w14:textId="5F893202" w:rsidR="00F46873" w:rsidRPr="00822522" w:rsidRDefault="00F46873" w:rsidP="00353164">
      <w:pPr>
        <w:ind w:right="-6237"/>
        <w:rPr>
          <w:color w:val="000000"/>
        </w:rPr>
      </w:pPr>
      <w:r w:rsidRPr="00E063D5">
        <w:rPr>
          <w:color w:val="000000"/>
        </w:rPr>
        <w:t xml:space="preserve">prašymo gavimo dienos apmokyti Perkančiosios organizacijos personalą naudotis </w:t>
      </w:r>
      <w:r>
        <w:t>panaudai suteiktu</w:t>
      </w:r>
      <w:r w:rsidRPr="00ED65AC">
        <w:t xml:space="preserve"> analizatoriumi</w:t>
      </w:r>
      <w:r>
        <w:rPr>
          <w:color w:val="000000"/>
        </w:rPr>
        <w:t>.</w:t>
      </w:r>
    </w:p>
    <w:p w14:paraId="562F0A47" w14:textId="77777777" w:rsidR="00F46873" w:rsidRPr="00E063D5" w:rsidRDefault="00F46873" w:rsidP="00F46873">
      <w:pPr>
        <w:jc w:val="both"/>
      </w:pPr>
      <w:r>
        <w:rPr>
          <w:color w:val="000000"/>
        </w:rPr>
        <w:t>4</w:t>
      </w:r>
      <w:r w:rsidRPr="00E063D5">
        <w:rPr>
          <w:color w:val="000000"/>
        </w:rPr>
        <w:t xml:space="preserve">. Kartu su pasiūlymu turi būti pateikti dokumentai, įrodantys analizatoriaus atitikimą šioje techninėje specifikacijoje nurodytiems parametrams: bukletai, techniniai aprašai, juose pažymint siūlomą parametrą ir nurodant jo eilės Nr., esantį šioje  techninėje specifikacijoje. </w:t>
      </w:r>
    </w:p>
    <w:p w14:paraId="65AA264C" w14:textId="77777777" w:rsidR="00F46873" w:rsidRPr="00E063D5" w:rsidRDefault="00F46873" w:rsidP="00F46873">
      <w:pPr>
        <w:jc w:val="both"/>
      </w:pPr>
      <w:r>
        <w:t>5</w:t>
      </w:r>
      <w:r w:rsidRPr="00E063D5">
        <w:t xml:space="preserve">. </w:t>
      </w:r>
      <w:r w:rsidRPr="00E063D5">
        <w:rPr>
          <w:color w:val="000000"/>
        </w:rPr>
        <w:t xml:space="preserve">Tiekėjas privalo užtikrinti, kad analizatorius bus pristatytas, surinktas, sumontuotas/instaliuotas/įdiegtas Perkančiosios organizacijos adresu: </w:t>
      </w:r>
      <w:r w:rsidRPr="00570E7E">
        <w:t>Vš</w:t>
      </w:r>
      <w:r>
        <w:t>Į</w:t>
      </w:r>
      <w:r w:rsidRPr="00570E7E">
        <w:t xml:space="preserve"> Š</w:t>
      </w:r>
      <w:r>
        <w:t>irvintų</w:t>
      </w:r>
      <w:r w:rsidRPr="00570E7E">
        <w:t xml:space="preserve"> </w:t>
      </w:r>
      <w:r>
        <w:t>r. savivaldybės sveikatos centras</w:t>
      </w:r>
      <w:r w:rsidRPr="00570E7E">
        <w:t xml:space="preserve">, </w:t>
      </w:r>
      <w:r>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r>
        <w:rPr>
          <w:color w:val="000000"/>
        </w:rPr>
        <w:t xml:space="preserve">, </w:t>
      </w:r>
      <w:r w:rsidRPr="00E063D5">
        <w:rPr>
          <w:color w:val="000000"/>
        </w:rPr>
        <w:t>paruoštas darbui ir suderintas/išbandytas ne vėliau kaip per 30 (trisdešimt) kalendorinių dienų nuo</w:t>
      </w:r>
      <w:r w:rsidRPr="00ED65AC">
        <w:t xml:space="preserve"> </w:t>
      </w:r>
      <w:r>
        <w:t>panaudos</w:t>
      </w:r>
      <w:r w:rsidRPr="00ED65AC">
        <w:t xml:space="preserve"> </w:t>
      </w:r>
      <w:r w:rsidRPr="00E063D5">
        <w:rPr>
          <w:color w:val="000000"/>
        </w:rPr>
        <w:t xml:space="preserve">sutarties pasirašymo dienos. </w:t>
      </w:r>
    </w:p>
    <w:p w14:paraId="4B8C3003" w14:textId="77777777" w:rsidR="00F46873" w:rsidRPr="00E063D5" w:rsidRDefault="00F46873" w:rsidP="00F46873">
      <w:pPr>
        <w:jc w:val="both"/>
        <w:rPr>
          <w:b/>
          <w:bCs/>
          <w:u w:val="single"/>
        </w:rPr>
      </w:pPr>
    </w:p>
    <w:p w14:paraId="5C1ACD56" w14:textId="77777777" w:rsidR="00F46873" w:rsidRPr="00E063D5" w:rsidRDefault="00F46873" w:rsidP="00F46873">
      <w:pPr>
        <w:jc w:val="both"/>
        <w:rPr>
          <w:i/>
          <w:iCs/>
        </w:rPr>
      </w:pPr>
      <w:r w:rsidRPr="00E063D5">
        <w:rPr>
          <w:b/>
          <w:bCs/>
          <w:u w:val="single"/>
        </w:rPr>
        <w:t>Bendrieji reikalavimai medicinos įrangos techninei priežiūrai</w:t>
      </w:r>
      <w:r w:rsidRPr="00E063D5">
        <w:rPr>
          <w:b/>
          <w:bCs/>
        </w:rPr>
        <w:t xml:space="preserve"> </w:t>
      </w:r>
      <w:r w:rsidRPr="00E063D5">
        <w:t>(</w:t>
      </w:r>
      <w:r w:rsidRPr="00E063D5">
        <w:rPr>
          <w:i/>
          <w:iCs/>
        </w:rPr>
        <w:t>taikoma tose pirkimo dalyse, kuriose vykdoma medicinos įrangos techninė priežiūra):</w:t>
      </w:r>
    </w:p>
    <w:p w14:paraId="0B444BD0" w14:textId="77777777" w:rsidR="00F46873" w:rsidRPr="00E063D5" w:rsidRDefault="00F46873" w:rsidP="00F46873">
      <w:pPr>
        <w:jc w:val="both"/>
        <w:rPr>
          <w:i/>
          <w:iCs/>
        </w:rPr>
      </w:pPr>
      <w:r w:rsidRPr="00E063D5">
        <w:t>1.</w:t>
      </w:r>
      <w:r w:rsidRPr="00E063D5">
        <w:rPr>
          <w:i/>
          <w:iCs/>
        </w:rPr>
        <w:t xml:space="preserve"> </w:t>
      </w:r>
      <w:r w:rsidRPr="00E063D5">
        <w:t xml:space="preserve">Medicininės įrangos techninė priežiūra vykdoma </w:t>
      </w:r>
      <w:r>
        <w:t xml:space="preserve">adresu: </w:t>
      </w:r>
      <w:r w:rsidRPr="00570E7E">
        <w:t>Vš</w:t>
      </w:r>
      <w:r>
        <w:t>Į</w:t>
      </w:r>
      <w:r w:rsidRPr="00570E7E">
        <w:t xml:space="preserve"> Š</w:t>
      </w:r>
      <w:r>
        <w:t>irvintų</w:t>
      </w:r>
      <w:r w:rsidRPr="00570E7E">
        <w:t xml:space="preserve"> </w:t>
      </w:r>
      <w:r>
        <w:t>r. savivaldybės sveikatos centras</w:t>
      </w:r>
      <w:r w:rsidRPr="00570E7E">
        <w:t xml:space="preserve">, </w:t>
      </w:r>
      <w:r>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p>
    <w:p w14:paraId="561D2FCC" w14:textId="77777777" w:rsidR="00F46873" w:rsidRPr="00E063D5" w:rsidRDefault="00F46873" w:rsidP="00F46873">
      <w:pPr>
        <w:jc w:val="both"/>
        <w:rPr>
          <w:i/>
          <w:iCs/>
        </w:rPr>
      </w:pPr>
      <w:r w:rsidRPr="00E063D5">
        <w:lastRenderedPageBreak/>
        <w:t>2</w:t>
      </w:r>
      <w:r w:rsidRPr="00E063D5">
        <w:rPr>
          <w:i/>
          <w:iCs/>
        </w:rPr>
        <w:t xml:space="preserve">. </w:t>
      </w:r>
      <w:r w:rsidRPr="00E063D5">
        <w:t>Tiekėjas įsipareigoja paslaugas suteikti ne vėliau kaip per 24 valandas po Perkančiosios organizacijos užsakymo, pateikto el. paštu, telefonu, faksu arba suderinus tikslinį laiką su Klinikinės laboratorijos vedėja.</w:t>
      </w:r>
      <w:r w:rsidRPr="00E063D5">
        <w:rPr>
          <w:color w:val="FF0000"/>
        </w:rPr>
        <w:t xml:space="preserve"> </w:t>
      </w:r>
      <w:r w:rsidRPr="00E063D5">
        <w:rPr>
          <w:color w:val="000000"/>
        </w:rPr>
        <w:t>Jei dėl kokių nors priežasčių nėra sąlygų suremontuoti medicininę įrangą iš karto, Tiekėjas informuoja Perkančiąją organizaciją apie numatomus paslaugų užbaigimo terminus.</w:t>
      </w:r>
    </w:p>
    <w:p w14:paraId="38BF78A8" w14:textId="77777777" w:rsidR="00F46873" w:rsidRPr="00E063D5" w:rsidRDefault="00F46873" w:rsidP="00F46873">
      <w:pPr>
        <w:jc w:val="both"/>
        <w:rPr>
          <w:i/>
          <w:iCs/>
        </w:rPr>
      </w:pPr>
      <w:r w:rsidRPr="00E063D5">
        <w:t>3.</w:t>
      </w:r>
      <w:r w:rsidRPr="00E063D5">
        <w:rPr>
          <w:i/>
          <w:iCs/>
        </w:rPr>
        <w:t xml:space="preserve"> </w:t>
      </w:r>
      <w:r w:rsidRPr="00E063D5">
        <w:rPr>
          <w:color w:val="000000"/>
        </w:rPr>
        <w:t>Medicinos įrangos techninę priežiūrą Tiekėjas teikia laikantis gamintojo nustatyto paslaugų periodiškumo.</w:t>
      </w:r>
    </w:p>
    <w:p w14:paraId="24848CD1" w14:textId="77777777" w:rsidR="00F46873" w:rsidRPr="00E063D5" w:rsidRDefault="00F46873" w:rsidP="00F46873">
      <w:pPr>
        <w:jc w:val="both"/>
        <w:rPr>
          <w:i/>
          <w:iCs/>
        </w:rPr>
      </w:pPr>
      <w:r w:rsidRPr="00E063D5">
        <w:t>4.</w:t>
      </w:r>
      <w:r w:rsidRPr="00E063D5">
        <w:rPr>
          <w:i/>
          <w:iCs/>
        </w:rPr>
        <w:t xml:space="preserve"> </w:t>
      </w:r>
      <w:r w:rsidRPr="00E063D5">
        <w:rPr>
          <w:color w:val="000000"/>
        </w:rPr>
        <w:t>Paslaugų kokybė turi atitikti medicinos įrangos saugumo technikos ir eksploatacijos taisyklių reikalavimus. Pakeistų detalių  garantija turi būti ne mažesnė nei gamintojo.</w:t>
      </w:r>
    </w:p>
    <w:p w14:paraId="0C1AE1DB" w14:textId="77777777" w:rsidR="00F46873" w:rsidRPr="00353164" w:rsidRDefault="00F46873" w:rsidP="00F46873">
      <w:pPr>
        <w:jc w:val="both"/>
        <w:rPr>
          <w:color w:val="EE0000"/>
        </w:rPr>
      </w:pPr>
      <w:r w:rsidRPr="00E063D5">
        <w:t>5</w:t>
      </w:r>
      <w:r w:rsidRPr="00E063D5">
        <w:rPr>
          <w:i/>
          <w:iCs/>
        </w:rPr>
        <w:t xml:space="preserve">. </w:t>
      </w:r>
      <w:r w:rsidRPr="00E063D5">
        <w:t xml:space="preserve">Perkamų paslaugų kiekis nurodytas šioje techninėje specifikacijoje yra numatomas paslaugų kiekis </w:t>
      </w:r>
      <w:r>
        <w:t>36</w:t>
      </w:r>
      <w:r w:rsidRPr="00E063D5">
        <w:t xml:space="preserve"> mėn. Perkančioji organizacija, atsižvelgdama į savo poreikius, gali įsigyti mažesnį paslaugų kiekį, </w:t>
      </w:r>
      <w:r w:rsidRPr="00353164">
        <w:rPr>
          <w:color w:val="EE0000"/>
        </w:rPr>
        <w:t>nei nurodyta šioje techninėje specifikacijoje arba įsigyti didesnį paslaugų kiekį, tačiau tokiu atveju sutarties vertė negali būti daugiau kaip 30 proc. didesnė nei sutartyje nurodyta numatoma sutarties kaina. Perkančioji organizacija neįsipareigoja nupirkti visų paslaugų rūšių.</w:t>
      </w:r>
    </w:p>
    <w:p w14:paraId="7E573D4F" w14:textId="77777777" w:rsidR="00F46873" w:rsidRPr="00E063D5" w:rsidRDefault="00F46873" w:rsidP="00F46873">
      <w:pPr>
        <w:jc w:val="both"/>
      </w:pPr>
      <w:r>
        <w:t xml:space="preserve">6. </w:t>
      </w:r>
      <w:r w:rsidRPr="005339DD">
        <w:t>Tiekėjas galimų defektų ir/ar gedimų atveju privalo savo sąskaita šalinti/remontuoti visus defektus ir/ar gedimus arba sugedusią analizatoriaus (-</w:t>
      </w:r>
      <w:proofErr w:type="spellStart"/>
      <w:r w:rsidRPr="005339DD">
        <w:t>ių</w:t>
      </w:r>
      <w:proofErr w:type="spellEnd"/>
      <w:r w:rsidRPr="005339DD">
        <w:t>) detalę (-</w:t>
      </w:r>
      <w:proofErr w:type="spellStart"/>
      <w:r w:rsidRPr="005339DD">
        <w:t>es</w:t>
      </w:r>
      <w:proofErr w:type="spellEnd"/>
      <w:r w:rsidRPr="005339DD">
        <w:t>) (komponentą (-</w:t>
      </w:r>
      <w:proofErr w:type="spellStart"/>
      <w:r w:rsidRPr="005339DD">
        <w:t>us</w:t>
      </w:r>
      <w:proofErr w:type="spellEnd"/>
      <w:r w:rsidRPr="005339DD">
        <w:t>) pakeisti ekvivalentiška (-</w:t>
      </w:r>
      <w:proofErr w:type="spellStart"/>
      <w:r w:rsidRPr="005339DD">
        <w:t>ais</w:t>
      </w:r>
      <w:proofErr w:type="spellEnd"/>
      <w:r w:rsidRPr="005339DD">
        <w:t>) perkančiosios organizacijos patalpose (</w:t>
      </w:r>
      <w:r w:rsidRPr="00570E7E">
        <w:t>Vš</w:t>
      </w:r>
      <w:r>
        <w:t>Į</w:t>
      </w:r>
      <w:r w:rsidRPr="00570E7E">
        <w:t xml:space="preserve"> Š</w:t>
      </w:r>
      <w:r>
        <w:t>irvintų</w:t>
      </w:r>
      <w:r w:rsidRPr="00570E7E">
        <w:t xml:space="preserve"> </w:t>
      </w:r>
      <w:r>
        <w:t>r. savivaldybės sveikatos centras</w:t>
      </w:r>
      <w:r w:rsidRPr="00570E7E">
        <w:t xml:space="preserve">, </w:t>
      </w:r>
      <w:r>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r w:rsidRPr="005339DD">
        <w:t>) ne vėliau kaip per 24 (dvidešimt keturias) valandas nuo pranešimo apie defektą ir /ar gedimą gavimo momento. Jei defekto ir/ar gedimo neįmanoma pašalinti/suremontuoti perkančiosios organizacijos patalpose, tiekėjas privalo analizatorių (-</w:t>
      </w:r>
      <w:proofErr w:type="spellStart"/>
      <w:r w:rsidRPr="005339DD">
        <w:t>ius</w:t>
      </w:r>
      <w:proofErr w:type="spellEnd"/>
      <w:r w:rsidRPr="005339DD">
        <w:t>) savo sąskaita išvežti defektui ir/ar gedimui šalinti/remontuoti tiekėjo transportu. Sutaisytas (-i) ir veikiantis (-</w:t>
      </w:r>
      <w:proofErr w:type="spellStart"/>
      <w:r w:rsidRPr="005339DD">
        <w:t>ys</w:t>
      </w:r>
      <w:proofErr w:type="spellEnd"/>
      <w:r w:rsidRPr="005339DD">
        <w:t>) analizatorius (-</w:t>
      </w:r>
      <w:proofErr w:type="spellStart"/>
      <w:r w:rsidRPr="005339DD">
        <w:t>iai</w:t>
      </w:r>
      <w:proofErr w:type="spellEnd"/>
      <w:r w:rsidRPr="005339DD">
        <w:t>) pristatomas (-i)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w:t>
      </w:r>
      <w:proofErr w:type="spellStart"/>
      <w:r w:rsidRPr="005339DD">
        <w:t>us</w:t>
      </w:r>
      <w:proofErr w:type="spellEnd"/>
      <w:r w:rsidRPr="005339DD">
        <w:t>) veikiantį (-</w:t>
      </w:r>
      <w:proofErr w:type="spellStart"/>
      <w:r w:rsidRPr="005339DD">
        <w:t>čius</w:t>
      </w:r>
      <w:proofErr w:type="spellEnd"/>
      <w:r w:rsidRPr="005339DD">
        <w:t>) analizatorių (-</w:t>
      </w:r>
      <w:proofErr w:type="spellStart"/>
      <w:r w:rsidRPr="005339DD">
        <w:t>ius</w:t>
      </w:r>
      <w:proofErr w:type="spellEnd"/>
      <w:r w:rsidRPr="005339DD">
        <w:t>)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p>
    <w:p w14:paraId="73D80D16" w14:textId="77777777" w:rsidR="00F46873" w:rsidRDefault="00F46873" w:rsidP="00F46873">
      <w:pPr>
        <w:jc w:val="both"/>
        <w:rPr>
          <w:b/>
          <w:bCs/>
        </w:rPr>
      </w:pPr>
    </w:p>
    <w:p w14:paraId="427AFBE7" w14:textId="77777777" w:rsidR="00F46873" w:rsidRDefault="00F46873" w:rsidP="00F46873">
      <w:pPr>
        <w:jc w:val="both"/>
      </w:pPr>
      <w:r>
        <w:t>____________________________________________</w:t>
      </w:r>
      <w:r>
        <w:tab/>
        <w:t>______________________              ___________________________________</w:t>
      </w:r>
    </w:p>
    <w:p w14:paraId="031EB0F4" w14:textId="77777777" w:rsidR="00F46873" w:rsidRDefault="00F46873" w:rsidP="00F46873">
      <w:pPr>
        <w:jc w:val="both"/>
        <w:rPr>
          <w:position w:val="6"/>
        </w:rPr>
      </w:pPr>
      <w:r>
        <w:rPr>
          <w:position w:val="6"/>
        </w:rPr>
        <w:t>(Tiekėjo arba jo įgalioto asmens pareigų pavadinimas)</w:t>
      </w:r>
      <w:r>
        <w:rPr>
          <w:position w:val="6"/>
        </w:rPr>
        <w:tab/>
      </w:r>
      <w:r>
        <w:rPr>
          <w:position w:val="6"/>
        </w:rPr>
        <w:tab/>
        <w:t>(Parašas)</w:t>
      </w:r>
      <w:r>
        <w:rPr>
          <w:position w:val="6"/>
        </w:rPr>
        <w:tab/>
      </w:r>
      <w:r>
        <w:rPr>
          <w:position w:val="6"/>
        </w:rPr>
        <w:tab/>
      </w:r>
      <w:r>
        <w:rPr>
          <w:position w:val="6"/>
        </w:rPr>
        <w:tab/>
        <w:t>(Vardas ir pavardė)</w:t>
      </w:r>
    </w:p>
    <w:p w14:paraId="4B77208F" w14:textId="77777777" w:rsidR="00F46873" w:rsidRDefault="00F46873" w:rsidP="00F46873">
      <w:pPr>
        <w:jc w:val="both"/>
      </w:pPr>
    </w:p>
    <w:p w14:paraId="23D2B44D" w14:textId="77777777" w:rsidR="00F46873" w:rsidRPr="00B10570" w:rsidRDefault="00F46873" w:rsidP="00E63FC1">
      <w:pPr>
        <w:jc w:val="both"/>
      </w:pPr>
    </w:p>
    <w:sectPr w:rsidR="00F46873" w:rsidRPr="00B10570" w:rsidSect="00B1057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07"/>
    <w:rsid w:val="000158F8"/>
    <w:rsid w:val="002F7B07"/>
    <w:rsid w:val="00353164"/>
    <w:rsid w:val="00395E09"/>
    <w:rsid w:val="00420960"/>
    <w:rsid w:val="00427801"/>
    <w:rsid w:val="00560458"/>
    <w:rsid w:val="005F1E9B"/>
    <w:rsid w:val="00720EB7"/>
    <w:rsid w:val="007C3BD2"/>
    <w:rsid w:val="00994045"/>
    <w:rsid w:val="00AA7EEA"/>
    <w:rsid w:val="00B10570"/>
    <w:rsid w:val="00D66F21"/>
    <w:rsid w:val="00DA3EAD"/>
    <w:rsid w:val="00E63FC1"/>
    <w:rsid w:val="00EA4BD5"/>
    <w:rsid w:val="00F46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616F"/>
  <w15:chartTrackingRefBased/>
  <w15:docId w15:val="{811E4F2B-605C-4C28-A213-5DE8E6C9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0570"/>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2F7B0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2F7B0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2F7B0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2F7B07"/>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Antrat5">
    <w:name w:val="heading 5"/>
    <w:basedOn w:val="prastasis"/>
    <w:next w:val="prastasis"/>
    <w:link w:val="Antrat5Diagrama"/>
    <w:uiPriority w:val="9"/>
    <w:semiHidden/>
    <w:unhideWhenUsed/>
    <w:qFormat/>
    <w:rsid w:val="002F7B07"/>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Antrat6">
    <w:name w:val="heading 6"/>
    <w:basedOn w:val="prastasis"/>
    <w:next w:val="prastasis"/>
    <w:link w:val="Antrat6Diagrama"/>
    <w:uiPriority w:val="9"/>
    <w:semiHidden/>
    <w:unhideWhenUsed/>
    <w:qFormat/>
    <w:rsid w:val="002F7B0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Antrat7">
    <w:name w:val="heading 7"/>
    <w:basedOn w:val="prastasis"/>
    <w:next w:val="prastasis"/>
    <w:link w:val="Antrat7Diagrama"/>
    <w:uiPriority w:val="9"/>
    <w:semiHidden/>
    <w:unhideWhenUsed/>
    <w:qFormat/>
    <w:rsid w:val="002F7B07"/>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Antrat8">
    <w:name w:val="heading 8"/>
    <w:basedOn w:val="prastasis"/>
    <w:next w:val="prastasis"/>
    <w:link w:val="Antrat8Diagrama"/>
    <w:uiPriority w:val="9"/>
    <w:semiHidden/>
    <w:unhideWhenUsed/>
    <w:qFormat/>
    <w:rsid w:val="002F7B07"/>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Antrat9">
    <w:name w:val="heading 9"/>
    <w:basedOn w:val="prastasis"/>
    <w:next w:val="prastasis"/>
    <w:link w:val="Antrat9Diagrama"/>
    <w:uiPriority w:val="9"/>
    <w:semiHidden/>
    <w:unhideWhenUsed/>
    <w:qFormat/>
    <w:rsid w:val="002F7B07"/>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7B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7B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7B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7B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F7B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7B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7B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7B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7B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7B0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2F7B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7B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2F7B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7B07"/>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taDiagrama">
    <w:name w:val="Citata Diagrama"/>
    <w:basedOn w:val="Numatytasispastraiposriftas"/>
    <w:link w:val="Citata"/>
    <w:uiPriority w:val="29"/>
    <w:rsid w:val="002F7B07"/>
    <w:rPr>
      <w:i/>
      <w:iCs/>
      <w:color w:val="404040" w:themeColor="text1" w:themeTint="BF"/>
    </w:rPr>
  </w:style>
  <w:style w:type="paragraph" w:styleId="Sraopastraipa">
    <w:name w:val="List Paragraph"/>
    <w:basedOn w:val="prastasis"/>
    <w:uiPriority w:val="34"/>
    <w:qFormat/>
    <w:rsid w:val="002F7B07"/>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Rykuspabraukimas">
    <w:name w:val="Intense Emphasis"/>
    <w:basedOn w:val="Numatytasispastraiposriftas"/>
    <w:uiPriority w:val="21"/>
    <w:qFormat/>
    <w:rsid w:val="002F7B07"/>
    <w:rPr>
      <w:i/>
      <w:iCs/>
      <w:color w:val="2F5496" w:themeColor="accent1" w:themeShade="BF"/>
    </w:rPr>
  </w:style>
  <w:style w:type="paragraph" w:styleId="Iskirtacitata">
    <w:name w:val="Intense Quote"/>
    <w:basedOn w:val="prastasis"/>
    <w:next w:val="prastasis"/>
    <w:link w:val="IskirtacitataDiagrama"/>
    <w:uiPriority w:val="30"/>
    <w:qFormat/>
    <w:rsid w:val="002F7B0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skirtacitataDiagrama">
    <w:name w:val="Išskirta citata Diagrama"/>
    <w:basedOn w:val="Numatytasispastraiposriftas"/>
    <w:link w:val="Iskirtacitata"/>
    <w:uiPriority w:val="30"/>
    <w:rsid w:val="002F7B07"/>
    <w:rPr>
      <w:i/>
      <w:iCs/>
      <w:color w:val="2F5496" w:themeColor="accent1" w:themeShade="BF"/>
    </w:rPr>
  </w:style>
  <w:style w:type="character" w:styleId="Rykinuoroda">
    <w:name w:val="Intense Reference"/>
    <w:basedOn w:val="Numatytasispastraiposriftas"/>
    <w:uiPriority w:val="32"/>
    <w:qFormat/>
    <w:rsid w:val="002F7B07"/>
    <w:rPr>
      <w:b/>
      <w:bCs/>
      <w:smallCaps/>
      <w:color w:val="2F5496" w:themeColor="accent1" w:themeShade="BF"/>
      <w:spacing w:val="5"/>
    </w:rPr>
  </w:style>
  <w:style w:type="table" w:styleId="Lentelstinklelis">
    <w:name w:val="Table Grid"/>
    <w:basedOn w:val="prastojilentel"/>
    <w:uiPriority w:val="39"/>
    <w:rsid w:val="00B1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5327</Words>
  <Characters>3037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Palmira J</cp:lastModifiedBy>
  <cp:revision>8</cp:revision>
  <dcterms:created xsi:type="dcterms:W3CDTF">2025-10-05T10:51:00Z</dcterms:created>
  <dcterms:modified xsi:type="dcterms:W3CDTF">2025-10-07T07:33:00Z</dcterms:modified>
</cp:coreProperties>
</file>