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454B0" w14:textId="77777777" w:rsidR="00C80D15" w:rsidRPr="00D9391B" w:rsidRDefault="00C80D15" w:rsidP="00C80D15">
      <w:pPr>
        <w:spacing w:line="240" w:lineRule="auto"/>
        <w:ind w:left="7314" w:firstLine="0"/>
        <w:rPr>
          <w:rFonts w:cstheme="minorHAnsi"/>
        </w:rPr>
      </w:pPr>
      <w:r w:rsidRPr="00A76EAF">
        <w:rPr>
          <w:rFonts w:cstheme="minorHAnsi"/>
        </w:rPr>
        <w:t xml:space="preserve">Pirkimo sąlygų </w:t>
      </w:r>
      <w:r>
        <w:rPr>
          <w:rFonts w:cstheme="minorHAnsi"/>
        </w:rPr>
        <w:t>1</w:t>
      </w:r>
      <w:r w:rsidRPr="00A76EAF">
        <w:rPr>
          <w:rFonts w:cstheme="minorHAnsi"/>
        </w:rPr>
        <w:t xml:space="preserve"> priedas „Techninė specifikacija“</w:t>
      </w:r>
    </w:p>
    <w:p w14:paraId="1D21A162" w14:textId="77777777" w:rsidR="00C80D15" w:rsidRPr="000566F9" w:rsidRDefault="00C80D15" w:rsidP="00C80D15">
      <w:pPr>
        <w:spacing w:line="240" w:lineRule="auto"/>
        <w:jc w:val="center"/>
        <w:rPr>
          <w:rFonts w:ascii="Times New Roman" w:eastAsia="Times New Roman" w:hAnsi="Times New Roman" w:cs="Times New Roman"/>
          <w:b/>
          <w:sz w:val="24"/>
          <w:szCs w:val="24"/>
          <w:lang w:eastAsia="en-US"/>
        </w:rPr>
      </w:pPr>
      <w:r w:rsidRPr="000566F9">
        <w:rPr>
          <w:rFonts w:ascii="Times New Roman" w:eastAsia="Times New Roman" w:hAnsi="Times New Roman" w:cs="Times New Roman"/>
          <w:b/>
          <w:sz w:val="24"/>
          <w:szCs w:val="24"/>
          <w:lang w:eastAsia="en-US"/>
        </w:rPr>
        <w:t>TECHNINĖ SPECIFIKACIJA</w:t>
      </w:r>
    </w:p>
    <w:p w14:paraId="2E38DDFB"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bookmarkStart w:id="0" w:name="_Toc183077313"/>
      <w:r w:rsidRPr="000566F9">
        <w:rPr>
          <w:rFonts w:ascii="Times New Roman" w:eastAsia="Times New Roman" w:hAnsi="Times New Roman" w:cs="Times New Roman"/>
          <w:b/>
          <w:bCs/>
          <w:sz w:val="24"/>
          <w:szCs w:val="24"/>
          <w:lang w:eastAsia="en-US"/>
        </w:rPr>
        <w:t>Poreikių specifikacijos adresų sričių simbolinių pavadinimų sistemą (toliau - DNS) aptarnaujančiai įrangai patalpinti duomenų centre DC:</w:t>
      </w:r>
      <w:bookmarkEnd w:id="0"/>
    </w:p>
    <w:p w14:paraId="56A8B48F" w14:textId="77777777" w:rsidR="00C80D15" w:rsidRPr="000566F9" w:rsidRDefault="00C80D15" w:rsidP="00C80D15">
      <w:pPr>
        <w:keepNext/>
        <w:spacing w:line="240" w:lineRule="auto"/>
        <w:jc w:val="center"/>
        <w:outlineLvl w:val="1"/>
        <w:rPr>
          <w:rFonts w:ascii="Times New Roman" w:eastAsia="Times New Roman" w:hAnsi="Times New Roman" w:cs="Times New Roman"/>
          <w:b/>
          <w:bCs/>
          <w:sz w:val="24"/>
          <w:szCs w:val="24"/>
          <w:lang w:eastAsia="en-US"/>
        </w:rPr>
      </w:pPr>
    </w:p>
    <w:p w14:paraId="2123ABA4" w14:textId="77777777" w:rsidR="00C80D15" w:rsidRPr="000566F9" w:rsidRDefault="00C80D15" w:rsidP="00C80D15">
      <w:pPr>
        <w:numPr>
          <w:ilvl w:val="0"/>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Bendri reikalavimai serverių patalpinimui (Įrangos komplektacija Nr.1):</w:t>
      </w:r>
    </w:p>
    <w:p w14:paraId="707C7650"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 xml:space="preserve">Duomenų centras kuriame talpinama įranga turi atitikti </w:t>
      </w:r>
      <w:proofErr w:type="spellStart"/>
      <w:r w:rsidRPr="000566F9">
        <w:rPr>
          <w:rFonts w:ascii="Times New Roman" w:eastAsia="Times New Roman" w:hAnsi="Times New Roman" w:cs="Times New Roman"/>
          <w:sz w:val="24"/>
          <w:szCs w:val="24"/>
          <w:lang w:eastAsia="en-US"/>
        </w:rPr>
        <w:t>Tier</w:t>
      </w:r>
      <w:proofErr w:type="spellEnd"/>
      <w:r w:rsidRPr="000566F9">
        <w:rPr>
          <w:rFonts w:ascii="Times New Roman" w:eastAsia="Times New Roman" w:hAnsi="Times New Roman" w:cs="Times New Roman"/>
          <w:sz w:val="24"/>
          <w:szCs w:val="24"/>
          <w:lang w:eastAsia="en-US"/>
        </w:rPr>
        <w:t xml:space="preserve"> II reikalavimus</w:t>
      </w:r>
      <w:r>
        <w:rPr>
          <w:rFonts w:ascii="Times New Roman" w:eastAsia="Times New Roman" w:hAnsi="Times New Roman" w:cs="Times New Roman"/>
          <w:sz w:val="24"/>
          <w:szCs w:val="24"/>
          <w:lang w:eastAsia="en-US"/>
        </w:rPr>
        <w:t xml:space="preserve"> (sertifikatas neprivalomas)</w:t>
      </w:r>
      <w:r w:rsidRPr="000566F9">
        <w:rPr>
          <w:rFonts w:ascii="Times New Roman" w:eastAsia="Times New Roman" w:hAnsi="Times New Roman" w:cs="Times New Roman"/>
          <w:color w:val="000000"/>
          <w:sz w:val="24"/>
          <w:szCs w:val="24"/>
          <w:lang w:eastAsia="en-US"/>
        </w:rPr>
        <w:t>;</w:t>
      </w:r>
    </w:p>
    <w:p w14:paraId="71D3BCB1"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sz w:val="24"/>
          <w:szCs w:val="24"/>
          <w:lang w:eastAsia="en-US"/>
        </w:rPr>
        <w:t>Perkančiosios organizacijos talpinamai įrangai turi būti užtikrintas nuolatinis 230V elektros energijos tiekimas. Maksimali reikalinga galia 350W. Elektros tiekimas turi būti garantuotas darbiniu ir rezerviniu UPS-</w:t>
      </w:r>
      <w:proofErr w:type="spellStart"/>
      <w:r w:rsidRPr="000566F9">
        <w:rPr>
          <w:rFonts w:ascii="Times New Roman" w:eastAsia="Times New Roman" w:hAnsi="Times New Roman" w:cs="Times New Roman"/>
          <w:sz w:val="24"/>
          <w:szCs w:val="24"/>
          <w:lang w:eastAsia="en-US"/>
        </w:rPr>
        <w:t>ais</w:t>
      </w:r>
      <w:proofErr w:type="spellEnd"/>
      <w:r w:rsidRPr="000566F9">
        <w:rPr>
          <w:rFonts w:ascii="Times New Roman" w:eastAsia="Times New Roman" w:hAnsi="Times New Roman" w:cs="Times New Roman"/>
          <w:sz w:val="24"/>
          <w:szCs w:val="24"/>
          <w:lang w:eastAsia="en-US"/>
        </w:rPr>
        <w:t>;</w:t>
      </w:r>
    </w:p>
    <w:p w14:paraId="62FAC637" w14:textId="77777777" w:rsidR="00C80D15" w:rsidRPr="000566F9" w:rsidRDefault="00C80D15" w:rsidP="00C80D15">
      <w:pPr>
        <w:numPr>
          <w:ilvl w:val="1"/>
          <w:numId w:val="1"/>
        </w:numPr>
        <w:spacing w:line="240" w:lineRule="auto"/>
        <w:rPr>
          <w:rFonts w:ascii="Times New Roman" w:eastAsia="Times New Roman" w:hAnsi="Times New Roman" w:cs="Times New Roman"/>
          <w:color w:val="000000"/>
          <w:sz w:val="24"/>
          <w:szCs w:val="24"/>
          <w:lang w:eastAsia="en-US"/>
        </w:rPr>
      </w:pPr>
      <w:r w:rsidRPr="000566F9">
        <w:rPr>
          <w:rFonts w:ascii="Times New Roman" w:eastAsia="Times New Roman" w:hAnsi="Times New Roman" w:cs="Times New Roman"/>
          <w:color w:val="000000"/>
          <w:sz w:val="24"/>
          <w:szCs w:val="24"/>
          <w:lang w:eastAsia="en-US"/>
        </w:rPr>
        <w:t>Įrangai reikalinga bent 2U vieta 19 colių komutacinėje spintoje, kuri turi būti tinkama 77 cm ilgio serveriams,  aušinimas tinkamas 2500 BTU/h generuojančiai įrangai;</w:t>
      </w:r>
    </w:p>
    <w:p w14:paraId="499305D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color w:val="000000"/>
          <w:sz w:val="24"/>
          <w:szCs w:val="24"/>
          <w:lang w:eastAsia="en-US"/>
        </w:rPr>
        <w:t>T</w:t>
      </w:r>
      <w:r w:rsidRPr="000566F9">
        <w:rPr>
          <w:rFonts w:ascii="Times New Roman" w:eastAsia="Times New Roman" w:hAnsi="Times New Roman" w:cs="Times New Roman"/>
          <w:sz w:val="24"/>
          <w:szCs w:val="24"/>
          <w:lang w:eastAsia="en-US"/>
        </w:rPr>
        <w:t>uri būti užtikrintas fizinis priėjimas prie įrangos iš priekio ir iš galo;</w:t>
      </w:r>
    </w:p>
    <w:p w14:paraId="28531AF6"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ne mažiau kaip 4 elektros tiekimo lizdai;</w:t>
      </w:r>
    </w:p>
    <w:p w14:paraId="173E28C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Reikalingos bent keturios 100Base-TX/1000Base-TX RJ-45 kompiuterių tinklo jungtys.</w:t>
      </w:r>
    </w:p>
    <w:p w14:paraId="46AE68B4" w14:textId="77777777" w:rsidR="00C80D15" w:rsidRPr="000566F9" w:rsidRDefault="00C80D15" w:rsidP="00C80D15">
      <w:pPr>
        <w:numPr>
          <w:ilvl w:val="0"/>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Reikalavimai kompiuterių tinklui:</w:t>
      </w:r>
    </w:p>
    <w:p w14:paraId="2BF38D25"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Įrangai turi būti užtikrinta bent </w:t>
      </w:r>
      <w:r w:rsidRPr="000566F9">
        <w:rPr>
          <w:rFonts w:ascii="Times New Roman" w:eastAsia="Times New Roman" w:hAnsi="Times New Roman" w:cs="Times New Roman"/>
          <w:b/>
          <w:bCs/>
          <w:sz w:val="24"/>
          <w:szCs w:val="24"/>
          <w:lang w:eastAsia="en-US"/>
        </w:rPr>
        <w:t>1000</w:t>
      </w:r>
      <w:r w:rsidRPr="000566F9">
        <w:rPr>
          <w:rFonts w:ascii="Times New Roman" w:eastAsia="Times New Roman" w:hAnsi="Times New Roman" w:cs="Times New Roman"/>
          <w:sz w:val="24"/>
          <w:szCs w:val="24"/>
          <w:lang w:eastAsia="en-US"/>
        </w:rPr>
        <w:t xml:space="preserve"> Mbps ryšio sparta Lietuvoje ir bent </w:t>
      </w:r>
      <w:r w:rsidRPr="000566F9">
        <w:rPr>
          <w:rFonts w:ascii="Times New Roman" w:eastAsia="Times New Roman" w:hAnsi="Times New Roman" w:cs="Times New Roman"/>
          <w:b/>
          <w:bCs/>
          <w:sz w:val="24"/>
          <w:szCs w:val="24"/>
          <w:lang w:eastAsia="en-US"/>
        </w:rPr>
        <w:t>50</w:t>
      </w:r>
      <w:r w:rsidRPr="000566F9">
        <w:rPr>
          <w:rFonts w:ascii="Times New Roman" w:eastAsia="Times New Roman" w:hAnsi="Times New Roman" w:cs="Times New Roman"/>
          <w:sz w:val="24"/>
          <w:szCs w:val="24"/>
          <w:lang w:eastAsia="en-US"/>
        </w:rPr>
        <w:t xml:space="preserve"> Mbps ryšio sparta su užsienio tinklais (interneto kanalo sutankinimas iki 1:2);</w:t>
      </w:r>
    </w:p>
    <w:p w14:paraId="397A906B"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IPv4 adresai;</w:t>
      </w:r>
    </w:p>
    <w:p w14:paraId="2E0339C1"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Reikalingi bent penki dalyvio paskirti globaliai galiojantys IPv6 adresai;</w:t>
      </w:r>
    </w:p>
    <w:p w14:paraId="4CCB75A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Keičiant Perkančiajai organizacijai paskirtus IP adresus, tiekėjas apie keitimą privalo įspėti bent prieš 30 dienų ir bent 20 dienų privalo suteikti galimybę Perkančiajai organizacijai naudoti senus ir naujus IP adresus lygiagrečiai;</w:t>
      </w:r>
    </w:p>
    <w:p w14:paraId="346C9D7F"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BGPv4 sesijos su tiekėjo maršrutizatoriumi Perkančiosios organizacijos AS skelbimui:</w:t>
      </w:r>
    </w:p>
    <w:p w14:paraId="45E2DC37"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Perkančiosios organizacijos AS skelbiamų BGPv4 maršrutų (IPv4 ir IPv6) priėmimas;</w:t>
      </w:r>
    </w:p>
    <w:p w14:paraId="2B2703F9" w14:textId="77777777" w:rsidR="00C80D15" w:rsidRPr="000566F9" w:rsidRDefault="00C80D15" w:rsidP="00C80D15">
      <w:pPr>
        <w:numPr>
          <w:ilvl w:val="2"/>
          <w:numId w:val="1"/>
        </w:numPr>
        <w:spacing w:line="240" w:lineRule="auto"/>
        <w:rPr>
          <w:rFonts w:ascii="Times New Roman" w:eastAsia="Times New Roman" w:hAnsi="Times New Roman" w:cs="Times New Roman"/>
          <w:i/>
          <w:sz w:val="24"/>
          <w:szCs w:val="24"/>
          <w:lang w:eastAsia="en-US"/>
        </w:rPr>
      </w:pPr>
      <w:r w:rsidRPr="000566F9">
        <w:rPr>
          <w:rFonts w:ascii="Times New Roman" w:eastAsia="Times New Roman" w:hAnsi="Times New Roman" w:cs="Times New Roman"/>
          <w:sz w:val="24"/>
          <w:szCs w:val="24"/>
          <w:lang w:eastAsia="en-US"/>
        </w:rPr>
        <w:t xml:space="preserve">Perkančiosios organizacijos skelbiamų AS maršrutų (IPv4 ir IPv6) perskelbimas į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upstream</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autonomines sistemas bei dalyvio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peer'us</w:t>
      </w:r>
      <w:proofErr w:type="spellEnd"/>
      <w:r w:rsidRPr="000566F9">
        <w:rPr>
          <w:rFonts w:ascii="Times New Roman" w:eastAsia="Times New Roman" w:hAnsi="Times New Roman" w:cs="Times New Roman"/>
          <w:i/>
          <w:sz w:val="24"/>
          <w:szCs w:val="24"/>
          <w:lang w:eastAsia="en-US"/>
        </w:rPr>
        <w:t>“;</w:t>
      </w:r>
    </w:p>
    <w:p w14:paraId="12D020B5"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Korektiškas BGPv4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no-export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community</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interpretavimas (neperskelbti AS jeigu Perkančiosios organizacijos maršrutizatorius naudoja šį atributą);</w:t>
      </w:r>
    </w:p>
    <w:p w14:paraId="55836A89"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Turi būti galimybė sudaryti 2 atskiras BGPv4 sesijas su tiekėjo maršrutizatoriumi(-</w:t>
      </w:r>
      <w:proofErr w:type="spellStart"/>
      <w:r w:rsidRPr="000566F9">
        <w:rPr>
          <w:rFonts w:ascii="Times New Roman" w:eastAsia="Times New Roman" w:hAnsi="Times New Roman" w:cs="Times New Roman"/>
          <w:sz w:val="24"/>
          <w:szCs w:val="24"/>
          <w:lang w:eastAsia="en-US"/>
        </w:rPr>
        <w:t>iais</w:t>
      </w:r>
      <w:proofErr w:type="spellEnd"/>
      <w:r w:rsidRPr="000566F9">
        <w:rPr>
          <w:rFonts w:ascii="Times New Roman" w:eastAsia="Times New Roman" w:hAnsi="Times New Roman" w:cs="Times New Roman"/>
          <w:sz w:val="24"/>
          <w:szCs w:val="24"/>
          <w:lang w:eastAsia="en-US"/>
        </w:rPr>
        <w:t>);</w:t>
      </w:r>
    </w:p>
    <w:p w14:paraId="2D9AFF1C" w14:textId="77777777" w:rsidR="00C80D15" w:rsidRPr="000566F9" w:rsidRDefault="00C80D15" w:rsidP="00C80D15">
      <w:pPr>
        <w:numPr>
          <w:ilvl w:val="2"/>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Tiekėjo maršrutizatorius turi PO įrangai turi skelbti tik </w:t>
      </w:r>
      <w:r w:rsidRPr="000566F9">
        <w:rPr>
          <w:rFonts w:ascii="Times New Roman" w:eastAsia="Times New Roman" w:hAnsi="Times New Roman" w:cs="Times New Roman"/>
          <w:i/>
          <w:sz w:val="24"/>
          <w:szCs w:val="24"/>
          <w:lang w:eastAsia="en-US"/>
        </w:rPr>
        <w:t>„</w:t>
      </w:r>
      <w:proofErr w:type="spellStart"/>
      <w:r w:rsidRPr="000566F9">
        <w:rPr>
          <w:rFonts w:ascii="Times New Roman" w:eastAsia="Times New Roman" w:hAnsi="Times New Roman" w:cs="Times New Roman"/>
          <w:i/>
          <w:sz w:val="24"/>
          <w:szCs w:val="24"/>
          <w:lang w:eastAsia="en-US"/>
        </w:rPr>
        <w:t>default</w:t>
      </w:r>
      <w:proofErr w:type="spellEnd"/>
      <w:r w:rsidRPr="000566F9">
        <w:rPr>
          <w:rFonts w:ascii="Times New Roman" w:eastAsia="Times New Roman" w:hAnsi="Times New Roman" w:cs="Times New Roman"/>
          <w:i/>
          <w:sz w:val="24"/>
          <w:szCs w:val="24"/>
          <w:lang w:eastAsia="en-US"/>
        </w:rPr>
        <w:t xml:space="preserve"> </w:t>
      </w:r>
      <w:proofErr w:type="spellStart"/>
      <w:r w:rsidRPr="000566F9">
        <w:rPr>
          <w:rFonts w:ascii="Times New Roman" w:eastAsia="Times New Roman" w:hAnsi="Times New Roman" w:cs="Times New Roman"/>
          <w:i/>
          <w:sz w:val="24"/>
          <w:szCs w:val="24"/>
          <w:lang w:eastAsia="en-US"/>
        </w:rPr>
        <w:t>route</w:t>
      </w:r>
      <w:proofErr w:type="spellEnd"/>
      <w:r w:rsidRPr="000566F9">
        <w:rPr>
          <w:rFonts w:ascii="Times New Roman" w:eastAsia="Times New Roman" w:hAnsi="Times New Roman" w:cs="Times New Roman"/>
          <w:i/>
          <w:sz w:val="24"/>
          <w:szCs w:val="24"/>
          <w:lang w:eastAsia="en-US"/>
        </w:rPr>
        <w:t>“</w:t>
      </w:r>
      <w:r w:rsidRPr="000566F9">
        <w:rPr>
          <w:rFonts w:ascii="Times New Roman" w:eastAsia="Times New Roman" w:hAnsi="Times New Roman" w:cs="Times New Roman"/>
          <w:sz w:val="24"/>
          <w:szCs w:val="24"/>
          <w:lang w:eastAsia="en-US"/>
        </w:rPr>
        <w:t xml:space="preserve"> maršrutą;</w:t>
      </w:r>
    </w:p>
    <w:p w14:paraId="2E3999E2" w14:textId="77777777" w:rsidR="00C80D15" w:rsidRPr="000566F9"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Paslaugos teikėjas neturi naudoti jokių interneto srauto filtravimo priemonių, nebent tai būtų atskiru susitarimu suderinta su Perkančiąja organizacija;</w:t>
      </w:r>
    </w:p>
    <w:p w14:paraId="72D13C3B" w14:textId="77777777" w:rsidR="00C80D15" w:rsidRDefault="00C80D15" w:rsidP="00C80D15">
      <w:pPr>
        <w:numPr>
          <w:ilvl w:val="1"/>
          <w:numId w:val="1"/>
        </w:numPr>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 xml:space="preserve">Paslaugos </w:t>
      </w:r>
      <w:proofErr w:type="spellStart"/>
      <w:r w:rsidRPr="000566F9">
        <w:rPr>
          <w:rFonts w:ascii="Times New Roman" w:eastAsia="Times New Roman" w:hAnsi="Times New Roman" w:cs="Times New Roman"/>
          <w:sz w:val="24"/>
          <w:szCs w:val="24"/>
          <w:lang w:eastAsia="en-US"/>
        </w:rPr>
        <w:t>pateikiamumas</w:t>
      </w:r>
      <w:proofErr w:type="spellEnd"/>
      <w:r w:rsidRPr="000566F9">
        <w:rPr>
          <w:rFonts w:ascii="Times New Roman" w:eastAsia="Times New Roman" w:hAnsi="Times New Roman" w:cs="Times New Roman"/>
          <w:sz w:val="24"/>
          <w:szCs w:val="24"/>
          <w:lang w:eastAsia="en-US"/>
        </w:rPr>
        <w:t xml:space="preserve"> turi būti ne mažesnis už 99,5%.</w:t>
      </w:r>
    </w:p>
    <w:p w14:paraId="60008810" w14:textId="36866257" w:rsidR="00C80D15" w:rsidRPr="005959DA" w:rsidRDefault="00C80D15" w:rsidP="00C80D15">
      <w:pPr>
        <w:numPr>
          <w:ilvl w:val="1"/>
          <w:numId w:val="1"/>
        </w:numPr>
        <w:spacing w:line="240" w:lineRule="auto"/>
        <w:rPr>
          <w:rFonts w:ascii="Times New Roman" w:eastAsia="Times New Roman" w:hAnsi="Times New Roman" w:cs="Times New Roman"/>
          <w:b/>
          <w:bCs/>
          <w:sz w:val="24"/>
          <w:szCs w:val="24"/>
          <w:lang w:eastAsia="en-US"/>
        </w:rPr>
      </w:pPr>
      <w:r w:rsidRPr="005959DA">
        <w:rPr>
          <w:rFonts w:ascii="Times New Roman" w:eastAsia="Times New Roman" w:hAnsi="Times New Roman" w:cs="Times New Roman"/>
          <w:b/>
          <w:bCs/>
          <w:sz w:val="24"/>
          <w:szCs w:val="24"/>
          <w:lang w:eastAsia="en-US"/>
        </w:rPr>
        <w:t>Paslaugos turi būti teikiam</w:t>
      </w:r>
      <w:r w:rsidR="0011328B">
        <w:rPr>
          <w:rFonts w:ascii="Times New Roman" w:eastAsia="Times New Roman" w:hAnsi="Times New Roman" w:cs="Times New Roman"/>
          <w:b/>
          <w:bCs/>
          <w:sz w:val="24"/>
          <w:szCs w:val="24"/>
          <w:lang w:eastAsia="en-US"/>
        </w:rPr>
        <w:t>o</w:t>
      </w:r>
      <w:r w:rsidRPr="005959DA">
        <w:rPr>
          <w:rFonts w:ascii="Times New Roman" w:eastAsia="Times New Roman" w:hAnsi="Times New Roman" w:cs="Times New Roman"/>
          <w:b/>
          <w:bCs/>
          <w:sz w:val="24"/>
          <w:szCs w:val="24"/>
          <w:lang w:eastAsia="en-US"/>
        </w:rPr>
        <w:t xml:space="preserve">s tik Lietuvoje. </w:t>
      </w:r>
    </w:p>
    <w:p w14:paraId="0F70A58F" w14:textId="77777777" w:rsidR="00C80D15" w:rsidRPr="000566F9" w:rsidRDefault="00C80D15" w:rsidP="00C80D15">
      <w:pPr>
        <w:widowControl w:val="0"/>
        <w:spacing w:after="20" w:line="240" w:lineRule="auto"/>
        <w:rPr>
          <w:rFonts w:ascii="Times New Roman" w:eastAsia="Times New Roman" w:hAnsi="Times New Roman" w:cs="Times New Roman"/>
          <w:sz w:val="24"/>
          <w:szCs w:val="24"/>
          <w:lang w:eastAsia="en-US"/>
        </w:rPr>
      </w:pPr>
    </w:p>
    <w:p w14:paraId="6F8C06F5" w14:textId="77777777" w:rsidR="00C80D15" w:rsidRPr="000566F9" w:rsidRDefault="00C80D15" w:rsidP="00C80D15">
      <w:pPr>
        <w:keepNext/>
        <w:numPr>
          <w:ilvl w:val="0"/>
          <w:numId w:val="2"/>
        </w:numPr>
        <w:spacing w:line="240" w:lineRule="auto"/>
        <w:ind w:left="0" w:firstLine="0"/>
        <w:outlineLvl w:val="1"/>
        <w:rPr>
          <w:rFonts w:ascii="Times New Roman" w:eastAsia="Times New Roman" w:hAnsi="Times New Roman" w:cs="Times New Roman"/>
          <w:b/>
          <w:bCs/>
          <w:sz w:val="24"/>
          <w:szCs w:val="24"/>
          <w:lang w:eastAsia="en-US"/>
        </w:rPr>
      </w:pPr>
      <w:bookmarkStart w:id="1" w:name="_Toc183077314"/>
      <w:r w:rsidRPr="000566F9">
        <w:rPr>
          <w:rFonts w:ascii="Times New Roman" w:eastAsia="Times New Roman" w:hAnsi="Times New Roman" w:cs="Times New Roman"/>
          <w:b/>
          <w:bCs/>
          <w:sz w:val="24"/>
          <w:szCs w:val="24"/>
          <w:lang w:eastAsia="en-US"/>
        </w:rPr>
        <w:t>Kitos sąlygos</w:t>
      </w:r>
      <w:bookmarkEnd w:id="1"/>
    </w:p>
    <w:p w14:paraId="69F3E50E" w14:textId="77777777" w:rsidR="00C80D15" w:rsidRDefault="00C80D15" w:rsidP="00C80D15">
      <w:pPr>
        <w:autoSpaceDE w:val="0"/>
        <w:autoSpaceDN w:val="0"/>
        <w:adjustRightInd w:val="0"/>
        <w:spacing w:line="240" w:lineRule="auto"/>
        <w:rPr>
          <w:rFonts w:ascii="Times New Roman" w:eastAsia="Times New Roman" w:hAnsi="Times New Roman" w:cs="Times New Roman"/>
          <w:sz w:val="24"/>
          <w:szCs w:val="24"/>
          <w:lang w:eastAsia="en-US"/>
        </w:rPr>
      </w:pPr>
      <w:r w:rsidRPr="000566F9">
        <w:rPr>
          <w:rFonts w:ascii="Times New Roman" w:eastAsia="Times New Roman" w:hAnsi="Times New Roman" w:cs="Times New Roman"/>
          <w:sz w:val="24"/>
          <w:szCs w:val="24"/>
          <w:lang w:eastAsia="en-US"/>
        </w:rPr>
        <w:t>3.1 Perkančioji organizacija tame pačiame duomenų centre (tas pats adresas) talpins tik vieną įrangos komplektą, todėl negali būti siūlomi duomenų centrai, kuriuose jau yra patalpinti įrangos talpinimo komplektai</w:t>
      </w:r>
      <w:r w:rsidRPr="002637B4">
        <w:rPr>
          <w:rFonts w:ascii="Times New Roman" w:eastAsia="Times New Roman" w:hAnsi="Times New Roman" w:cs="Times New Roman"/>
          <w:sz w:val="24"/>
          <w:szCs w:val="24"/>
          <w:lang w:eastAsia="en-US"/>
        </w:rPr>
        <w:t xml:space="preserve">: </w:t>
      </w:r>
    </w:p>
    <w:p w14:paraId="4CA73442"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Marių g. 6, </w:t>
      </w:r>
      <w:proofErr w:type="spellStart"/>
      <w:r w:rsidRPr="00BB6D90">
        <w:rPr>
          <w:rFonts w:ascii="Times New Roman" w:eastAsia="Times New Roman" w:hAnsi="Times New Roman" w:cs="Times New Roman"/>
          <w:b/>
          <w:sz w:val="24"/>
          <w:szCs w:val="24"/>
          <w:lang w:eastAsia="en-US"/>
        </w:rPr>
        <w:t>Maisiejūnai</w:t>
      </w:r>
      <w:proofErr w:type="spellEnd"/>
      <w:r w:rsidRPr="00BB6D90">
        <w:rPr>
          <w:rFonts w:ascii="Times New Roman" w:eastAsia="Times New Roman" w:hAnsi="Times New Roman" w:cs="Times New Roman"/>
          <w:b/>
          <w:sz w:val="24"/>
          <w:szCs w:val="24"/>
          <w:lang w:eastAsia="en-US"/>
        </w:rPr>
        <w:t xml:space="preserve">, Kruonio sen., Kaišiadorių raj.; </w:t>
      </w:r>
    </w:p>
    <w:p w14:paraId="458CB094"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 xml:space="preserve">A. Juozapavičiaus g. 13, Vilnius; </w:t>
      </w:r>
    </w:p>
    <w:p w14:paraId="415EE71F"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Žirmūnų g. 141 Vilnius; </w:t>
      </w:r>
    </w:p>
    <w:p w14:paraId="70D5636E"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Parko g. 16 Vilnius</w:t>
      </w:r>
      <w:r w:rsidRPr="00BB6D90">
        <w:rPr>
          <w:rFonts w:ascii="Times New Roman" w:hAnsi="Times New Roman" w:cs="Times New Roman"/>
          <w:b/>
        </w:rPr>
        <w:t xml:space="preserve">; </w:t>
      </w:r>
    </w:p>
    <w:p w14:paraId="455464A1" w14:textId="77777777" w:rsidR="00C80D15" w:rsidRPr="00BB6D90" w:rsidRDefault="00C80D1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lang w:val="en-US"/>
        </w:rPr>
        <w:t xml:space="preserve">J. </w:t>
      </w:r>
      <w:proofErr w:type="spellStart"/>
      <w:r w:rsidRPr="00BB6D90">
        <w:rPr>
          <w:rFonts w:ascii="Times New Roman" w:hAnsi="Times New Roman" w:cs="Times New Roman"/>
          <w:b/>
          <w:sz w:val="24"/>
          <w:szCs w:val="24"/>
          <w:lang w:val="en-US"/>
        </w:rPr>
        <w:t>Tiškevičiaus</w:t>
      </w:r>
      <w:proofErr w:type="spellEnd"/>
      <w:r w:rsidRPr="00BB6D90">
        <w:rPr>
          <w:rFonts w:ascii="Times New Roman" w:hAnsi="Times New Roman" w:cs="Times New Roman"/>
          <w:b/>
          <w:sz w:val="24"/>
          <w:szCs w:val="24"/>
          <w:lang w:val="en-US"/>
        </w:rPr>
        <w:t xml:space="preserve"> g. 72, </w:t>
      </w:r>
      <w:proofErr w:type="gramStart"/>
      <w:r w:rsidRPr="00BB6D90">
        <w:rPr>
          <w:rFonts w:ascii="Times New Roman" w:hAnsi="Times New Roman" w:cs="Times New Roman"/>
          <w:b/>
          <w:sz w:val="24"/>
          <w:szCs w:val="24"/>
          <w:lang w:val="en-US"/>
        </w:rPr>
        <w:t>Vilnius;</w:t>
      </w:r>
      <w:proofErr w:type="gramEnd"/>
      <w:r w:rsidRPr="00BB6D90">
        <w:rPr>
          <w:rFonts w:ascii="Times New Roman" w:hAnsi="Times New Roman" w:cs="Times New Roman"/>
          <w:b/>
          <w:sz w:val="24"/>
          <w:szCs w:val="24"/>
          <w:lang w:val="en-US"/>
        </w:rPr>
        <w:t xml:space="preserve"> </w:t>
      </w:r>
    </w:p>
    <w:p w14:paraId="010465B0" w14:textId="0F9F28CD" w:rsidR="00DB0065" w:rsidRPr="00BB6D90" w:rsidRDefault="00DB0065"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 xml:space="preserve">Kauno DC, </w:t>
      </w:r>
      <w:proofErr w:type="spellStart"/>
      <w:r w:rsidRPr="00BB6D90">
        <w:rPr>
          <w:rFonts w:ascii="Times New Roman" w:hAnsi="Times New Roman" w:cs="Times New Roman"/>
          <w:b/>
          <w:sz w:val="24"/>
          <w:szCs w:val="24"/>
        </w:rPr>
        <w:t>Biruliškės</w:t>
      </w:r>
      <w:proofErr w:type="spellEnd"/>
    </w:p>
    <w:p w14:paraId="0F900C0A" w14:textId="050A8A33" w:rsidR="0022514B" w:rsidRPr="00BB6D90" w:rsidRDefault="0023125C"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hAnsi="Times New Roman" w:cs="Times New Roman"/>
          <w:b/>
          <w:sz w:val="24"/>
          <w:szCs w:val="24"/>
        </w:rPr>
        <w:t>Savanorių pr. 135, Kaunas</w:t>
      </w:r>
    </w:p>
    <w:p w14:paraId="1C9C8E37" w14:textId="2B94B217" w:rsidR="0022514B" w:rsidRPr="00BB6D90" w:rsidRDefault="0022514B" w:rsidP="00A81E66">
      <w:pPr>
        <w:pStyle w:val="ListParagraph"/>
        <w:numPr>
          <w:ilvl w:val="0"/>
          <w:numId w:val="4"/>
        </w:numPr>
        <w:autoSpaceDE w:val="0"/>
        <w:autoSpaceDN w:val="0"/>
        <w:adjustRightInd w:val="0"/>
        <w:spacing w:line="240" w:lineRule="auto"/>
        <w:rPr>
          <w:rFonts w:ascii="Times New Roman" w:eastAsia="Times New Roman" w:hAnsi="Times New Roman" w:cs="Times New Roman"/>
          <w:b/>
          <w:sz w:val="24"/>
          <w:szCs w:val="24"/>
          <w:lang w:eastAsia="en-US"/>
        </w:rPr>
      </w:pPr>
      <w:r w:rsidRPr="00BB6D90">
        <w:rPr>
          <w:rFonts w:ascii="Times New Roman" w:eastAsia="Times New Roman" w:hAnsi="Times New Roman" w:cs="Times New Roman"/>
          <w:b/>
          <w:sz w:val="24"/>
          <w:szCs w:val="24"/>
          <w:lang w:eastAsia="en-US"/>
        </w:rPr>
        <w:t>T. Ševčenkos g. 16J, Vilnius</w:t>
      </w:r>
    </w:p>
    <w:sectPr w:rsidR="0022514B" w:rsidRPr="00BB6D90" w:rsidSect="00C80D15">
      <w:headerReference w:type="default" r:id="rId7"/>
      <w:footerReference w:type="default" r:id="rId8"/>
      <w:headerReference w:type="first" r:id="rId9"/>
      <w:footerReference w:type="first" r:id="rId10"/>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8CA10" w14:textId="77777777" w:rsidR="00823F5D" w:rsidRDefault="00823F5D">
      <w:pPr>
        <w:spacing w:line="240" w:lineRule="auto"/>
      </w:pPr>
      <w:r>
        <w:separator/>
      </w:r>
    </w:p>
  </w:endnote>
  <w:endnote w:type="continuationSeparator" w:id="0">
    <w:p w14:paraId="2ECE170A" w14:textId="77777777" w:rsidR="00823F5D" w:rsidRDefault="00823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019B4AED" w14:textId="77777777" w:rsidTr="0B831528">
      <w:tc>
        <w:tcPr>
          <w:tcW w:w="3600" w:type="dxa"/>
        </w:tcPr>
        <w:p w14:paraId="1C45549B" w14:textId="77777777" w:rsidR="000B2646" w:rsidRDefault="000B2646" w:rsidP="0B831528">
          <w:pPr>
            <w:pStyle w:val="Header"/>
            <w:ind w:left="-115"/>
            <w:jc w:val="left"/>
          </w:pPr>
        </w:p>
      </w:tc>
      <w:tc>
        <w:tcPr>
          <w:tcW w:w="3600" w:type="dxa"/>
        </w:tcPr>
        <w:p w14:paraId="2ACB8E69" w14:textId="77777777" w:rsidR="000B2646" w:rsidRDefault="000B2646" w:rsidP="0B831528">
          <w:pPr>
            <w:pStyle w:val="Header"/>
            <w:jc w:val="center"/>
          </w:pPr>
        </w:p>
      </w:tc>
      <w:tc>
        <w:tcPr>
          <w:tcW w:w="3600" w:type="dxa"/>
        </w:tcPr>
        <w:p w14:paraId="5E230C4A" w14:textId="77777777" w:rsidR="000B2646" w:rsidRDefault="000B2646" w:rsidP="0B831528">
          <w:pPr>
            <w:pStyle w:val="Header"/>
            <w:ind w:right="-115"/>
            <w:jc w:val="right"/>
          </w:pPr>
        </w:p>
      </w:tc>
    </w:tr>
  </w:tbl>
  <w:p w14:paraId="3D9629FC" w14:textId="77777777" w:rsidR="000B2646" w:rsidRDefault="000B26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092B8E50" w14:textId="77777777" w:rsidTr="0B831528">
      <w:tc>
        <w:tcPr>
          <w:tcW w:w="3600" w:type="dxa"/>
        </w:tcPr>
        <w:p w14:paraId="23B6DBCB" w14:textId="77777777" w:rsidR="000B2646" w:rsidRDefault="000B2646" w:rsidP="0B831528">
          <w:pPr>
            <w:pStyle w:val="Header"/>
            <w:ind w:left="-115"/>
            <w:jc w:val="left"/>
          </w:pPr>
        </w:p>
      </w:tc>
      <w:tc>
        <w:tcPr>
          <w:tcW w:w="3600" w:type="dxa"/>
        </w:tcPr>
        <w:p w14:paraId="391AC1A1" w14:textId="77777777" w:rsidR="000B2646" w:rsidRDefault="000B2646" w:rsidP="0B831528">
          <w:pPr>
            <w:pStyle w:val="Header"/>
            <w:jc w:val="center"/>
          </w:pPr>
        </w:p>
      </w:tc>
      <w:tc>
        <w:tcPr>
          <w:tcW w:w="3600" w:type="dxa"/>
        </w:tcPr>
        <w:p w14:paraId="528310E2" w14:textId="77777777" w:rsidR="000B2646" w:rsidRDefault="000B2646" w:rsidP="0B831528">
          <w:pPr>
            <w:pStyle w:val="Header"/>
            <w:ind w:right="-115"/>
            <w:jc w:val="right"/>
          </w:pPr>
        </w:p>
      </w:tc>
    </w:tr>
  </w:tbl>
  <w:p w14:paraId="66FF4F3A" w14:textId="77777777" w:rsidR="000B2646" w:rsidRDefault="000B26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77215" w14:textId="77777777" w:rsidR="00823F5D" w:rsidRDefault="00823F5D">
      <w:pPr>
        <w:spacing w:line="240" w:lineRule="auto"/>
      </w:pPr>
      <w:r>
        <w:separator/>
      </w:r>
    </w:p>
  </w:footnote>
  <w:footnote w:type="continuationSeparator" w:id="0">
    <w:p w14:paraId="1D231BA7" w14:textId="77777777" w:rsidR="00823F5D" w:rsidRDefault="00823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4B259BEF" w14:textId="77777777" w:rsidR="000B26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C9D0" w14:textId="77777777" w:rsidR="000B26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59D"/>
    <w:multiLevelType w:val="hybridMultilevel"/>
    <w:tmpl w:val="5868E5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1983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5631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983138">
    <w:abstractNumId w:val="2"/>
  </w:num>
  <w:num w:numId="4" w16cid:durableId="154259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5"/>
    <w:rsid w:val="00060EAF"/>
    <w:rsid w:val="000B2646"/>
    <w:rsid w:val="000E480E"/>
    <w:rsid w:val="0011328B"/>
    <w:rsid w:val="00161881"/>
    <w:rsid w:val="0022514B"/>
    <w:rsid w:val="0023125C"/>
    <w:rsid w:val="003D42DF"/>
    <w:rsid w:val="0042171C"/>
    <w:rsid w:val="00513837"/>
    <w:rsid w:val="00535021"/>
    <w:rsid w:val="00614A53"/>
    <w:rsid w:val="0067422B"/>
    <w:rsid w:val="007F75CD"/>
    <w:rsid w:val="00823F5D"/>
    <w:rsid w:val="0084395E"/>
    <w:rsid w:val="009835E7"/>
    <w:rsid w:val="00A81E66"/>
    <w:rsid w:val="00A82EAD"/>
    <w:rsid w:val="00BB6D90"/>
    <w:rsid w:val="00C80D15"/>
    <w:rsid w:val="00CB0AF4"/>
    <w:rsid w:val="00CF7B29"/>
    <w:rsid w:val="00DB0065"/>
    <w:rsid w:val="00EA78CA"/>
    <w:rsid w:val="00FA4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13E01038"/>
  <w15:chartTrackingRefBased/>
  <w15:docId w15:val="{92862319-8BBE-0041-B7E2-D32AA3D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15"/>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80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D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D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D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D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C80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D15"/>
    <w:rPr>
      <w:rFonts w:eastAsiaTheme="majorEastAsia" w:cstheme="majorBidi"/>
      <w:color w:val="272727" w:themeColor="text1" w:themeTint="D8"/>
    </w:rPr>
  </w:style>
  <w:style w:type="paragraph" w:styleId="Title">
    <w:name w:val="Title"/>
    <w:basedOn w:val="Normal"/>
    <w:next w:val="Normal"/>
    <w:link w:val="TitleChar"/>
    <w:uiPriority w:val="10"/>
    <w:qFormat/>
    <w:rsid w:val="00C80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D15"/>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D15"/>
    <w:pPr>
      <w:spacing w:before="160"/>
      <w:jc w:val="center"/>
    </w:pPr>
    <w:rPr>
      <w:i/>
      <w:iCs/>
      <w:color w:val="404040" w:themeColor="text1" w:themeTint="BF"/>
    </w:rPr>
  </w:style>
  <w:style w:type="character" w:customStyle="1" w:styleId="QuoteChar">
    <w:name w:val="Quote Char"/>
    <w:basedOn w:val="DefaultParagraphFont"/>
    <w:link w:val="Quote"/>
    <w:uiPriority w:val="29"/>
    <w:rsid w:val="00C80D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80D15"/>
    <w:pPr>
      <w:ind w:left="720"/>
      <w:contextualSpacing/>
    </w:pPr>
  </w:style>
  <w:style w:type="character" w:styleId="IntenseEmphasis">
    <w:name w:val="Intense Emphasis"/>
    <w:basedOn w:val="DefaultParagraphFont"/>
    <w:uiPriority w:val="21"/>
    <w:qFormat/>
    <w:rsid w:val="00C80D15"/>
    <w:rPr>
      <w:i/>
      <w:iCs/>
      <w:color w:val="0F4761" w:themeColor="accent1" w:themeShade="BF"/>
    </w:rPr>
  </w:style>
  <w:style w:type="paragraph" w:styleId="IntenseQuote">
    <w:name w:val="Intense Quote"/>
    <w:basedOn w:val="Normal"/>
    <w:next w:val="Normal"/>
    <w:link w:val="IntenseQuoteChar"/>
    <w:uiPriority w:val="30"/>
    <w:qFormat/>
    <w:rsid w:val="00C80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D15"/>
    <w:rPr>
      <w:i/>
      <w:iCs/>
      <w:color w:val="0F4761" w:themeColor="accent1" w:themeShade="BF"/>
    </w:rPr>
  </w:style>
  <w:style w:type="character" w:styleId="IntenseReference">
    <w:name w:val="Intense Reference"/>
    <w:basedOn w:val="DefaultParagraphFont"/>
    <w:uiPriority w:val="32"/>
    <w:qFormat/>
    <w:rsid w:val="00C80D15"/>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80D15"/>
  </w:style>
  <w:style w:type="paragraph" w:styleId="Header">
    <w:name w:val="header"/>
    <w:basedOn w:val="Normal"/>
    <w:link w:val="HeaderChar"/>
    <w:uiPriority w:val="99"/>
    <w:unhideWhenUsed/>
    <w:rsid w:val="00C80D15"/>
    <w:pPr>
      <w:tabs>
        <w:tab w:val="center" w:pos="4513"/>
        <w:tab w:val="right" w:pos="9026"/>
      </w:tabs>
    </w:pPr>
  </w:style>
  <w:style w:type="character" w:customStyle="1" w:styleId="HeaderChar">
    <w:name w:val="Header Char"/>
    <w:basedOn w:val="DefaultParagraphFont"/>
    <w:link w:val="Header"/>
    <w:uiPriority w:val="99"/>
    <w:rsid w:val="00C80D15"/>
    <w:rPr>
      <w:rFonts w:eastAsiaTheme="minorEastAsia"/>
      <w:kern w:val="0"/>
      <w:sz w:val="21"/>
      <w:szCs w:val="21"/>
      <w:lang w:val="lt-LT" w:eastAsia="lt-LT"/>
      <w14:ligatures w14:val="none"/>
    </w:rPr>
  </w:style>
  <w:style w:type="paragraph" w:styleId="Footer">
    <w:name w:val="footer"/>
    <w:basedOn w:val="Normal"/>
    <w:link w:val="FooterChar"/>
    <w:unhideWhenUsed/>
    <w:rsid w:val="00C80D15"/>
    <w:pPr>
      <w:tabs>
        <w:tab w:val="center" w:pos="4513"/>
        <w:tab w:val="right" w:pos="9026"/>
      </w:tabs>
    </w:pPr>
  </w:style>
  <w:style w:type="character" w:customStyle="1" w:styleId="FooterChar">
    <w:name w:val="Footer Char"/>
    <w:basedOn w:val="DefaultParagraphFont"/>
    <w:link w:val="Footer"/>
    <w:rsid w:val="00C80D15"/>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9</cp:revision>
  <dcterms:created xsi:type="dcterms:W3CDTF">2024-11-21T08:34:00Z</dcterms:created>
  <dcterms:modified xsi:type="dcterms:W3CDTF">2024-12-16T13:17:00Z</dcterms:modified>
</cp:coreProperties>
</file>