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DFEA4" w14:textId="77777777" w:rsidR="001E32E2" w:rsidRPr="002A7EBF" w:rsidRDefault="001E32E2" w:rsidP="001E32E2">
      <w:pPr>
        <w:jc w:val="center"/>
        <w:rPr>
          <w:rFonts w:ascii="Times New Roman" w:hAnsi="Times New Roman" w:cs="Times New Roman"/>
          <w:b/>
          <w:caps/>
          <w:sz w:val="28"/>
          <w:szCs w:val="28"/>
          <w:lang w:val="lt-LT"/>
        </w:rPr>
      </w:pPr>
      <w:r w:rsidRPr="002A7EBF">
        <w:rPr>
          <w:rFonts w:ascii="Times New Roman" w:hAnsi="Times New Roman" w:cs="Times New Roman"/>
          <w:b/>
          <w:caps/>
          <w:sz w:val="28"/>
          <w:szCs w:val="28"/>
          <w:lang w:val="lt-LT"/>
        </w:rPr>
        <w:t>prekių techninė specifikacija</w:t>
      </w:r>
    </w:p>
    <w:p w14:paraId="2E639F19" w14:textId="77777777" w:rsidR="001E32E2" w:rsidRPr="002A7EBF" w:rsidRDefault="001E32E2" w:rsidP="001E32E2">
      <w:pPr>
        <w:pStyle w:val="NormalWeb"/>
        <w:spacing w:before="0" w:beforeAutospacing="0" w:after="0" w:afterAutospacing="0"/>
        <w:jc w:val="both"/>
        <w:rPr>
          <w:b/>
          <w:bCs/>
          <w:color w:val="000000"/>
          <w:sz w:val="27"/>
          <w:szCs w:val="27"/>
        </w:rPr>
      </w:pPr>
      <w:r w:rsidRPr="002A7EBF">
        <w:rPr>
          <w:b/>
          <w:bCs/>
          <w:color w:val="000000"/>
          <w:sz w:val="27"/>
          <w:szCs w:val="27"/>
        </w:rPr>
        <w:t>Bendrieji reikalavimai:</w:t>
      </w:r>
    </w:p>
    <w:p w14:paraId="3EDB5806" w14:textId="77777777" w:rsidR="001E32E2" w:rsidRPr="002A7EBF" w:rsidRDefault="001E32E2" w:rsidP="001E32E2">
      <w:pPr>
        <w:pStyle w:val="NormalWeb"/>
        <w:spacing w:before="0" w:beforeAutospacing="0" w:after="0" w:afterAutospacing="0"/>
        <w:jc w:val="both"/>
        <w:rPr>
          <w:color w:val="000000"/>
          <w:sz w:val="27"/>
          <w:szCs w:val="27"/>
        </w:rPr>
      </w:pPr>
      <w:r w:rsidRPr="002A7EBF">
        <w:rPr>
          <w:color w:val="000000"/>
          <w:sz w:val="27"/>
          <w:szCs w:val="27"/>
        </w:rPr>
        <w:t>1. Įranga turi būti pristatyta tiekėjo transportu į Kauno technologijos universiteto patalpas, Radvilėnų pl. 19 C korpusas, 433 laboratorija, Kaunas arba į kitą atsakingo už sutarties vykdymą KTU darbuotojo nurodytą KTU padalinį Kaune.</w:t>
      </w:r>
    </w:p>
    <w:p w14:paraId="7FCCC521" w14:textId="77777777" w:rsidR="001E32E2" w:rsidRPr="002A7EBF" w:rsidRDefault="001E32E2" w:rsidP="001E32E2">
      <w:pPr>
        <w:pStyle w:val="NormalWeb"/>
        <w:spacing w:before="0" w:beforeAutospacing="0" w:after="0" w:afterAutospacing="0"/>
        <w:jc w:val="both"/>
        <w:rPr>
          <w:color w:val="000000"/>
          <w:sz w:val="27"/>
          <w:szCs w:val="27"/>
        </w:rPr>
      </w:pPr>
      <w:r w:rsidRPr="002A7EBF">
        <w:rPr>
          <w:color w:val="000000"/>
          <w:sz w:val="27"/>
          <w:szCs w:val="27"/>
        </w:rPr>
        <w:t>2. Į prekių kainą privalo būti įskaičiuotos visos išlaidos: pakavimo, pakrovimo, iškrovimo, su prekių tiekimu susijusios išlaidos, taip pat visi mokesčiai.</w:t>
      </w:r>
    </w:p>
    <w:p w14:paraId="6DB372DB" w14:textId="77777777" w:rsidR="001E32E2" w:rsidRPr="002A7EBF" w:rsidRDefault="001E32E2" w:rsidP="001E32E2">
      <w:pPr>
        <w:pStyle w:val="NormalWeb"/>
        <w:spacing w:before="0" w:beforeAutospacing="0" w:after="0" w:afterAutospacing="0"/>
        <w:jc w:val="both"/>
        <w:rPr>
          <w:color w:val="000000"/>
          <w:sz w:val="27"/>
          <w:szCs w:val="27"/>
        </w:rPr>
      </w:pPr>
      <w:r w:rsidRPr="002A7EBF">
        <w:rPr>
          <w:color w:val="000000"/>
          <w:sz w:val="27"/>
          <w:szCs w:val="27"/>
        </w:rPr>
        <w:t>3. Visa siūloma įranga turi būti nauja, tarpusavyje pilnai suderinta ir veikti kaip vieninga sistema.</w:t>
      </w:r>
    </w:p>
    <w:p w14:paraId="184A1CBE" w14:textId="77777777" w:rsidR="001E32E2" w:rsidRPr="002A7EBF" w:rsidRDefault="001E32E2" w:rsidP="001E32E2">
      <w:pPr>
        <w:pStyle w:val="NormalWeb"/>
        <w:spacing w:before="0" w:beforeAutospacing="0" w:after="0" w:afterAutospacing="0"/>
        <w:jc w:val="both"/>
        <w:rPr>
          <w:color w:val="000000"/>
          <w:sz w:val="27"/>
          <w:szCs w:val="27"/>
        </w:rPr>
      </w:pPr>
      <w:r w:rsidRPr="002A7EBF">
        <w:rPr>
          <w:color w:val="000000"/>
          <w:sz w:val="27"/>
          <w:szCs w:val="27"/>
        </w:rPr>
        <w:t>4. Techninėje specifikacijoje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p w14:paraId="6E3D6F20" w14:textId="5F93C31A" w:rsidR="001E32E2" w:rsidRPr="002A7EBF" w:rsidRDefault="001E32E2" w:rsidP="001E32E2">
      <w:pPr>
        <w:pStyle w:val="NormalWeb"/>
        <w:spacing w:before="0" w:beforeAutospacing="0" w:after="0" w:afterAutospacing="0"/>
        <w:jc w:val="both"/>
        <w:rPr>
          <w:color w:val="000000"/>
          <w:sz w:val="27"/>
          <w:szCs w:val="27"/>
        </w:rPr>
      </w:pPr>
      <w:r w:rsidRPr="002A7EBF">
        <w:rPr>
          <w:color w:val="000000"/>
          <w:sz w:val="27"/>
          <w:szCs w:val="27"/>
        </w:rPr>
        <w:t>5.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papunkčiais.</w:t>
      </w:r>
    </w:p>
    <w:p w14:paraId="0F66F942" w14:textId="77777777" w:rsidR="001E32E2" w:rsidRPr="002A7EBF" w:rsidRDefault="001E32E2" w:rsidP="00005C96">
      <w:pPr>
        <w:pStyle w:val="Default"/>
        <w:rPr>
          <w:b/>
          <w:bCs/>
        </w:rPr>
      </w:pPr>
    </w:p>
    <w:p w14:paraId="5764149B" w14:textId="157B60FA" w:rsidR="00005C96" w:rsidRPr="002A7EBF" w:rsidRDefault="00005C96" w:rsidP="00005C96">
      <w:pPr>
        <w:pStyle w:val="Default"/>
        <w:rPr>
          <w:b/>
          <w:bCs/>
        </w:rPr>
      </w:pPr>
      <w:r w:rsidRPr="002A7EBF">
        <w:rPr>
          <w:b/>
          <w:bCs/>
        </w:rPr>
        <w:t>Sistema, skirta kokybiniam ir kiekybiniam metalų ir kitų elementų nustatymui, 1 kompl.</w:t>
      </w:r>
    </w:p>
    <w:p w14:paraId="4644274D" w14:textId="1BDF10FC" w:rsidR="00CB088D" w:rsidRPr="002A7EBF" w:rsidRDefault="00005C96" w:rsidP="00005C96">
      <w:pPr>
        <w:spacing w:after="0" w:line="240" w:lineRule="auto"/>
        <w:rPr>
          <w:rFonts w:ascii="Times New Roman" w:hAnsi="Times New Roman" w:cs="Times New Roman"/>
          <w:b/>
          <w:bCs/>
          <w:i/>
          <w:iCs/>
          <w:lang w:val="lt-LT"/>
        </w:rPr>
      </w:pPr>
      <w:r w:rsidRPr="002A7EBF">
        <w:rPr>
          <w:rFonts w:ascii="Times New Roman" w:hAnsi="Times New Roman" w:cs="Times New Roman"/>
          <w:b/>
          <w:bCs/>
          <w:i/>
          <w:iCs/>
          <w:lang w:val="lt-LT"/>
        </w:rPr>
        <w:t>Pirkimo objekto rezultato apibūdinimas arba funkciniai reikalavimai (techniniai reikalavimai)</w:t>
      </w:r>
    </w:p>
    <w:p w14:paraId="579B5781" w14:textId="77777777" w:rsidR="00005C96" w:rsidRPr="002A7EBF" w:rsidRDefault="00005C96" w:rsidP="00005C96">
      <w:pPr>
        <w:spacing w:after="0" w:line="240" w:lineRule="auto"/>
        <w:rPr>
          <w:rFonts w:ascii="Times New Roman" w:hAnsi="Times New Roman" w:cs="Times New Roman"/>
          <w:b/>
          <w:bCs/>
          <w:lang w:val="lt-LT"/>
        </w:rPr>
      </w:pPr>
    </w:p>
    <w:tbl>
      <w:tblPr>
        <w:tblStyle w:val="TableGrid"/>
        <w:tblW w:w="5000" w:type="pct"/>
        <w:tblLayout w:type="fixed"/>
        <w:tblLook w:val="04A0" w:firstRow="1" w:lastRow="0" w:firstColumn="1" w:lastColumn="0" w:noHBand="0" w:noVBand="1"/>
      </w:tblPr>
      <w:tblGrid>
        <w:gridCol w:w="590"/>
        <w:gridCol w:w="1672"/>
        <w:gridCol w:w="4537"/>
        <w:gridCol w:w="2551"/>
      </w:tblGrid>
      <w:tr w:rsidR="001E32E2" w:rsidRPr="002A7EBF" w14:paraId="485E0F3D" w14:textId="28F4235F" w:rsidTr="002A7EBF">
        <w:tc>
          <w:tcPr>
            <w:tcW w:w="316" w:type="pct"/>
            <w:vAlign w:val="center"/>
          </w:tcPr>
          <w:p w14:paraId="4ACEF85C" w14:textId="77777777" w:rsidR="001E32E2" w:rsidRPr="002A7EBF" w:rsidRDefault="001E32E2" w:rsidP="001E32E2">
            <w:pPr>
              <w:rPr>
                <w:rFonts w:ascii="Times New Roman" w:hAnsi="Times New Roman" w:cs="Times New Roman"/>
                <w:b/>
                <w:bCs/>
                <w:sz w:val="20"/>
                <w:lang w:val="lt-LT"/>
              </w:rPr>
            </w:pPr>
            <w:r w:rsidRPr="002A7EBF">
              <w:rPr>
                <w:rFonts w:ascii="Times New Roman" w:hAnsi="Times New Roman" w:cs="Times New Roman"/>
                <w:b/>
                <w:bCs/>
                <w:sz w:val="20"/>
                <w:lang w:val="lt-LT"/>
              </w:rPr>
              <w:t>Eil.</w:t>
            </w:r>
          </w:p>
          <w:p w14:paraId="435312B4" w14:textId="011AB98B" w:rsidR="001E32E2" w:rsidRPr="002A7EBF" w:rsidRDefault="001E32E2" w:rsidP="001E32E2">
            <w:pPr>
              <w:pStyle w:val="ListParagraph"/>
              <w:rPr>
                <w:rFonts w:ascii="Times New Roman" w:hAnsi="Times New Roman" w:cs="Times New Roman"/>
                <w:sz w:val="20"/>
                <w:szCs w:val="20"/>
                <w:lang w:val="lt-LT"/>
              </w:rPr>
            </w:pPr>
            <w:r w:rsidRPr="002A7EBF">
              <w:rPr>
                <w:rFonts w:ascii="Times New Roman" w:hAnsi="Times New Roman" w:cs="Times New Roman"/>
                <w:b/>
                <w:bCs/>
                <w:sz w:val="20"/>
                <w:lang w:val="lt-LT"/>
              </w:rPr>
              <w:t>Nr.</w:t>
            </w:r>
          </w:p>
        </w:tc>
        <w:tc>
          <w:tcPr>
            <w:tcW w:w="894" w:type="pct"/>
            <w:vAlign w:val="center"/>
          </w:tcPr>
          <w:p w14:paraId="650150DD" w14:textId="794CADFC" w:rsidR="001E32E2" w:rsidRPr="002A7EBF" w:rsidRDefault="001E32E2" w:rsidP="001E32E2">
            <w:pPr>
              <w:rPr>
                <w:rFonts w:ascii="Times New Roman" w:eastAsia="Times New Roman" w:hAnsi="Times New Roman" w:cs="Times New Roman"/>
                <w:color w:val="000000"/>
                <w:kern w:val="0"/>
                <w:sz w:val="20"/>
                <w:szCs w:val="20"/>
                <w:lang w:val="lt-LT"/>
                <w14:ligatures w14:val="none"/>
              </w:rPr>
            </w:pPr>
            <w:r w:rsidRPr="002A7EBF">
              <w:rPr>
                <w:rFonts w:ascii="Times New Roman" w:hAnsi="Times New Roman" w:cs="Times New Roman"/>
                <w:b/>
                <w:bCs/>
                <w:sz w:val="20"/>
                <w:lang w:val="lt-LT"/>
              </w:rPr>
              <w:t>Rodiklis</w:t>
            </w:r>
          </w:p>
        </w:tc>
        <w:tc>
          <w:tcPr>
            <w:tcW w:w="2426" w:type="pct"/>
            <w:vAlign w:val="center"/>
          </w:tcPr>
          <w:p w14:paraId="7E882771" w14:textId="0DBB8800" w:rsidR="001E32E2" w:rsidRPr="002A7EBF" w:rsidRDefault="001E32E2" w:rsidP="002A7EBF">
            <w:pPr>
              <w:jc w:val="both"/>
              <w:rPr>
                <w:rFonts w:ascii="Times New Roman" w:eastAsia="Times New Roman" w:hAnsi="Times New Roman" w:cs="Times New Roman"/>
                <w:color w:val="000000"/>
                <w:kern w:val="0"/>
                <w:sz w:val="20"/>
                <w:szCs w:val="20"/>
                <w:lang w:val="lt-LT"/>
                <w14:ligatures w14:val="none"/>
              </w:rPr>
            </w:pPr>
            <w:r w:rsidRPr="002A7EBF">
              <w:rPr>
                <w:rFonts w:ascii="Times New Roman" w:hAnsi="Times New Roman" w:cs="Times New Roman"/>
                <w:b/>
                <w:bCs/>
                <w:sz w:val="20"/>
                <w:lang w:val="lt-LT"/>
              </w:rPr>
              <w:t>Minimalūs reikalavimai rodikliui</w:t>
            </w:r>
          </w:p>
        </w:tc>
        <w:tc>
          <w:tcPr>
            <w:tcW w:w="1364" w:type="pct"/>
          </w:tcPr>
          <w:p w14:paraId="38FDB779" w14:textId="6E5D12C8" w:rsidR="001E32E2" w:rsidRPr="002A7EBF" w:rsidRDefault="001E32E2" w:rsidP="001E32E2">
            <w:pPr>
              <w:rPr>
                <w:rFonts w:ascii="Times New Roman" w:eastAsia="Times New Roman" w:hAnsi="Times New Roman" w:cs="Times New Roman"/>
                <w:color w:val="000000"/>
                <w:kern w:val="0"/>
                <w:sz w:val="20"/>
                <w:szCs w:val="20"/>
                <w:lang w:val="lt-LT"/>
                <w14:ligatures w14:val="none"/>
              </w:rPr>
            </w:pPr>
            <w:r w:rsidRPr="002A7EBF">
              <w:rPr>
                <w:rFonts w:ascii="Times New Roman" w:hAnsi="Times New Roman" w:cs="Times New Roman"/>
                <w:b/>
                <w:bCs/>
                <w:color w:val="000000"/>
                <w:sz w:val="20"/>
                <w:lang w:val="lt-LT"/>
              </w:rPr>
              <w:t>Tiekėjo siūlomų prekių techninės charakteristikos (tiekėjas turi nurodyti tikslius dydžius, išmatavimus ir pan. – t. y. nepaliekant žodžių „ne mažiau“, ne daugiau“, „ne siauresnis“, „ne platesnis“ arba lygiavertis“ ,,+/-„ ar pan.)</w:t>
            </w:r>
          </w:p>
        </w:tc>
      </w:tr>
      <w:tr w:rsidR="001E32E2" w:rsidRPr="002A7EBF" w14:paraId="4BAD1923" w14:textId="78746D21" w:rsidTr="002A7EBF">
        <w:tc>
          <w:tcPr>
            <w:tcW w:w="316" w:type="pct"/>
            <w:vAlign w:val="bottom"/>
          </w:tcPr>
          <w:p w14:paraId="3CC4045B"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p>
        </w:tc>
        <w:tc>
          <w:tcPr>
            <w:tcW w:w="894" w:type="pct"/>
            <w:vAlign w:val="center"/>
          </w:tcPr>
          <w:p w14:paraId="46E7D9D2" w14:textId="77777777" w:rsidR="001E32E2" w:rsidRPr="002A7EBF" w:rsidRDefault="001E32E2" w:rsidP="00151F4D">
            <w:p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Paskirtis</w:t>
            </w:r>
          </w:p>
        </w:tc>
        <w:tc>
          <w:tcPr>
            <w:tcW w:w="2426" w:type="pct"/>
            <w:vAlign w:val="center"/>
          </w:tcPr>
          <w:p w14:paraId="479C210F" w14:textId="77777777" w:rsidR="001E32E2" w:rsidRPr="002A7EBF" w:rsidRDefault="001E32E2" w:rsidP="002A7EBF">
            <w:pPr>
              <w:jc w:val="both"/>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 xml:space="preserve">Sistema skirta kokybiniam ir kiekybiniam metalų ir kitų elementų nustatymui. Turi būti siūloma indukuotai sužadintos plazmos kvadrupolio tipo masių spektrometrinė sistema (toliau – Sistema), tinkanti atlikti metalų ir kitų elementų izotopų nustatymą </w:t>
            </w:r>
            <w:r w:rsidRPr="002A7EBF">
              <w:rPr>
                <w:rFonts w:asciiTheme="majorBidi" w:eastAsia="Times New Roman" w:hAnsiTheme="majorBidi" w:cstheme="majorBidi"/>
                <w:color w:val="000000"/>
                <w:kern w:val="0"/>
                <w:sz w:val="20"/>
                <w:szCs w:val="20"/>
                <w:lang w:val="lt-LT"/>
                <w14:ligatures w14:val="none"/>
              </w:rPr>
              <w:lastRenderedPageBreak/>
              <w:t xml:space="preserve">įvairiose maisto, gėrimų ir vandens matricose ir kitose organinės ir neorganinės kilmės objektuose. </w:t>
            </w:r>
          </w:p>
        </w:tc>
        <w:tc>
          <w:tcPr>
            <w:tcW w:w="1364" w:type="pct"/>
          </w:tcPr>
          <w:p w14:paraId="258B7277"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513E95C4" w14:textId="71B31339" w:rsidTr="002A7EBF">
        <w:tc>
          <w:tcPr>
            <w:tcW w:w="316" w:type="pct"/>
            <w:vAlign w:val="bottom"/>
          </w:tcPr>
          <w:p w14:paraId="4AAA21A4"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2</w:t>
            </w:r>
          </w:p>
        </w:tc>
        <w:tc>
          <w:tcPr>
            <w:tcW w:w="894" w:type="pct"/>
            <w:vAlign w:val="center"/>
          </w:tcPr>
          <w:p w14:paraId="7BD966D1" w14:textId="77777777" w:rsidR="001E32E2" w:rsidRPr="002A7EBF" w:rsidRDefault="001E32E2" w:rsidP="00151F4D">
            <w:pPr>
              <w:rPr>
                <w:rFonts w:asciiTheme="majorBidi" w:hAnsiTheme="majorBidi" w:cstheme="majorBidi"/>
                <w:sz w:val="20"/>
                <w:szCs w:val="20"/>
                <w:lang w:val="lt-LT"/>
              </w:rPr>
            </w:pPr>
            <w:r w:rsidRPr="002A7EBF">
              <w:rPr>
                <w:rFonts w:asciiTheme="majorBidi" w:eastAsia="Times New Roman" w:hAnsiTheme="majorBidi" w:cstheme="majorBidi"/>
                <w:bCs/>
                <w:color w:val="000000"/>
                <w:kern w:val="0"/>
                <w:sz w:val="20"/>
                <w:szCs w:val="20"/>
                <w:lang w:val="lt-LT"/>
                <w14:ligatures w14:val="none"/>
              </w:rPr>
              <w:t>Sistema komplektacija</w:t>
            </w:r>
          </w:p>
        </w:tc>
        <w:tc>
          <w:tcPr>
            <w:tcW w:w="2426" w:type="pct"/>
            <w:vAlign w:val="center"/>
          </w:tcPr>
          <w:p w14:paraId="5E4A62C0" w14:textId="77777777" w:rsidR="001E32E2" w:rsidRPr="002A7EBF" w:rsidRDefault="001E32E2" w:rsidP="002A7EBF">
            <w:pPr>
              <w:jc w:val="both"/>
              <w:rPr>
                <w:rFonts w:asciiTheme="majorBidi" w:hAnsiTheme="majorBidi" w:cstheme="majorBidi"/>
                <w:bCs/>
                <w:sz w:val="20"/>
                <w:szCs w:val="20"/>
                <w:lang w:val="lt-LT"/>
              </w:rPr>
            </w:pPr>
            <w:r w:rsidRPr="002A7EBF">
              <w:rPr>
                <w:rFonts w:asciiTheme="majorBidi" w:eastAsia="Times New Roman" w:hAnsiTheme="majorBidi" w:cstheme="majorBidi"/>
                <w:bCs/>
                <w:color w:val="000000"/>
                <w:kern w:val="0"/>
                <w:sz w:val="20"/>
                <w:szCs w:val="20"/>
                <w:lang w:val="lt-LT"/>
                <w14:ligatures w14:val="none"/>
              </w:rPr>
              <w:t>Sistema turi būti komplektuojama kartu su:</w:t>
            </w:r>
          </w:p>
          <w:p w14:paraId="66BB3F48" w14:textId="77777777" w:rsidR="001E32E2" w:rsidRPr="002A7EBF" w:rsidRDefault="001E32E2" w:rsidP="002A7EBF">
            <w:pPr>
              <w:numPr>
                <w:ilvl w:val="0"/>
                <w:numId w:val="1"/>
              </w:numPr>
              <w:jc w:val="both"/>
              <w:rPr>
                <w:rFonts w:asciiTheme="majorBidi" w:hAnsiTheme="majorBidi" w:cstheme="majorBidi"/>
                <w:bCs/>
                <w:sz w:val="20"/>
                <w:szCs w:val="20"/>
                <w:lang w:val="lt-LT"/>
              </w:rPr>
            </w:pPr>
            <w:r w:rsidRPr="002A7EBF">
              <w:rPr>
                <w:rFonts w:asciiTheme="majorBidi" w:hAnsiTheme="majorBidi" w:cstheme="majorBidi"/>
                <w:bCs/>
                <w:sz w:val="20"/>
                <w:szCs w:val="20"/>
                <w:lang w:val="lt-LT"/>
              </w:rPr>
              <w:t>RF generatoriumi ;</w:t>
            </w:r>
          </w:p>
          <w:p w14:paraId="38779DB3" w14:textId="77777777" w:rsidR="001E32E2" w:rsidRPr="002A7EBF" w:rsidRDefault="001E32E2" w:rsidP="002A7EBF">
            <w:pPr>
              <w:numPr>
                <w:ilvl w:val="0"/>
                <w:numId w:val="1"/>
              </w:numPr>
              <w:jc w:val="both"/>
              <w:rPr>
                <w:rFonts w:asciiTheme="majorBidi" w:hAnsiTheme="majorBidi" w:cstheme="majorBidi"/>
                <w:bCs/>
                <w:sz w:val="20"/>
                <w:szCs w:val="20"/>
                <w:lang w:val="lt-LT"/>
              </w:rPr>
            </w:pPr>
            <w:r w:rsidRPr="002A7EBF">
              <w:rPr>
                <w:rFonts w:asciiTheme="majorBidi" w:hAnsiTheme="majorBidi" w:cstheme="majorBidi"/>
                <w:bCs/>
                <w:sz w:val="20"/>
                <w:szCs w:val="20"/>
                <w:lang w:val="lt-LT"/>
              </w:rPr>
              <w:t>Mėginių įvedimo mazgu su automatiniu mėginių įvedimo įrenginiu;</w:t>
            </w:r>
          </w:p>
          <w:p w14:paraId="5FE9AF1F" w14:textId="77777777" w:rsidR="001E32E2" w:rsidRPr="002A7EBF" w:rsidRDefault="001E32E2" w:rsidP="002A7EBF">
            <w:pPr>
              <w:numPr>
                <w:ilvl w:val="0"/>
                <w:numId w:val="1"/>
              </w:numPr>
              <w:jc w:val="both"/>
              <w:rPr>
                <w:rFonts w:asciiTheme="majorBidi" w:hAnsiTheme="majorBidi" w:cstheme="majorBidi"/>
                <w:bCs/>
                <w:sz w:val="20"/>
                <w:szCs w:val="20"/>
                <w:lang w:val="lt-LT"/>
              </w:rPr>
            </w:pPr>
            <w:r w:rsidRPr="002A7EBF">
              <w:rPr>
                <w:rFonts w:asciiTheme="majorBidi" w:hAnsiTheme="majorBidi" w:cstheme="majorBidi"/>
                <w:bCs/>
                <w:sz w:val="20"/>
                <w:szCs w:val="20"/>
                <w:lang w:val="lt-LT"/>
              </w:rPr>
              <w:t xml:space="preserve"> Dujas taupantis deglas ;</w:t>
            </w:r>
          </w:p>
          <w:p w14:paraId="22F022F6" w14:textId="77777777" w:rsidR="001E32E2" w:rsidRPr="002A7EBF" w:rsidRDefault="001E32E2" w:rsidP="002A7EBF">
            <w:pPr>
              <w:numPr>
                <w:ilvl w:val="0"/>
                <w:numId w:val="1"/>
              </w:numPr>
              <w:jc w:val="both"/>
              <w:rPr>
                <w:rFonts w:asciiTheme="majorBidi" w:hAnsiTheme="majorBidi" w:cstheme="majorBidi"/>
                <w:bCs/>
                <w:sz w:val="20"/>
                <w:szCs w:val="20"/>
                <w:lang w:val="lt-LT"/>
              </w:rPr>
            </w:pPr>
            <w:r w:rsidRPr="002A7EBF">
              <w:rPr>
                <w:rFonts w:asciiTheme="majorBidi" w:hAnsiTheme="majorBidi" w:cstheme="majorBidi"/>
                <w:bCs/>
                <w:sz w:val="20"/>
                <w:szCs w:val="20"/>
                <w:lang w:val="lt-LT"/>
              </w:rPr>
              <w:t xml:space="preserve"> Plazminė sąsaja ;</w:t>
            </w:r>
          </w:p>
          <w:p w14:paraId="717A0404" w14:textId="77777777" w:rsidR="001E32E2" w:rsidRPr="002A7EBF" w:rsidRDefault="001E32E2" w:rsidP="002A7EBF">
            <w:pPr>
              <w:numPr>
                <w:ilvl w:val="0"/>
                <w:numId w:val="1"/>
              </w:numPr>
              <w:jc w:val="both"/>
              <w:rPr>
                <w:rFonts w:asciiTheme="majorBidi" w:hAnsiTheme="majorBidi" w:cstheme="majorBidi"/>
                <w:bCs/>
                <w:sz w:val="20"/>
                <w:szCs w:val="20"/>
                <w:lang w:val="lt-LT"/>
              </w:rPr>
            </w:pPr>
            <w:r w:rsidRPr="002A7EBF">
              <w:rPr>
                <w:rFonts w:asciiTheme="majorBidi" w:hAnsiTheme="majorBidi" w:cstheme="majorBidi"/>
                <w:bCs/>
                <w:sz w:val="20"/>
                <w:szCs w:val="20"/>
                <w:lang w:val="lt-LT"/>
              </w:rPr>
              <w:t xml:space="preserve"> kvadrupolio analizatoriumi su interferencijų šalinimo įranga ;</w:t>
            </w:r>
          </w:p>
          <w:p w14:paraId="70F906AF" w14:textId="77777777" w:rsidR="001E32E2" w:rsidRPr="002A7EBF" w:rsidRDefault="001E32E2" w:rsidP="002A7EBF">
            <w:pPr>
              <w:numPr>
                <w:ilvl w:val="0"/>
                <w:numId w:val="1"/>
              </w:numPr>
              <w:jc w:val="both"/>
              <w:rPr>
                <w:rFonts w:asciiTheme="majorBidi" w:hAnsiTheme="majorBidi" w:cstheme="majorBidi"/>
                <w:bCs/>
                <w:sz w:val="20"/>
                <w:szCs w:val="20"/>
                <w:lang w:val="lt-LT"/>
              </w:rPr>
            </w:pPr>
            <w:r w:rsidRPr="002A7EBF">
              <w:rPr>
                <w:rFonts w:asciiTheme="majorBidi" w:hAnsiTheme="majorBidi" w:cstheme="majorBidi"/>
                <w:bCs/>
                <w:sz w:val="20"/>
                <w:szCs w:val="20"/>
                <w:lang w:val="lt-LT"/>
              </w:rPr>
              <w:t xml:space="preserve"> Kompiuterinė darbo vieta su programine įranga ;</w:t>
            </w:r>
          </w:p>
          <w:p w14:paraId="1C8263E2" w14:textId="77777777" w:rsidR="001E32E2" w:rsidRPr="002A7EBF" w:rsidRDefault="001E32E2" w:rsidP="002A7EBF">
            <w:pPr>
              <w:numPr>
                <w:ilvl w:val="0"/>
                <w:numId w:val="1"/>
              </w:numPr>
              <w:jc w:val="both"/>
              <w:rPr>
                <w:rFonts w:asciiTheme="majorBidi" w:hAnsiTheme="majorBidi" w:cstheme="majorBidi"/>
                <w:bCs/>
                <w:sz w:val="20"/>
                <w:szCs w:val="20"/>
                <w:lang w:val="lt-LT"/>
              </w:rPr>
            </w:pPr>
            <w:r w:rsidRPr="002A7EBF">
              <w:rPr>
                <w:rFonts w:asciiTheme="majorBidi" w:hAnsiTheme="majorBidi" w:cstheme="majorBidi"/>
                <w:bCs/>
                <w:sz w:val="20"/>
                <w:szCs w:val="20"/>
                <w:lang w:val="lt-LT"/>
              </w:rPr>
              <w:t>Priedai ;</w:t>
            </w:r>
          </w:p>
        </w:tc>
        <w:tc>
          <w:tcPr>
            <w:tcW w:w="1364" w:type="pct"/>
          </w:tcPr>
          <w:p w14:paraId="7DF5634B" w14:textId="77777777" w:rsidR="001E32E2" w:rsidRPr="002A7EBF" w:rsidRDefault="001E32E2" w:rsidP="00151F4D">
            <w:pPr>
              <w:rPr>
                <w:rFonts w:asciiTheme="majorBidi" w:eastAsia="Times New Roman" w:hAnsiTheme="majorBidi" w:cstheme="majorBidi"/>
                <w:bCs/>
                <w:color w:val="000000"/>
                <w:kern w:val="0"/>
                <w:sz w:val="20"/>
                <w:szCs w:val="20"/>
                <w:lang w:val="lt-LT"/>
                <w14:ligatures w14:val="none"/>
              </w:rPr>
            </w:pPr>
          </w:p>
        </w:tc>
      </w:tr>
      <w:tr w:rsidR="001E32E2" w:rsidRPr="002A7EBF" w14:paraId="68696C78" w14:textId="49EF4289" w:rsidTr="002A7EBF">
        <w:tc>
          <w:tcPr>
            <w:tcW w:w="316" w:type="pct"/>
            <w:vAlign w:val="bottom"/>
          </w:tcPr>
          <w:p w14:paraId="690450AD"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3</w:t>
            </w:r>
          </w:p>
        </w:tc>
        <w:tc>
          <w:tcPr>
            <w:tcW w:w="894" w:type="pct"/>
            <w:vAlign w:val="center"/>
          </w:tcPr>
          <w:p w14:paraId="6597D9D5" w14:textId="77777777" w:rsidR="001E32E2" w:rsidRPr="002A7EBF" w:rsidRDefault="001E32E2" w:rsidP="00151F4D">
            <w:p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Galimi mėginiai</w:t>
            </w:r>
          </w:p>
        </w:tc>
        <w:tc>
          <w:tcPr>
            <w:tcW w:w="2426" w:type="pct"/>
            <w:vAlign w:val="center"/>
          </w:tcPr>
          <w:p w14:paraId="0D8CAA2E"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Su sistema turi būti galima atlikti paruoštų ir/ar mineralizuotų tirpalų pilnai automatinę kokybinę ir kiekybinę metalų ir nurodytų elementų izotopų analizę.</w:t>
            </w:r>
          </w:p>
        </w:tc>
        <w:tc>
          <w:tcPr>
            <w:tcW w:w="1364" w:type="pct"/>
          </w:tcPr>
          <w:p w14:paraId="7AD85935"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70ED85EB" w14:textId="58E3457B" w:rsidTr="002A7EBF">
        <w:tc>
          <w:tcPr>
            <w:tcW w:w="316" w:type="pct"/>
            <w:vAlign w:val="bottom"/>
          </w:tcPr>
          <w:p w14:paraId="2F73158E"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6</w:t>
            </w:r>
          </w:p>
        </w:tc>
        <w:tc>
          <w:tcPr>
            <w:tcW w:w="894" w:type="pct"/>
            <w:vAlign w:val="center"/>
          </w:tcPr>
          <w:p w14:paraId="6D0EB9E1" w14:textId="77777777" w:rsidR="001E32E2" w:rsidRPr="002A7EBF" w:rsidRDefault="001E32E2" w:rsidP="00151F4D">
            <w:pPr>
              <w:rPr>
                <w:rFonts w:asciiTheme="majorBidi" w:hAnsiTheme="majorBidi" w:cstheme="majorBidi"/>
                <w:sz w:val="20"/>
                <w:szCs w:val="20"/>
                <w:lang w:val="lt-LT"/>
              </w:rPr>
            </w:pPr>
            <w:r w:rsidRPr="002A7EBF">
              <w:rPr>
                <w:rFonts w:asciiTheme="majorBidi" w:eastAsia="Times New Roman" w:hAnsiTheme="majorBidi" w:cstheme="majorBidi"/>
                <w:b/>
                <w:bCs/>
                <w:color w:val="000000"/>
                <w:kern w:val="0"/>
                <w:sz w:val="20"/>
                <w:szCs w:val="20"/>
                <w:lang w:val="lt-LT"/>
                <w14:ligatures w14:val="none"/>
              </w:rPr>
              <w:t>RF generatorius</w:t>
            </w:r>
          </w:p>
        </w:tc>
        <w:tc>
          <w:tcPr>
            <w:tcW w:w="2426" w:type="pct"/>
            <w:vAlign w:val="center"/>
          </w:tcPr>
          <w:p w14:paraId="68FDF003"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 xml:space="preserve">Privalomas. Deglo RF ritė privalo būti chemiškai atspari, </w:t>
            </w:r>
            <w:r w:rsidRPr="002A7EBF">
              <w:rPr>
                <w:rFonts w:asciiTheme="majorBidi" w:eastAsia="Times New Roman" w:hAnsiTheme="majorBidi" w:cstheme="majorBidi"/>
                <w:kern w:val="0"/>
                <w:sz w:val="20"/>
                <w:szCs w:val="20"/>
                <w:lang w:val="lt-LT"/>
                <w14:ligatures w14:val="none"/>
              </w:rPr>
              <w:t xml:space="preserve">dengta PTFE (arba analogiškas sprendimas). </w:t>
            </w:r>
          </w:p>
        </w:tc>
        <w:tc>
          <w:tcPr>
            <w:tcW w:w="1364" w:type="pct"/>
          </w:tcPr>
          <w:p w14:paraId="21ED6A02"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3C2CD710" w14:textId="2C089EE7" w:rsidTr="002A7EBF">
        <w:tc>
          <w:tcPr>
            <w:tcW w:w="316" w:type="pct"/>
            <w:vAlign w:val="bottom"/>
          </w:tcPr>
          <w:p w14:paraId="6337789D"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7</w:t>
            </w:r>
          </w:p>
        </w:tc>
        <w:tc>
          <w:tcPr>
            <w:tcW w:w="894" w:type="pct"/>
            <w:vAlign w:val="center"/>
          </w:tcPr>
          <w:p w14:paraId="621AFCC5" w14:textId="77777777" w:rsidR="001E32E2" w:rsidRPr="002A7EBF" w:rsidRDefault="001E32E2" w:rsidP="00151F4D">
            <w:p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Generatoriaus tipas ir galia</w:t>
            </w:r>
          </w:p>
        </w:tc>
        <w:tc>
          <w:tcPr>
            <w:tcW w:w="2426" w:type="pct"/>
            <w:vAlign w:val="center"/>
          </w:tcPr>
          <w:p w14:paraId="405FF452"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Kietojo kūno tipo RF generatorius. Programiškai automatiškai valdomas,  27 MHz laisvai besikeičiančiu dažniu (free-running) generatorius, dirbantis galios intervale iki ne mažiau kaip 1600 W. Plazmos uždegimas pilnai automatinis.</w:t>
            </w:r>
          </w:p>
        </w:tc>
        <w:tc>
          <w:tcPr>
            <w:tcW w:w="1364" w:type="pct"/>
          </w:tcPr>
          <w:p w14:paraId="61C4C507"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77425E4D" w14:textId="54C797D3" w:rsidTr="002A7EBF">
        <w:tc>
          <w:tcPr>
            <w:tcW w:w="316" w:type="pct"/>
            <w:vAlign w:val="bottom"/>
          </w:tcPr>
          <w:p w14:paraId="1F436285"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8</w:t>
            </w:r>
          </w:p>
        </w:tc>
        <w:tc>
          <w:tcPr>
            <w:tcW w:w="894" w:type="pct"/>
            <w:vAlign w:val="center"/>
          </w:tcPr>
          <w:p w14:paraId="77275CC2" w14:textId="77777777" w:rsidR="001E32E2" w:rsidRPr="002A7EBF" w:rsidRDefault="001E32E2" w:rsidP="00151F4D">
            <w:p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Generatoriaus galios stabilumas</w:t>
            </w:r>
          </w:p>
        </w:tc>
        <w:tc>
          <w:tcPr>
            <w:tcW w:w="2426" w:type="pct"/>
            <w:vAlign w:val="center"/>
          </w:tcPr>
          <w:p w14:paraId="3C1E7384"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 xml:space="preserve">Reikšmė ne didesnė nei ±1.0% </w:t>
            </w:r>
          </w:p>
        </w:tc>
        <w:tc>
          <w:tcPr>
            <w:tcW w:w="1364" w:type="pct"/>
          </w:tcPr>
          <w:p w14:paraId="08186447"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792C958C" w14:textId="2ACBBD7A" w:rsidTr="002A7EBF">
        <w:tc>
          <w:tcPr>
            <w:tcW w:w="316" w:type="pct"/>
            <w:vAlign w:val="bottom"/>
          </w:tcPr>
          <w:p w14:paraId="48289786"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9</w:t>
            </w:r>
          </w:p>
        </w:tc>
        <w:tc>
          <w:tcPr>
            <w:tcW w:w="894" w:type="pct"/>
            <w:vAlign w:val="center"/>
          </w:tcPr>
          <w:p w14:paraId="5849CAB7" w14:textId="77777777" w:rsidR="001E32E2" w:rsidRPr="002A7EBF" w:rsidRDefault="001E32E2" w:rsidP="00151F4D">
            <w:pPr>
              <w:rPr>
                <w:rFonts w:asciiTheme="majorBidi" w:hAnsiTheme="majorBidi" w:cstheme="majorBidi"/>
                <w:sz w:val="20"/>
                <w:szCs w:val="20"/>
                <w:lang w:val="lt-LT"/>
              </w:rPr>
            </w:pPr>
            <w:r w:rsidRPr="002A7EBF">
              <w:rPr>
                <w:rFonts w:asciiTheme="majorBidi" w:eastAsia="Times New Roman" w:hAnsiTheme="majorBidi" w:cstheme="majorBidi"/>
                <w:b/>
                <w:bCs/>
                <w:color w:val="000000"/>
                <w:kern w:val="0"/>
                <w:sz w:val="20"/>
                <w:szCs w:val="20"/>
                <w:lang w:val="lt-LT"/>
                <w14:ligatures w14:val="none"/>
              </w:rPr>
              <w:t>Mėginių įvedimo mazgas su automatiniu mėginių įvedimo įrenginiu</w:t>
            </w:r>
          </w:p>
        </w:tc>
        <w:tc>
          <w:tcPr>
            <w:tcW w:w="2426" w:type="pct"/>
            <w:vAlign w:val="center"/>
          </w:tcPr>
          <w:p w14:paraId="21F2C2EC"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eastAsia="Times New Roman" w:hAnsiTheme="majorBidi" w:cstheme="majorBidi"/>
                <w:bCs/>
                <w:color w:val="000000"/>
                <w:kern w:val="0"/>
                <w:sz w:val="20"/>
                <w:szCs w:val="20"/>
                <w:lang w:val="lt-LT"/>
                <w14:ligatures w14:val="none"/>
              </w:rPr>
              <w:t>Privalomas.</w:t>
            </w:r>
          </w:p>
        </w:tc>
        <w:tc>
          <w:tcPr>
            <w:tcW w:w="1364" w:type="pct"/>
          </w:tcPr>
          <w:p w14:paraId="6530C84F" w14:textId="77777777" w:rsidR="001E32E2" w:rsidRPr="002A7EBF" w:rsidRDefault="001E32E2" w:rsidP="00151F4D">
            <w:pPr>
              <w:rPr>
                <w:rFonts w:asciiTheme="majorBidi" w:eastAsia="Times New Roman" w:hAnsiTheme="majorBidi" w:cstheme="majorBidi"/>
                <w:bCs/>
                <w:color w:val="000000"/>
                <w:kern w:val="0"/>
                <w:sz w:val="20"/>
                <w:szCs w:val="20"/>
                <w:lang w:val="lt-LT"/>
                <w14:ligatures w14:val="none"/>
              </w:rPr>
            </w:pPr>
          </w:p>
        </w:tc>
      </w:tr>
      <w:tr w:rsidR="001E32E2" w:rsidRPr="002A7EBF" w14:paraId="1E28C8B5" w14:textId="1B817A7C" w:rsidTr="002A7EBF">
        <w:tc>
          <w:tcPr>
            <w:tcW w:w="316" w:type="pct"/>
            <w:vAlign w:val="bottom"/>
          </w:tcPr>
          <w:p w14:paraId="3E721671"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10</w:t>
            </w:r>
          </w:p>
        </w:tc>
        <w:tc>
          <w:tcPr>
            <w:tcW w:w="894" w:type="pct"/>
            <w:vAlign w:val="center"/>
          </w:tcPr>
          <w:p w14:paraId="39D3CD2F" w14:textId="77777777" w:rsidR="001E32E2" w:rsidRPr="002A7EBF" w:rsidRDefault="001E32E2" w:rsidP="00151F4D">
            <w:p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Persitaltinė pompa</w:t>
            </w:r>
          </w:p>
        </w:tc>
        <w:tc>
          <w:tcPr>
            <w:tcW w:w="2426" w:type="pct"/>
            <w:vAlign w:val="center"/>
          </w:tcPr>
          <w:p w14:paraId="0D735FA4"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 xml:space="preserve">Ne mažiau nei keturių kanalų peristaltinė pompa valdoma programiškai. </w:t>
            </w:r>
            <w:r w:rsidRPr="002A7EBF">
              <w:rPr>
                <w:rFonts w:asciiTheme="majorBidi" w:eastAsia="Times New Roman" w:hAnsiTheme="majorBidi" w:cstheme="majorBidi"/>
                <w:kern w:val="0"/>
                <w:sz w:val="20"/>
                <w:szCs w:val="20"/>
                <w:lang w:val="lt-LT"/>
                <w14:ligatures w14:val="none"/>
              </w:rPr>
              <w:t xml:space="preserve">Pompos kanalai neturi būti naudojami nuotekoms </w:t>
            </w:r>
            <w:r w:rsidRPr="002A7EBF">
              <w:rPr>
                <w:rFonts w:asciiTheme="majorBidi" w:eastAsia="Times New Roman" w:hAnsiTheme="majorBidi" w:cstheme="majorBidi"/>
                <w:color w:val="000000"/>
                <w:kern w:val="0"/>
                <w:sz w:val="20"/>
                <w:szCs w:val="20"/>
                <w:lang w:val="lt-LT"/>
                <w14:ligatures w14:val="none"/>
              </w:rPr>
              <w:t>šalinti.</w:t>
            </w:r>
          </w:p>
        </w:tc>
        <w:tc>
          <w:tcPr>
            <w:tcW w:w="1364" w:type="pct"/>
          </w:tcPr>
          <w:p w14:paraId="51449D38"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4A5DC17C" w14:textId="505053B2" w:rsidTr="002A7EBF">
        <w:tc>
          <w:tcPr>
            <w:tcW w:w="316" w:type="pct"/>
            <w:vAlign w:val="bottom"/>
          </w:tcPr>
          <w:p w14:paraId="1DA88F17"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11</w:t>
            </w:r>
          </w:p>
        </w:tc>
        <w:tc>
          <w:tcPr>
            <w:tcW w:w="894" w:type="pct"/>
            <w:vAlign w:val="center"/>
          </w:tcPr>
          <w:p w14:paraId="668615D5" w14:textId="77777777" w:rsidR="001E32E2" w:rsidRPr="002A7EBF" w:rsidRDefault="001E32E2" w:rsidP="00151F4D">
            <w:p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Mėginių įvedimo mazgas</w:t>
            </w:r>
          </w:p>
        </w:tc>
        <w:tc>
          <w:tcPr>
            <w:tcW w:w="2426" w:type="pct"/>
            <w:vAlign w:val="center"/>
          </w:tcPr>
          <w:p w14:paraId="41007A39"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Sistemoje turi būti sumontuotas mėginių įvedimo mazgas sudarytas iš koncentrinio tipo purkštuko (arba analogiško), cikloninės išpurškimo kameros (arba analogiškos), kvarcinio deglo ir visų reikalingų jungčių.</w:t>
            </w:r>
          </w:p>
        </w:tc>
        <w:tc>
          <w:tcPr>
            <w:tcW w:w="1364" w:type="pct"/>
          </w:tcPr>
          <w:p w14:paraId="34A7B226"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0A837EDF" w14:textId="206A3785" w:rsidTr="002A7EBF">
        <w:tc>
          <w:tcPr>
            <w:tcW w:w="316" w:type="pct"/>
            <w:vAlign w:val="bottom"/>
          </w:tcPr>
          <w:p w14:paraId="09D497A7"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 xml:space="preserve">12 </w:t>
            </w:r>
          </w:p>
        </w:tc>
        <w:tc>
          <w:tcPr>
            <w:tcW w:w="894" w:type="pct"/>
            <w:vAlign w:val="center"/>
          </w:tcPr>
          <w:p w14:paraId="3BCAA0D5"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Išpurškimo kameros termostatavimas</w:t>
            </w:r>
          </w:p>
        </w:tc>
        <w:tc>
          <w:tcPr>
            <w:tcW w:w="2426" w:type="pct"/>
            <w:vAlign w:val="center"/>
          </w:tcPr>
          <w:p w14:paraId="6788E9F0" w14:textId="77777777" w:rsidR="001E32E2" w:rsidRPr="002A7EBF" w:rsidRDefault="001E32E2" w:rsidP="002A7EBF">
            <w:pPr>
              <w:jc w:val="both"/>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 xml:space="preserve">Privalomas, su termoelektrinio šaldymo funkcionalumu. Apatinė riba ne mažiau nei 10°C žemiau kambario temperatūros. </w:t>
            </w:r>
          </w:p>
        </w:tc>
        <w:tc>
          <w:tcPr>
            <w:tcW w:w="1364" w:type="pct"/>
          </w:tcPr>
          <w:p w14:paraId="25E0A962"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14AAA0D4" w14:textId="36CED3B1" w:rsidTr="002A7EBF">
        <w:tc>
          <w:tcPr>
            <w:tcW w:w="316" w:type="pct"/>
            <w:vAlign w:val="bottom"/>
          </w:tcPr>
          <w:p w14:paraId="71A6ECF4"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vAlign w:val="center"/>
          </w:tcPr>
          <w:p w14:paraId="2BDD3278"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Mėginio aerozolio skiedimo funkcija</w:t>
            </w:r>
          </w:p>
        </w:tc>
        <w:tc>
          <w:tcPr>
            <w:tcW w:w="2426" w:type="pct"/>
            <w:vAlign w:val="center"/>
          </w:tcPr>
          <w:p w14:paraId="5FE5F9BD" w14:textId="77777777" w:rsidR="001E32E2" w:rsidRPr="002A7EBF" w:rsidRDefault="001E32E2" w:rsidP="002A7EBF">
            <w:pPr>
              <w:jc w:val="both"/>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Turi būti funkcionalumas ir galimybė atlikti automatinį mėginio aerosolio skiedimą dujomis (Ar).</w:t>
            </w:r>
          </w:p>
        </w:tc>
        <w:tc>
          <w:tcPr>
            <w:tcW w:w="1364" w:type="pct"/>
          </w:tcPr>
          <w:p w14:paraId="379C04E5"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5AF515E0" w14:textId="777485A0" w:rsidTr="002A7EBF">
        <w:tc>
          <w:tcPr>
            <w:tcW w:w="316" w:type="pct"/>
            <w:vAlign w:val="bottom"/>
          </w:tcPr>
          <w:p w14:paraId="70E89E55"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tcPr>
          <w:p w14:paraId="270F215C"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Automatinis mėginių įvedimo prietaisas</w:t>
            </w:r>
          </w:p>
        </w:tc>
        <w:tc>
          <w:tcPr>
            <w:tcW w:w="2426" w:type="pct"/>
          </w:tcPr>
          <w:p w14:paraId="0A7F9147" w14:textId="77777777" w:rsidR="001E32E2" w:rsidRPr="002A7EBF" w:rsidRDefault="001E32E2" w:rsidP="002A7EBF">
            <w:pPr>
              <w:jc w:val="both"/>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Privalomas su dvigubu praplovimu ir ne mažiau kaip 60 vietų mėginių karusele. Privalomas integruotas sprendimas, kai  mėginių talpos analizės metu yra apsaugotos/uždengtos nuo galimos išorinės taršos/dulkių patekimo.</w:t>
            </w:r>
          </w:p>
        </w:tc>
        <w:tc>
          <w:tcPr>
            <w:tcW w:w="1364" w:type="pct"/>
          </w:tcPr>
          <w:p w14:paraId="4C37536B"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2FDA41BF" w14:textId="0188194D" w:rsidTr="002A7EBF">
        <w:tc>
          <w:tcPr>
            <w:tcW w:w="316" w:type="pct"/>
            <w:vAlign w:val="bottom"/>
          </w:tcPr>
          <w:p w14:paraId="07551E5A"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tcPr>
          <w:p w14:paraId="677A0C5A"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Automatizacijos darbo efektyvumas</w:t>
            </w:r>
          </w:p>
        </w:tc>
        <w:tc>
          <w:tcPr>
            <w:tcW w:w="2426" w:type="pct"/>
          </w:tcPr>
          <w:p w14:paraId="5038D899" w14:textId="77777777" w:rsidR="001E32E2" w:rsidRPr="002A7EBF" w:rsidRDefault="001E32E2" w:rsidP="002A7EBF">
            <w:pPr>
              <w:jc w:val="both"/>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 xml:space="preserve">Automatinis mėginių įvedimo prietaisas privalo gebėti pradėti sekančios analizės praplovimo žingsnį, einamos analizės metu, taip taupant laiką ir resursus. </w:t>
            </w:r>
          </w:p>
        </w:tc>
        <w:tc>
          <w:tcPr>
            <w:tcW w:w="1364" w:type="pct"/>
          </w:tcPr>
          <w:p w14:paraId="5D3F41E3"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12009E50" w14:textId="5ECF9408" w:rsidTr="002A7EBF">
        <w:tc>
          <w:tcPr>
            <w:tcW w:w="316" w:type="pct"/>
            <w:vAlign w:val="bottom"/>
          </w:tcPr>
          <w:p w14:paraId="6318FFE5"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tcPr>
          <w:p w14:paraId="511DE748"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Automatinis pernašos valdymas</w:t>
            </w:r>
          </w:p>
        </w:tc>
        <w:tc>
          <w:tcPr>
            <w:tcW w:w="2426" w:type="pct"/>
          </w:tcPr>
          <w:p w14:paraId="033E8F00" w14:textId="77777777" w:rsidR="001E32E2" w:rsidRPr="002A7EBF" w:rsidRDefault="001E32E2" w:rsidP="002A7EBF">
            <w:pPr>
              <w:jc w:val="both"/>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 xml:space="preserve">Automatinis mėginių įvedimo prietaisas privalo savarankiškai automatiškai atlikti numatytus papildomus išplėstinio praplovimo žingsnius sekoje tarp analizių po nustatytas ribas viršijančio koncentruoto mėginio. </w:t>
            </w:r>
          </w:p>
        </w:tc>
        <w:tc>
          <w:tcPr>
            <w:tcW w:w="1364" w:type="pct"/>
          </w:tcPr>
          <w:p w14:paraId="5C6ED1CB"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7E0C9782" w14:textId="22733F40" w:rsidTr="002A7EBF">
        <w:tc>
          <w:tcPr>
            <w:tcW w:w="316" w:type="pct"/>
            <w:vAlign w:val="bottom"/>
          </w:tcPr>
          <w:p w14:paraId="3CC61617"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tcPr>
          <w:p w14:paraId="164A5596"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Vidinio standarto padavimo priedas</w:t>
            </w:r>
          </w:p>
        </w:tc>
        <w:tc>
          <w:tcPr>
            <w:tcW w:w="2426" w:type="pct"/>
          </w:tcPr>
          <w:p w14:paraId="3CC21E2E" w14:textId="77777777" w:rsidR="001E32E2" w:rsidRPr="002A7EBF" w:rsidRDefault="001E32E2" w:rsidP="002A7EBF">
            <w:pPr>
              <w:jc w:val="both"/>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 xml:space="preserve">Privalomas, sistemos gamintojo dedikuotas, leidžiantis nuolatinį papildomą vidinio standarto padavimą peristaltiniu siurbliu. </w:t>
            </w:r>
          </w:p>
        </w:tc>
        <w:tc>
          <w:tcPr>
            <w:tcW w:w="1364" w:type="pct"/>
          </w:tcPr>
          <w:p w14:paraId="3A4E404F"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473C5DD2" w14:textId="6705EA2B" w:rsidTr="002A7EBF">
        <w:tc>
          <w:tcPr>
            <w:tcW w:w="316" w:type="pct"/>
            <w:vAlign w:val="bottom"/>
          </w:tcPr>
          <w:p w14:paraId="441D5D66"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tcPr>
          <w:p w14:paraId="3594DF9B" w14:textId="77777777" w:rsidR="001E32E2" w:rsidRPr="002A7EBF" w:rsidRDefault="001E32E2" w:rsidP="00151F4D">
            <w:pPr>
              <w:jc w:val="center"/>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Padavimo srauto perjungimo vožtuvas</w:t>
            </w:r>
          </w:p>
        </w:tc>
        <w:tc>
          <w:tcPr>
            <w:tcW w:w="2426" w:type="pct"/>
          </w:tcPr>
          <w:p w14:paraId="2B531713" w14:textId="77777777" w:rsidR="001E32E2" w:rsidRPr="002A7EBF" w:rsidRDefault="001E32E2" w:rsidP="002A7EBF">
            <w:pPr>
              <w:jc w:val="both"/>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 xml:space="preserve">Vožtuvas ar vožtuvų sistema turinti dvi galvas po keturis padavimo kanalus (arba analogiškas sprendimas) leidžiantis automatiškai nekeičiant talpų paduoti ne mažiau nei 5 skirtingus srautus ir jų kombinacijas. Pilnas valdymas ir programavimas iš pagrindinės programinės įrangos, parametrų nustatymas viename darbiniame metode su kitais parametrais. </w:t>
            </w:r>
          </w:p>
          <w:p w14:paraId="2DA8FE9B" w14:textId="77777777" w:rsidR="001E32E2" w:rsidRPr="002A7EBF" w:rsidRDefault="001E32E2" w:rsidP="002A7EBF">
            <w:pPr>
              <w:jc w:val="both"/>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 xml:space="preserve">Pvz. vidinis standartas gali būti automatiškai paduodamas kartu su mėginiu, optimizavimo tirpalu ir ne mažiau nei dviem praplovimo tirpalais, kai automatinio mėginių įrenginio kanalas naudojamas tik mėginių padavimui. </w:t>
            </w:r>
          </w:p>
        </w:tc>
        <w:tc>
          <w:tcPr>
            <w:tcW w:w="1364" w:type="pct"/>
          </w:tcPr>
          <w:p w14:paraId="68F55ACC"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4665D440" w14:textId="27A92285" w:rsidTr="002A7EBF">
        <w:tc>
          <w:tcPr>
            <w:tcW w:w="316" w:type="pct"/>
            <w:vAlign w:val="bottom"/>
          </w:tcPr>
          <w:p w14:paraId="71E80F23"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tcPr>
          <w:p w14:paraId="6E99A75A" w14:textId="77777777" w:rsidR="001E32E2" w:rsidRPr="002A7EBF" w:rsidRDefault="001E32E2" w:rsidP="00151F4D">
            <w:pPr>
              <w:jc w:val="center"/>
              <w:rPr>
                <w:rFonts w:asciiTheme="majorBidi" w:eastAsia="Times New Roman" w:hAnsiTheme="majorBidi" w:cstheme="majorBidi"/>
                <w:color w:val="000000"/>
                <w:kern w:val="0"/>
                <w:sz w:val="20"/>
                <w:szCs w:val="20"/>
                <w:lang w:val="lt-LT"/>
                <w14:ligatures w14:val="none"/>
              </w:rPr>
            </w:pPr>
          </w:p>
          <w:p w14:paraId="17B6086E"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 xml:space="preserve">Sistemos automatizavimas </w:t>
            </w:r>
          </w:p>
        </w:tc>
        <w:tc>
          <w:tcPr>
            <w:tcW w:w="2426" w:type="pct"/>
          </w:tcPr>
          <w:p w14:paraId="3D6E2A9E" w14:textId="77777777" w:rsidR="001E32E2" w:rsidRPr="002A7EBF" w:rsidRDefault="001E32E2" w:rsidP="002A7EBF">
            <w:pPr>
              <w:jc w:val="both"/>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 xml:space="preserve">Leidžiantis automatizuotą ICPMS sistemos įsijungimą, optimizaciją ir matavimą naudojant vidinio standarto padavimą, bei kanalų praplovimą (įskaitant ir vidinio standarto), automatinį išjungimą, kai kalibravimo, vidinio standarto ir ne mažiau nei 2 praplovimo tirpalai paduodami iš atskirų talpų nenaudojant automatinio mėginių įrenginio kanalo. </w:t>
            </w:r>
          </w:p>
        </w:tc>
        <w:tc>
          <w:tcPr>
            <w:tcW w:w="1364" w:type="pct"/>
          </w:tcPr>
          <w:p w14:paraId="1E9E1D10"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59E0CFBD" w14:textId="32CDB300" w:rsidTr="002A7EBF">
        <w:tc>
          <w:tcPr>
            <w:tcW w:w="316" w:type="pct"/>
            <w:vAlign w:val="bottom"/>
          </w:tcPr>
          <w:p w14:paraId="4B8C87D2"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vAlign w:val="center"/>
          </w:tcPr>
          <w:p w14:paraId="694364B2" w14:textId="77777777" w:rsidR="001E32E2" w:rsidRPr="002A7EBF" w:rsidRDefault="001E32E2" w:rsidP="00151F4D">
            <w:pPr>
              <w:rPr>
                <w:rFonts w:asciiTheme="majorBidi" w:eastAsia="Times New Roman" w:hAnsiTheme="majorBidi" w:cstheme="majorBidi"/>
                <w:b/>
                <w:bCs/>
                <w:color w:val="000000"/>
                <w:kern w:val="0"/>
                <w:sz w:val="20"/>
                <w:szCs w:val="20"/>
                <w:lang w:val="lt-LT"/>
                <w14:ligatures w14:val="none"/>
              </w:rPr>
            </w:pPr>
            <w:r w:rsidRPr="002A7EBF">
              <w:rPr>
                <w:rFonts w:asciiTheme="majorBidi" w:eastAsia="Times New Roman" w:hAnsiTheme="majorBidi" w:cstheme="majorBidi"/>
                <w:b/>
                <w:bCs/>
                <w:color w:val="000000"/>
                <w:kern w:val="0"/>
                <w:sz w:val="20"/>
                <w:szCs w:val="20"/>
                <w:lang w:val="lt-LT"/>
                <w14:ligatures w14:val="none"/>
              </w:rPr>
              <w:t>Dujas Taupantis deglas</w:t>
            </w:r>
          </w:p>
        </w:tc>
        <w:tc>
          <w:tcPr>
            <w:tcW w:w="2426" w:type="pct"/>
            <w:vAlign w:val="center"/>
          </w:tcPr>
          <w:p w14:paraId="597ADF99" w14:textId="77777777" w:rsidR="001E32E2" w:rsidRPr="002A7EBF" w:rsidRDefault="001E32E2" w:rsidP="002A7EBF">
            <w:pPr>
              <w:jc w:val="both"/>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 xml:space="preserve">Privalomas, kvarcinis, užtikrinantis ekonomiškai mažesnes dujų sąnaudas. </w:t>
            </w:r>
          </w:p>
        </w:tc>
        <w:tc>
          <w:tcPr>
            <w:tcW w:w="1364" w:type="pct"/>
          </w:tcPr>
          <w:p w14:paraId="1858C5B8"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6C66C011" w14:textId="20A5D898" w:rsidTr="002A7EBF">
        <w:tc>
          <w:tcPr>
            <w:tcW w:w="316" w:type="pct"/>
            <w:vAlign w:val="bottom"/>
          </w:tcPr>
          <w:p w14:paraId="208E79BA"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vAlign w:val="center"/>
          </w:tcPr>
          <w:p w14:paraId="14E095E9"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Plazmos dujų grynumas</w:t>
            </w:r>
          </w:p>
        </w:tc>
        <w:tc>
          <w:tcPr>
            <w:tcW w:w="2426" w:type="pct"/>
            <w:vAlign w:val="center"/>
          </w:tcPr>
          <w:p w14:paraId="06E3CE1C" w14:textId="77777777" w:rsidR="001E32E2" w:rsidRPr="002A7EBF" w:rsidRDefault="001E32E2" w:rsidP="002A7EBF">
            <w:pPr>
              <w:jc w:val="both"/>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 xml:space="preserve">Konstrukcija privalo leisti naudoti mažo grynumo Ar dujas, kurių grynumo reikšmė ne daugiau nei 99,99%. </w:t>
            </w:r>
          </w:p>
        </w:tc>
        <w:tc>
          <w:tcPr>
            <w:tcW w:w="1364" w:type="pct"/>
          </w:tcPr>
          <w:p w14:paraId="15731444"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42CB57E2" w14:textId="7ADD2E65" w:rsidTr="002A7EBF">
        <w:tc>
          <w:tcPr>
            <w:tcW w:w="316" w:type="pct"/>
            <w:vAlign w:val="bottom"/>
          </w:tcPr>
          <w:p w14:paraId="3CE33959"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14</w:t>
            </w:r>
          </w:p>
        </w:tc>
        <w:tc>
          <w:tcPr>
            <w:tcW w:w="894" w:type="pct"/>
            <w:vAlign w:val="center"/>
          </w:tcPr>
          <w:p w14:paraId="741BD7D5" w14:textId="77777777" w:rsidR="001E32E2" w:rsidRPr="002A7EBF" w:rsidRDefault="001E32E2" w:rsidP="00151F4D">
            <w:p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Deglo pozicijos reguliavimas</w:t>
            </w:r>
          </w:p>
        </w:tc>
        <w:tc>
          <w:tcPr>
            <w:tcW w:w="2426" w:type="pct"/>
            <w:vAlign w:val="center"/>
          </w:tcPr>
          <w:p w14:paraId="6B33F1AD"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Privalomas automatinis X, Y, Z krypčių deglo pozicijos  reguliavimas</w:t>
            </w:r>
          </w:p>
        </w:tc>
        <w:tc>
          <w:tcPr>
            <w:tcW w:w="1364" w:type="pct"/>
          </w:tcPr>
          <w:p w14:paraId="1249D3A7"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3B7ADE41" w14:textId="354963FE" w:rsidTr="002A7EBF">
        <w:tc>
          <w:tcPr>
            <w:tcW w:w="316" w:type="pct"/>
            <w:vAlign w:val="bottom"/>
          </w:tcPr>
          <w:p w14:paraId="0DF75172"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is15</w:t>
            </w:r>
          </w:p>
        </w:tc>
        <w:tc>
          <w:tcPr>
            <w:tcW w:w="894" w:type="pct"/>
            <w:vAlign w:val="center"/>
          </w:tcPr>
          <w:p w14:paraId="63FC3BCF" w14:textId="77777777" w:rsidR="001E32E2" w:rsidRPr="002A7EBF" w:rsidRDefault="001E32E2" w:rsidP="00151F4D">
            <w:p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Dujų srautų reguliavimas</w:t>
            </w:r>
          </w:p>
        </w:tc>
        <w:tc>
          <w:tcPr>
            <w:tcW w:w="2426" w:type="pct"/>
            <w:vAlign w:val="center"/>
          </w:tcPr>
          <w:p w14:paraId="5E8F5348"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Plazmos, pagalbinės, nešančios, skiedimo bei papildomos reikalingos dujos turi būti reguliuojamos automatiškai programiškai</w:t>
            </w:r>
          </w:p>
        </w:tc>
        <w:tc>
          <w:tcPr>
            <w:tcW w:w="1364" w:type="pct"/>
          </w:tcPr>
          <w:p w14:paraId="5B8DD533"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061E9775" w14:textId="6B38DBC4" w:rsidTr="002A7EBF">
        <w:tc>
          <w:tcPr>
            <w:tcW w:w="316" w:type="pct"/>
            <w:vAlign w:val="bottom"/>
          </w:tcPr>
          <w:p w14:paraId="73AD2912"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16</w:t>
            </w:r>
          </w:p>
        </w:tc>
        <w:tc>
          <w:tcPr>
            <w:tcW w:w="894" w:type="pct"/>
            <w:vAlign w:val="center"/>
          </w:tcPr>
          <w:p w14:paraId="550D7FFD" w14:textId="77777777" w:rsidR="001E32E2" w:rsidRPr="002A7EBF" w:rsidRDefault="001E32E2" w:rsidP="00151F4D">
            <w:p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Darbinis ir ekonominis režimas</w:t>
            </w:r>
          </w:p>
        </w:tc>
        <w:tc>
          <w:tcPr>
            <w:tcW w:w="2426" w:type="pct"/>
            <w:vAlign w:val="center"/>
          </w:tcPr>
          <w:p w14:paraId="01F3EED8" w14:textId="77777777" w:rsidR="001E32E2" w:rsidRPr="002A7EBF" w:rsidRDefault="001E32E2" w:rsidP="002A7EBF">
            <w:pPr>
              <w:jc w:val="both"/>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 xml:space="preserve">Rutininių standartinių matavimų metu turi būti užtikrinimas ne didesnis nei 10 (±10 %) L/min bendras Ar dujų srautas. Privalomas ir ekonominis budėjimo su degančia plazma režimas, kurio metu turi būti sunaudojama ne daugiau nei 6 (±10 %) L/min Ar dujų. </w:t>
            </w:r>
          </w:p>
        </w:tc>
        <w:tc>
          <w:tcPr>
            <w:tcW w:w="1364" w:type="pct"/>
          </w:tcPr>
          <w:p w14:paraId="7F53F106"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1BE8E9E6" w14:textId="52527913" w:rsidTr="002A7EBF">
        <w:tc>
          <w:tcPr>
            <w:tcW w:w="316" w:type="pct"/>
            <w:vAlign w:val="bottom"/>
          </w:tcPr>
          <w:p w14:paraId="5EA525D1"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22</w:t>
            </w:r>
          </w:p>
        </w:tc>
        <w:tc>
          <w:tcPr>
            <w:tcW w:w="894" w:type="pct"/>
            <w:vAlign w:val="center"/>
          </w:tcPr>
          <w:p w14:paraId="00A8AA3F" w14:textId="77777777" w:rsidR="001E32E2" w:rsidRPr="002A7EBF" w:rsidRDefault="001E32E2" w:rsidP="00151F4D">
            <w:pPr>
              <w:rPr>
                <w:rFonts w:asciiTheme="majorBidi" w:hAnsiTheme="majorBidi" w:cstheme="majorBidi"/>
                <w:sz w:val="20"/>
                <w:szCs w:val="20"/>
                <w:lang w:val="lt-LT"/>
              </w:rPr>
            </w:pPr>
            <w:r w:rsidRPr="002A7EBF">
              <w:rPr>
                <w:rFonts w:asciiTheme="majorBidi" w:eastAsia="Times New Roman" w:hAnsiTheme="majorBidi" w:cstheme="majorBidi"/>
                <w:b/>
                <w:bCs/>
                <w:color w:val="000000"/>
                <w:kern w:val="0"/>
                <w:sz w:val="20"/>
                <w:szCs w:val="20"/>
                <w:lang w:val="lt-LT"/>
                <w14:ligatures w14:val="none"/>
              </w:rPr>
              <w:t>Plazmos sąsaja</w:t>
            </w:r>
          </w:p>
        </w:tc>
        <w:tc>
          <w:tcPr>
            <w:tcW w:w="2426" w:type="pct"/>
            <w:vAlign w:val="center"/>
          </w:tcPr>
          <w:p w14:paraId="6197E995"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 Privaloma</w:t>
            </w:r>
          </w:p>
        </w:tc>
        <w:tc>
          <w:tcPr>
            <w:tcW w:w="1364" w:type="pct"/>
          </w:tcPr>
          <w:p w14:paraId="40FBBE85"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1627B11B" w14:textId="14C8CE62" w:rsidTr="002A7EBF">
        <w:tc>
          <w:tcPr>
            <w:tcW w:w="316" w:type="pct"/>
            <w:vAlign w:val="bottom"/>
          </w:tcPr>
          <w:p w14:paraId="5161E9A8"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23</w:t>
            </w:r>
          </w:p>
        </w:tc>
        <w:tc>
          <w:tcPr>
            <w:tcW w:w="894" w:type="pct"/>
            <w:vAlign w:val="center"/>
          </w:tcPr>
          <w:p w14:paraId="344DA85A" w14:textId="77777777" w:rsidR="001E32E2" w:rsidRPr="002A7EBF" w:rsidRDefault="001E32E2" w:rsidP="00151F4D">
            <w:p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Sąsajos kūgiai ir angos</w:t>
            </w:r>
          </w:p>
        </w:tc>
        <w:tc>
          <w:tcPr>
            <w:tcW w:w="2426" w:type="pct"/>
            <w:vAlign w:val="center"/>
          </w:tcPr>
          <w:p w14:paraId="224041C4"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 xml:space="preserve">Turi būti sukomplektuoti du Ni kūgiai. Greitai ir lengvai prieinami ir nuimami. Pirminio kūgio anga ne siauresnė nei 1,1 mm. Privalo būti galimybė naudoti Pt kūgius. </w:t>
            </w:r>
          </w:p>
        </w:tc>
        <w:tc>
          <w:tcPr>
            <w:tcW w:w="1364" w:type="pct"/>
          </w:tcPr>
          <w:p w14:paraId="76A245D0"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4919B9C3" w14:textId="4A5D2FF4" w:rsidTr="002A7EBF">
        <w:tc>
          <w:tcPr>
            <w:tcW w:w="316" w:type="pct"/>
            <w:vAlign w:val="bottom"/>
          </w:tcPr>
          <w:p w14:paraId="0BC2156E"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27</w:t>
            </w:r>
          </w:p>
        </w:tc>
        <w:tc>
          <w:tcPr>
            <w:tcW w:w="894" w:type="pct"/>
            <w:vAlign w:val="center"/>
          </w:tcPr>
          <w:p w14:paraId="2FBCCE6A" w14:textId="77777777" w:rsidR="001E32E2" w:rsidRPr="002A7EBF" w:rsidRDefault="001E32E2" w:rsidP="00151F4D">
            <w:p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Sąsajos efektyvumas</w:t>
            </w:r>
          </w:p>
        </w:tc>
        <w:tc>
          <w:tcPr>
            <w:tcW w:w="2426" w:type="pct"/>
            <w:vAlign w:val="center"/>
          </w:tcPr>
          <w:p w14:paraId="79478DD9"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eastAsia="Times New Roman" w:hAnsiTheme="majorBidi" w:cstheme="majorBidi"/>
                <w:kern w:val="0"/>
                <w:sz w:val="20"/>
                <w:szCs w:val="20"/>
                <w:lang w:val="lt-LT"/>
                <w14:ligatures w14:val="none"/>
              </w:rPr>
              <w:t>Sąsaja turi leisti pasiekti žemą СеО/Се &lt;2.0% (oksidų) ir dvigubo krūvio Ce++/Ce (arba Ba++/Ba) &lt;3.0% lygį, 107Ag/109Ag &lt;0.1% RSD izotopų santykį, trumpalaikį stabilumą &lt; 3% RSD matuojant ne trumpiau nei 20 min. ir ilgalaikį stabilumą &lt; 4% RSD matuojant ne trumpiau nei 4 h.</w:t>
            </w:r>
          </w:p>
        </w:tc>
        <w:tc>
          <w:tcPr>
            <w:tcW w:w="1364" w:type="pct"/>
          </w:tcPr>
          <w:p w14:paraId="740572FD" w14:textId="77777777" w:rsidR="001E32E2" w:rsidRPr="002A7EBF" w:rsidRDefault="001E32E2" w:rsidP="00151F4D">
            <w:pPr>
              <w:rPr>
                <w:rFonts w:asciiTheme="majorBidi" w:eastAsia="Times New Roman" w:hAnsiTheme="majorBidi" w:cstheme="majorBidi"/>
                <w:kern w:val="0"/>
                <w:sz w:val="20"/>
                <w:szCs w:val="20"/>
                <w:lang w:val="lt-LT"/>
                <w14:ligatures w14:val="none"/>
              </w:rPr>
            </w:pPr>
          </w:p>
        </w:tc>
      </w:tr>
      <w:tr w:rsidR="001E32E2" w:rsidRPr="002A7EBF" w14:paraId="543C7F29" w14:textId="10193B77" w:rsidTr="002A7EBF">
        <w:tc>
          <w:tcPr>
            <w:tcW w:w="316" w:type="pct"/>
            <w:vAlign w:val="bottom"/>
          </w:tcPr>
          <w:p w14:paraId="7AF85876"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lastRenderedPageBreak/>
              <w:t>28</w:t>
            </w:r>
          </w:p>
        </w:tc>
        <w:tc>
          <w:tcPr>
            <w:tcW w:w="894" w:type="pct"/>
            <w:vAlign w:val="center"/>
          </w:tcPr>
          <w:p w14:paraId="246692EA" w14:textId="77777777" w:rsidR="001E32E2" w:rsidRPr="002A7EBF" w:rsidRDefault="001E32E2" w:rsidP="00151F4D">
            <w:pPr>
              <w:rPr>
                <w:rFonts w:asciiTheme="majorBidi" w:hAnsiTheme="majorBidi" w:cstheme="majorBidi"/>
                <w:sz w:val="20"/>
                <w:szCs w:val="20"/>
                <w:lang w:val="lt-LT"/>
              </w:rPr>
            </w:pPr>
            <w:r w:rsidRPr="002A7EBF">
              <w:rPr>
                <w:rFonts w:asciiTheme="majorBidi" w:eastAsia="Times New Roman" w:hAnsiTheme="majorBidi" w:cstheme="majorBidi"/>
                <w:b/>
                <w:bCs/>
                <w:color w:val="000000"/>
                <w:kern w:val="0"/>
                <w:sz w:val="20"/>
                <w:szCs w:val="20"/>
                <w:lang w:val="lt-LT"/>
                <w14:ligatures w14:val="none"/>
              </w:rPr>
              <w:t>Kvadrupolio analizatorius su trikdžių šalinimo įranga ir detektavimas.</w:t>
            </w:r>
          </w:p>
        </w:tc>
        <w:tc>
          <w:tcPr>
            <w:tcW w:w="2426" w:type="pct"/>
            <w:vAlign w:val="center"/>
          </w:tcPr>
          <w:p w14:paraId="0E1EF227"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 Privalomas</w:t>
            </w:r>
          </w:p>
        </w:tc>
        <w:tc>
          <w:tcPr>
            <w:tcW w:w="1364" w:type="pct"/>
          </w:tcPr>
          <w:p w14:paraId="330AF8E8"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01F09545" w14:textId="46FBAA5B" w:rsidTr="002A7EBF">
        <w:tc>
          <w:tcPr>
            <w:tcW w:w="316" w:type="pct"/>
            <w:vAlign w:val="bottom"/>
          </w:tcPr>
          <w:p w14:paraId="2FE71C31"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29</w:t>
            </w:r>
          </w:p>
        </w:tc>
        <w:tc>
          <w:tcPr>
            <w:tcW w:w="894" w:type="pct"/>
            <w:vAlign w:val="center"/>
          </w:tcPr>
          <w:p w14:paraId="5031448A" w14:textId="77777777" w:rsidR="001E32E2" w:rsidRPr="002A7EBF" w:rsidRDefault="001E32E2" w:rsidP="00151F4D">
            <w:p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Masių intervalas</w:t>
            </w:r>
          </w:p>
        </w:tc>
        <w:tc>
          <w:tcPr>
            <w:tcW w:w="2426" w:type="pct"/>
            <w:vAlign w:val="center"/>
          </w:tcPr>
          <w:p w14:paraId="0D1F3994"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turi būti ne siauresnis kaip 5 - 250 amu</w:t>
            </w:r>
          </w:p>
        </w:tc>
        <w:tc>
          <w:tcPr>
            <w:tcW w:w="1364" w:type="pct"/>
          </w:tcPr>
          <w:p w14:paraId="3FC3493D"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663915D7" w14:textId="41DD7D61" w:rsidTr="002A7EBF">
        <w:tc>
          <w:tcPr>
            <w:tcW w:w="316" w:type="pct"/>
            <w:vAlign w:val="bottom"/>
          </w:tcPr>
          <w:p w14:paraId="059B3BE1"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vAlign w:val="center"/>
          </w:tcPr>
          <w:p w14:paraId="2F54E8FB"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Rezoliucija</w:t>
            </w:r>
          </w:p>
        </w:tc>
        <w:tc>
          <w:tcPr>
            <w:tcW w:w="2426" w:type="pct"/>
            <w:vAlign w:val="center"/>
          </w:tcPr>
          <w:p w14:paraId="677A9F2B" w14:textId="77777777" w:rsidR="001E32E2" w:rsidRPr="002A7EBF" w:rsidRDefault="001E32E2" w:rsidP="002A7EBF">
            <w:pPr>
              <w:jc w:val="both"/>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 xml:space="preserve">Privaloma maksimali rezoliucija ne daugiau nei 0,3 amu.  </w:t>
            </w:r>
          </w:p>
        </w:tc>
        <w:tc>
          <w:tcPr>
            <w:tcW w:w="1364" w:type="pct"/>
          </w:tcPr>
          <w:p w14:paraId="691FD25E"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6EB74CC7" w14:textId="04D66214" w:rsidTr="002A7EBF">
        <w:tc>
          <w:tcPr>
            <w:tcW w:w="316" w:type="pct"/>
            <w:vAlign w:val="bottom"/>
          </w:tcPr>
          <w:p w14:paraId="3707B9C4"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vAlign w:val="center"/>
          </w:tcPr>
          <w:p w14:paraId="3E6E53D1"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Minimalus matavimo laikas</w:t>
            </w:r>
          </w:p>
        </w:tc>
        <w:tc>
          <w:tcPr>
            <w:tcW w:w="2426" w:type="pct"/>
            <w:vAlign w:val="center"/>
          </w:tcPr>
          <w:p w14:paraId="29925AEF" w14:textId="77777777" w:rsidR="001E32E2" w:rsidRPr="002A7EBF" w:rsidRDefault="001E32E2" w:rsidP="002A7EBF">
            <w:pPr>
              <w:jc w:val="both"/>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Ne daugiau nei 1 ms</w:t>
            </w:r>
          </w:p>
        </w:tc>
        <w:tc>
          <w:tcPr>
            <w:tcW w:w="1364" w:type="pct"/>
          </w:tcPr>
          <w:p w14:paraId="2F7D4B65"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03E9D50C" w14:textId="74C22905" w:rsidTr="002A7EBF">
        <w:tc>
          <w:tcPr>
            <w:tcW w:w="316" w:type="pct"/>
            <w:vAlign w:val="bottom"/>
          </w:tcPr>
          <w:p w14:paraId="090952DA"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30</w:t>
            </w:r>
          </w:p>
        </w:tc>
        <w:tc>
          <w:tcPr>
            <w:tcW w:w="894" w:type="pct"/>
            <w:vAlign w:val="center"/>
          </w:tcPr>
          <w:p w14:paraId="45BC1FAE" w14:textId="77777777" w:rsidR="001E32E2" w:rsidRPr="002A7EBF" w:rsidRDefault="001E32E2" w:rsidP="00151F4D">
            <w:p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Dreifas (masių stabilumas)</w:t>
            </w:r>
          </w:p>
        </w:tc>
        <w:tc>
          <w:tcPr>
            <w:tcW w:w="2426" w:type="pct"/>
            <w:vAlign w:val="center"/>
          </w:tcPr>
          <w:p w14:paraId="5D182FAD"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Masių stabilumas - dreifas ne didesnis kaip 0.03 amu per 24 h.</w:t>
            </w:r>
          </w:p>
        </w:tc>
        <w:tc>
          <w:tcPr>
            <w:tcW w:w="1364" w:type="pct"/>
          </w:tcPr>
          <w:p w14:paraId="57ACA205"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5BE0AE82" w14:textId="14D087BD" w:rsidTr="002A7EBF">
        <w:tc>
          <w:tcPr>
            <w:tcW w:w="316" w:type="pct"/>
            <w:vAlign w:val="bottom"/>
          </w:tcPr>
          <w:p w14:paraId="3C9ECEA1"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31</w:t>
            </w:r>
          </w:p>
        </w:tc>
        <w:tc>
          <w:tcPr>
            <w:tcW w:w="894" w:type="pct"/>
            <w:vAlign w:val="center"/>
          </w:tcPr>
          <w:p w14:paraId="3369C2D7" w14:textId="77777777" w:rsidR="001E32E2" w:rsidRPr="002A7EBF" w:rsidRDefault="001E32E2" w:rsidP="00151F4D">
            <w:p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Matavimo dinaminis linijiškumo diapazonas</w:t>
            </w:r>
          </w:p>
        </w:tc>
        <w:tc>
          <w:tcPr>
            <w:tcW w:w="2426" w:type="pct"/>
            <w:vAlign w:val="center"/>
          </w:tcPr>
          <w:p w14:paraId="7B648F76"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ne mažesnis nei 10 eilių</w:t>
            </w:r>
          </w:p>
        </w:tc>
        <w:tc>
          <w:tcPr>
            <w:tcW w:w="1364" w:type="pct"/>
          </w:tcPr>
          <w:p w14:paraId="1EF4230C"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4EC5D4D9" w14:textId="16F13E7B" w:rsidTr="002A7EBF">
        <w:tc>
          <w:tcPr>
            <w:tcW w:w="316" w:type="pct"/>
            <w:vAlign w:val="bottom"/>
          </w:tcPr>
          <w:p w14:paraId="559388D1"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vAlign w:val="center"/>
          </w:tcPr>
          <w:p w14:paraId="17F4A0BB"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Neutralių jonų ir fotonų atskyrimas</w:t>
            </w:r>
          </w:p>
        </w:tc>
        <w:tc>
          <w:tcPr>
            <w:tcW w:w="2426" w:type="pct"/>
            <w:vAlign w:val="center"/>
          </w:tcPr>
          <w:p w14:paraId="1EC6E181" w14:textId="77777777" w:rsidR="001E32E2" w:rsidRPr="002A7EBF" w:rsidRDefault="001E32E2" w:rsidP="002A7EBF">
            <w:pPr>
              <w:jc w:val="both"/>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Pilnam jonų atskyrimui nuo neutralių dalelių po kolizijos/reakcijos celės turi būti naudojamas pažangus jonų nukreipimo "Off-axis" mechanizmas.</w:t>
            </w:r>
          </w:p>
        </w:tc>
        <w:tc>
          <w:tcPr>
            <w:tcW w:w="1364" w:type="pct"/>
          </w:tcPr>
          <w:p w14:paraId="3FF6B439"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5C9E911B" w14:textId="766CC9BE" w:rsidTr="002A7EBF">
        <w:tc>
          <w:tcPr>
            <w:tcW w:w="316" w:type="pct"/>
            <w:vAlign w:val="bottom"/>
          </w:tcPr>
          <w:p w14:paraId="16837182"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33</w:t>
            </w:r>
          </w:p>
        </w:tc>
        <w:tc>
          <w:tcPr>
            <w:tcW w:w="894" w:type="pct"/>
            <w:vAlign w:val="center"/>
          </w:tcPr>
          <w:p w14:paraId="4BA6588D" w14:textId="77777777" w:rsidR="001E32E2" w:rsidRPr="002A7EBF" w:rsidRDefault="001E32E2" w:rsidP="00151F4D">
            <w:p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Trikdžių šalinimas</w:t>
            </w:r>
          </w:p>
        </w:tc>
        <w:tc>
          <w:tcPr>
            <w:tcW w:w="2426" w:type="pct"/>
            <w:vAlign w:val="center"/>
          </w:tcPr>
          <w:p w14:paraId="479FE846"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Privaloma oktapolinė poliatominių trikdžių šalinimo kamera leidžianti tris galimus veikimo mechanizmus – a) standartinio veikimo be dujų, b) susidūrimų kameros veikimo su KED (kinetinės energijos diskriminavimas) su He dujomis ir c) reakcinės kameros su H2 dujomis.</w:t>
            </w:r>
          </w:p>
        </w:tc>
        <w:tc>
          <w:tcPr>
            <w:tcW w:w="1364" w:type="pct"/>
          </w:tcPr>
          <w:p w14:paraId="46847276"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2E4A185E" w14:textId="6227FD32" w:rsidTr="002A7EBF">
        <w:tc>
          <w:tcPr>
            <w:tcW w:w="316" w:type="pct"/>
            <w:vAlign w:val="bottom"/>
          </w:tcPr>
          <w:p w14:paraId="4A31A42E"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34</w:t>
            </w:r>
          </w:p>
        </w:tc>
        <w:tc>
          <w:tcPr>
            <w:tcW w:w="894" w:type="pct"/>
            <w:vAlign w:val="center"/>
          </w:tcPr>
          <w:p w14:paraId="6D745DB6" w14:textId="77777777" w:rsidR="001E32E2" w:rsidRPr="002A7EBF" w:rsidRDefault="001E32E2" w:rsidP="00151F4D">
            <w:p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Matavimo režimai</w:t>
            </w:r>
          </w:p>
        </w:tc>
        <w:tc>
          <w:tcPr>
            <w:tcW w:w="2426" w:type="pct"/>
            <w:vAlign w:val="center"/>
          </w:tcPr>
          <w:p w14:paraId="243C09A1"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 xml:space="preserve">Perjungimas nuo vieno veikimo mechanizmo į kitą turi būti greitas, kad vieno matavimo metodo metu galima būtų panaudoti visus tris kameros veikimo mechanizmus – pvz.: standartinė be dujų, KED su  He dujomis ir reakcinė su H2 dujomis. </w:t>
            </w:r>
          </w:p>
        </w:tc>
        <w:tc>
          <w:tcPr>
            <w:tcW w:w="1364" w:type="pct"/>
          </w:tcPr>
          <w:p w14:paraId="33294952"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483A3645" w14:textId="51EEA6AE" w:rsidTr="002A7EBF">
        <w:tc>
          <w:tcPr>
            <w:tcW w:w="316" w:type="pct"/>
            <w:vAlign w:val="bottom"/>
          </w:tcPr>
          <w:p w14:paraId="6B958E6F"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vAlign w:val="center"/>
          </w:tcPr>
          <w:p w14:paraId="638632AE"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Susidūrimų ir reakcijos celės dujų valdymas</w:t>
            </w:r>
          </w:p>
        </w:tc>
        <w:tc>
          <w:tcPr>
            <w:tcW w:w="2426" w:type="pct"/>
            <w:vAlign w:val="center"/>
          </w:tcPr>
          <w:p w14:paraId="2E532EE1" w14:textId="77777777" w:rsidR="001E32E2" w:rsidRPr="002A7EBF" w:rsidRDefault="001E32E2" w:rsidP="002A7EBF">
            <w:pPr>
              <w:jc w:val="both"/>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 xml:space="preserve">Pilnai automatinis, valdomas programiškai, efektyvus: He ir H2 dujų pašalinimo laikas daugiau nei 1 s. </w:t>
            </w:r>
          </w:p>
        </w:tc>
        <w:tc>
          <w:tcPr>
            <w:tcW w:w="1364" w:type="pct"/>
          </w:tcPr>
          <w:p w14:paraId="4B7D3D86"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2C18B408" w14:textId="1EAE0F21" w:rsidTr="002A7EBF">
        <w:tc>
          <w:tcPr>
            <w:tcW w:w="316" w:type="pct"/>
            <w:vAlign w:val="bottom"/>
          </w:tcPr>
          <w:p w14:paraId="7C40C84F"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vAlign w:val="center"/>
          </w:tcPr>
          <w:p w14:paraId="5C517755"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Sistemos jautrumas</w:t>
            </w:r>
          </w:p>
        </w:tc>
        <w:tc>
          <w:tcPr>
            <w:tcW w:w="2426" w:type="pct"/>
            <w:vAlign w:val="center"/>
          </w:tcPr>
          <w:p w14:paraId="3C5BE2CD" w14:textId="77777777" w:rsidR="001E32E2" w:rsidRPr="002A7EBF" w:rsidRDefault="001E32E2" w:rsidP="002A7EBF">
            <w:pPr>
              <w:jc w:val="both"/>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Detekcijos riba 209Bi &lt;0,1 ppt</w:t>
            </w:r>
          </w:p>
        </w:tc>
        <w:tc>
          <w:tcPr>
            <w:tcW w:w="1364" w:type="pct"/>
          </w:tcPr>
          <w:p w14:paraId="1687297A"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5E43266E" w14:textId="5A4EE18B" w:rsidTr="002A7EBF">
        <w:tc>
          <w:tcPr>
            <w:tcW w:w="316" w:type="pct"/>
            <w:vAlign w:val="bottom"/>
          </w:tcPr>
          <w:p w14:paraId="4ABF5D6A"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37</w:t>
            </w:r>
          </w:p>
        </w:tc>
        <w:tc>
          <w:tcPr>
            <w:tcW w:w="894" w:type="pct"/>
            <w:vAlign w:val="center"/>
          </w:tcPr>
          <w:p w14:paraId="2A6F826D" w14:textId="77777777" w:rsidR="001E32E2" w:rsidRPr="002A7EBF" w:rsidRDefault="001E32E2" w:rsidP="00151F4D">
            <w:pPr>
              <w:rPr>
                <w:rFonts w:asciiTheme="majorBidi" w:hAnsiTheme="majorBidi" w:cstheme="majorBidi"/>
                <w:b/>
                <w:bCs/>
                <w:sz w:val="20"/>
                <w:szCs w:val="20"/>
                <w:lang w:val="lt-LT"/>
              </w:rPr>
            </w:pPr>
            <w:r w:rsidRPr="002A7EBF">
              <w:rPr>
                <w:rFonts w:asciiTheme="majorBidi" w:eastAsia="Times New Roman" w:hAnsiTheme="majorBidi" w:cstheme="majorBidi"/>
                <w:b/>
                <w:bCs/>
                <w:color w:val="000000"/>
                <w:kern w:val="0"/>
                <w:sz w:val="20"/>
                <w:szCs w:val="20"/>
                <w:lang w:val="lt-LT"/>
                <w14:ligatures w14:val="none"/>
              </w:rPr>
              <w:t>Kompiuterinė darbo vieta su programine įranga</w:t>
            </w:r>
          </w:p>
        </w:tc>
        <w:tc>
          <w:tcPr>
            <w:tcW w:w="2426" w:type="pct"/>
            <w:vAlign w:val="center"/>
          </w:tcPr>
          <w:p w14:paraId="12EB5E0D"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hAnsiTheme="majorBidi" w:cstheme="majorBidi"/>
                <w:sz w:val="20"/>
                <w:szCs w:val="20"/>
                <w:lang w:val="lt-LT"/>
              </w:rPr>
              <w:t xml:space="preserve">Privaloma. Pilnai suderinta su sistemos reikalavimais, ekranas ne mažiau nei 27 colių. </w:t>
            </w:r>
          </w:p>
          <w:p w14:paraId="6A83D304"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hAnsiTheme="majorBidi" w:cstheme="majorBidi"/>
                <w:sz w:val="20"/>
                <w:szCs w:val="20"/>
                <w:lang w:val="lt-LT"/>
              </w:rPr>
              <w:t xml:space="preserve">Programinė įranga skirta pilnam sistemos valdymui, duomenų rinkimui ir analizei, ataskaitų kūrimui. </w:t>
            </w:r>
          </w:p>
        </w:tc>
        <w:tc>
          <w:tcPr>
            <w:tcW w:w="1364" w:type="pct"/>
          </w:tcPr>
          <w:p w14:paraId="1F2F827E" w14:textId="77777777" w:rsidR="001E32E2" w:rsidRPr="002A7EBF" w:rsidRDefault="001E32E2" w:rsidP="00151F4D">
            <w:pPr>
              <w:rPr>
                <w:rFonts w:asciiTheme="majorBidi" w:hAnsiTheme="majorBidi" w:cstheme="majorBidi"/>
                <w:sz w:val="20"/>
                <w:szCs w:val="20"/>
                <w:lang w:val="lt-LT"/>
              </w:rPr>
            </w:pPr>
          </w:p>
        </w:tc>
      </w:tr>
      <w:tr w:rsidR="001E32E2" w:rsidRPr="002A7EBF" w14:paraId="3D593CB5" w14:textId="7CADCBF3" w:rsidTr="002A7EBF">
        <w:tc>
          <w:tcPr>
            <w:tcW w:w="316" w:type="pct"/>
            <w:vAlign w:val="bottom"/>
          </w:tcPr>
          <w:p w14:paraId="51262BF7"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vAlign w:val="center"/>
          </w:tcPr>
          <w:p w14:paraId="4071930C"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Iš anksto įdiegti darbiniai metodai</w:t>
            </w:r>
          </w:p>
        </w:tc>
        <w:tc>
          <w:tcPr>
            <w:tcW w:w="2426" w:type="pct"/>
            <w:vAlign w:val="center"/>
          </w:tcPr>
          <w:p w14:paraId="602317E9"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hAnsiTheme="majorBidi" w:cstheme="majorBidi"/>
                <w:sz w:val="20"/>
                <w:szCs w:val="20"/>
                <w:lang w:val="lt-LT"/>
              </w:rPr>
              <w:t xml:space="preserve">Privalomi ne mažiau nei geriamam vandeniui, maistui (atskiri metodai su dideliu TDS ir mažu TDS) ir farmacijai. </w:t>
            </w:r>
          </w:p>
        </w:tc>
        <w:tc>
          <w:tcPr>
            <w:tcW w:w="1364" w:type="pct"/>
          </w:tcPr>
          <w:p w14:paraId="3276219D" w14:textId="77777777" w:rsidR="001E32E2" w:rsidRPr="002A7EBF" w:rsidRDefault="001E32E2" w:rsidP="00151F4D">
            <w:pPr>
              <w:rPr>
                <w:rFonts w:asciiTheme="majorBidi" w:hAnsiTheme="majorBidi" w:cstheme="majorBidi"/>
                <w:sz w:val="20"/>
                <w:szCs w:val="20"/>
                <w:lang w:val="lt-LT"/>
              </w:rPr>
            </w:pPr>
          </w:p>
        </w:tc>
      </w:tr>
      <w:tr w:rsidR="001E32E2" w:rsidRPr="002A7EBF" w14:paraId="784A00D6" w14:textId="78F45315" w:rsidTr="002A7EBF">
        <w:tc>
          <w:tcPr>
            <w:tcW w:w="316" w:type="pct"/>
            <w:vAlign w:val="bottom"/>
          </w:tcPr>
          <w:p w14:paraId="237AB749"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vAlign w:val="center"/>
          </w:tcPr>
          <w:p w14:paraId="35D62298"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Pusiau kiekybinė analizė</w:t>
            </w:r>
          </w:p>
        </w:tc>
        <w:tc>
          <w:tcPr>
            <w:tcW w:w="2426" w:type="pct"/>
            <w:vAlign w:val="center"/>
          </w:tcPr>
          <w:p w14:paraId="72F9E819"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hAnsiTheme="majorBidi" w:cstheme="majorBidi"/>
                <w:sz w:val="20"/>
                <w:szCs w:val="20"/>
                <w:lang w:val="lt-LT"/>
              </w:rPr>
              <w:t xml:space="preserve">Privaloma visiems matuojamiems elementams, naudojant integruotas duomenų bazes. Privalomas duomenų bazių korekcinis optimizavimas pagal instrumento būklę. </w:t>
            </w:r>
          </w:p>
        </w:tc>
        <w:tc>
          <w:tcPr>
            <w:tcW w:w="1364" w:type="pct"/>
          </w:tcPr>
          <w:p w14:paraId="50243EAB" w14:textId="77777777" w:rsidR="001E32E2" w:rsidRPr="002A7EBF" w:rsidRDefault="001E32E2" w:rsidP="00151F4D">
            <w:pPr>
              <w:rPr>
                <w:rFonts w:asciiTheme="majorBidi" w:hAnsiTheme="majorBidi" w:cstheme="majorBidi"/>
                <w:sz w:val="20"/>
                <w:szCs w:val="20"/>
                <w:lang w:val="lt-LT"/>
              </w:rPr>
            </w:pPr>
          </w:p>
        </w:tc>
      </w:tr>
      <w:tr w:rsidR="001E32E2" w:rsidRPr="002A7EBF" w14:paraId="3ADD00A8" w14:textId="198511A5" w:rsidTr="002A7EBF">
        <w:tc>
          <w:tcPr>
            <w:tcW w:w="316" w:type="pct"/>
            <w:vAlign w:val="bottom"/>
          </w:tcPr>
          <w:p w14:paraId="4A0F1863"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vAlign w:val="center"/>
          </w:tcPr>
          <w:p w14:paraId="4027778A"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Kiekybinė analizė</w:t>
            </w:r>
          </w:p>
        </w:tc>
        <w:tc>
          <w:tcPr>
            <w:tcW w:w="2426" w:type="pct"/>
            <w:vAlign w:val="center"/>
          </w:tcPr>
          <w:p w14:paraId="4521C059"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hAnsiTheme="majorBidi" w:cstheme="majorBidi"/>
                <w:sz w:val="20"/>
                <w:szCs w:val="20"/>
                <w:lang w:val="lt-LT"/>
              </w:rPr>
              <w:t xml:space="preserve">Privaloma, naudojant kalibracinę kreivę ir standartų pridėjimo metodus. Privalomas automatinis nustatymo ribos apskaičiavimas iš kalibravimo duomenų.  </w:t>
            </w:r>
          </w:p>
        </w:tc>
        <w:tc>
          <w:tcPr>
            <w:tcW w:w="1364" w:type="pct"/>
          </w:tcPr>
          <w:p w14:paraId="2102B385" w14:textId="77777777" w:rsidR="001E32E2" w:rsidRPr="002A7EBF" w:rsidRDefault="001E32E2" w:rsidP="00151F4D">
            <w:pPr>
              <w:rPr>
                <w:rFonts w:asciiTheme="majorBidi" w:hAnsiTheme="majorBidi" w:cstheme="majorBidi"/>
                <w:sz w:val="20"/>
                <w:szCs w:val="20"/>
                <w:lang w:val="lt-LT"/>
              </w:rPr>
            </w:pPr>
          </w:p>
        </w:tc>
      </w:tr>
      <w:tr w:rsidR="001E32E2" w:rsidRPr="002A7EBF" w14:paraId="3E101D3B" w14:textId="7FADC137" w:rsidTr="002A7EBF">
        <w:tc>
          <w:tcPr>
            <w:tcW w:w="316" w:type="pct"/>
            <w:vAlign w:val="bottom"/>
          </w:tcPr>
          <w:p w14:paraId="4B6EFD34"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vAlign w:val="center"/>
          </w:tcPr>
          <w:p w14:paraId="7BF49B5D"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Kokybės kontrolės funkcijos</w:t>
            </w:r>
          </w:p>
        </w:tc>
        <w:tc>
          <w:tcPr>
            <w:tcW w:w="2426" w:type="pct"/>
            <w:vAlign w:val="center"/>
          </w:tcPr>
          <w:p w14:paraId="71F93911" w14:textId="77777777" w:rsidR="001E32E2" w:rsidRPr="002A7EBF" w:rsidRDefault="001E32E2" w:rsidP="002A7EBF">
            <w:pPr>
              <w:jc w:val="both"/>
              <w:rPr>
                <w:rFonts w:asciiTheme="majorBidi" w:eastAsia="Times New Roman" w:hAnsiTheme="majorBidi" w:cstheme="majorBidi"/>
                <w:bCs/>
                <w:color w:val="000000"/>
                <w:kern w:val="0"/>
                <w:sz w:val="20"/>
                <w:szCs w:val="20"/>
                <w:lang w:val="lt-LT"/>
                <w14:ligatures w14:val="none"/>
              </w:rPr>
            </w:pPr>
            <w:r w:rsidRPr="002A7EBF">
              <w:rPr>
                <w:rFonts w:asciiTheme="majorBidi" w:eastAsia="Times New Roman" w:hAnsiTheme="majorBidi" w:cstheme="majorBidi"/>
                <w:bCs/>
                <w:color w:val="000000"/>
                <w:kern w:val="0"/>
                <w:sz w:val="20"/>
                <w:szCs w:val="20"/>
                <w:lang w:val="lt-LT"/>
                <w14:ligatures w14:val="none"/>
              </w:rPr>
              <w:t>Kalibravimo kreivės įvertinimas ir pakartotinis kalibravimas</w:t>
            </w:r>
            <w:r w:rsidRPr="002A7EBF">
              <w:rPr>
                <w:rFonts w:asciiTheme="majorBidi" w:eastAsia="Times New Roman" w:hAnsiTheme="majorBidi" w:cstheme="majorBidi"/>
                <w:bCs/>
                <w:color w:val="000000"/>
                <w:kern w:val="0"/>
                <w:sz w:val="20"/>
                <w:szCs w:val="20"/>
                <w:lang w:val="lt-LT"/>
                <w14:ligatures w14:val="none"/>
              </w:rPr>
              <w:br/>
              <w:t>Vidinio standarto elementų svyravimo įvertinimas</w:t>
            </w:r>
            <w:r w:rsidRPr="002A7EBF">
              <w:rPr>
                <w:rFonts w:asciiTheme="majorBidi" w:eastAsia="Times New Roman" w:hAnsiTheme="majorBidi" w:cstheme="majorBidi"/>
                <w:bCs/>
                <w:color w:val="000000"/>
                <w:kern w:val="0"/>
                <w:sz w:val="20"/>
                <w:szCs w:val="20"/>
                <w:lang w:val="lt-LT"/>
                <w14:ligatures w14:val="none"/>
              </w:rPr>
              <w:br/>
            </w:r>
            <w:r w:rsidRPr="002A7EBF">
              <w:rPr>
                <w:rFonts w:asciiTheme="majorBidi" w:eastAsia="Times New Roman" w:hAnsiTheme="majorBidi" w:cstheme="majorBidi"/>
                <w:bCs/>
                <w:color w:val="000000"/>
                <w:kern w:val="0"/>
                <w:sz w:val="20"/>
                <w:szCs w:val="20"/>
                <w:lang w:val="lt-LT"/>
                <w14:ligatures w14:val="none"/>
              </w:rPr>
              <w:lastRenderedPageBreak/>
              <w:t>Signalo dreifo matavimo metu įvertinimas ir pakartotinis kalibravimas / pakartotinis matavimas.</w:t>
            </w:r>
          </w:p>
          <w:p w14:paraId="010F2BCE"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eastAsia="Times New Roman" w:hAnsiTheme="majorBidi" w:cstheme="majorBidi"/>
                <w:bCs/>
                <w:color w:val="000000"/>
                <w:kern w:val="0"/>
                <w:sz w:val="20"/>
                <w:szCs w:val="20"/>
                <w:lang w:val="lt-LT"/>
                <w14:ligatures w14:val="none"/>
              </w:rPr>
              <w:t xml:space="preserve">Programinė įranga privalo gebėti iš rezultatų apskaičiuoti ir sekti atitikimą nustatymams matavimų metu – instrumento detekcijos ribą (IDL), metodo nustatymo ribą (MDL). </w:t>
            </w:r>
          </w:p>
        </w:tc>
        <w:tc>
          <w:tcPr>
            <w:tcW w:w="1364" w:type="pct"/>
          </w:tcPr>
          <w:p w14:paraId="47DA5B42" w14:textId="77777777" w:rsidR="001E32E2" w:rsidRPr="002A7EBF" w:rsidRDefault="001E32E2" w:rsidP="00151F4D">
            <w:pPr>
              <w:rPr>
                <w:rFonts w:asciiTheme="majorBidi" w:eastAsia="Times New Roman" w:hAnsiTheme="majorBidi" w:cstheme="majorBidi"/>
                <w:bCs/>
                <w:color w:val="000000"/>
                <w:kern w:val="0"/>
                <w:sz w:val="20"/>
                <w:szCs w:val="20"/>
                <w:lang w:val="lt-LT"/>
                <w14:ligatures w14:val="none"/>
              </w:rPr>
            </w:pPr>
          </w:p>
        </w:tc>
      </w:tr>
      <w:tr w:rsidR="001E32E2" w:rsidRPr="002A7EBF" w14:paraId="19179378" w14:textId="1EEBCB9E" w:rsidTr="002A7EBF">
        <w:tc>
          <w:tcPr>
            <w:tcW w:w="316" w:type="pct"/>
            <w:vAlign w:val="bottom"/>
          </w:tcPr>
          <w:p w14:paraId="0B3E3E66"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vAlign w:val="center"/>
          </w:tcPr>
          <w:p w14:paraId="6DEC8573"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Korekcinės funkcijos</w:t>
            </w:r>
          </w:p>
        </w:tc>
        <w:tc>
          <w:tcPr>
            <w:tcW w:w="2426" w:type="pct"/>
            <w:vAlign w:val="center"/>
          </w:tcPr>
          <w:p w14:paraId="25C88809" w14:textId="77777777" w:rsidR="001E32E2" w:rsidRPr="002A7EBF" w:rsidRDefault="001E32E2" w:rsidP="002A7EBF">
            <w:pPr>
              <w:jc w:val="both"/>
              <w:rPr>
                <w:rFonts w:asciiTheme="majorBidi" w:eastAsia="Times New Roman" w:hAnsiTheme="majorBidi" w:cstheme="majorBidi"/>
                <w:bCs/>
                <w:color w:val="000000"/>
                <w:kern w:val="0"/>
                <w:sz w:val="20"/>
                <w:szCs w:val="20"/>
                <w:lang w:val="lt-LT"/>
                <w14:ligatures w14:val="none"/>
              </w:rPr>
            </w:pPr>
            <w:r w:rsidRPr="002A7EBF">
              <w:rPr>
                <w:rFonts w:asciiTheme="majorBidi" w:eastAsia="Times New Roman" w:hAnsiTheme="majorBidi" w:cstheme="majorBidi"/>
                <w:bCs/>
                <w:color w:val="000000"/>
                <w:kern w:val="0"/>
                <w:sz w:val="20"/>
                <w:szCs w:val="20"/>
                <w:lang w:val="lt-LT"/>
                <w14:ligatures w14:val="none"/>
              </w:rPr>
              <w:t xml:space="preserve">Programinė įranga privalo gebėti atlikti korekcijas pagal – vidinį standartą, tarp-elementinę korekciją (IEC), signalo dreifo ir praskiedimo korekciją. Galimybė naudoti didelės rezoliucijos matavimo režimą interferencijų korekcijai. Galimybė naudoti, kurti ir modifikuoti kalkuliacijos formulę korekcijos vertei. </w:t>
            </w:r>
          </w:p>
        </w:tc>
        <w:tc>
          <w:tcPr>
            <w:tcW w:w="1364" w:type="pct"/>
          </w:tcPr>
          <w:p w14:paraId="56EF41AA" w14:textId="77777777" w:rsidR="001E32E2" w:rsidRPr="002A7EBF" w:rsidRDefault="001E32E2" w:rsidP="00151F4D">
            <w:pPr>
              <w:rPr>
                <w:rFonts w:asciiTheme="majorBidi" w:eastAsia="Times New Roman" w:hAnsiTheme="majorBidi" w:cstheme="majorBidi"/>
                <w:bCs/>
                <w:color w:val="000000"/>
                <w:kern w:val="0"/>
                <w:sz w:val="20"/>
                <w:szCs w:val="20"/>
                <w:lang w:val="lt-LT"/>
                <w14:ligatures w14:val="none"/>
              </w:rPr>
            </w:pPr>
          </w:p>
        </w:tc>
      </w:tr>
      <w:tr w:rsidR="001E32E2" w:rsidRPr="002A7EBF" w14:paraId="096C64EC" w14:textId="33B70BB9" w:rsidTr="002A7EBF">
        <w:tc>
          <w:tcPr>
            <w:tcW w:w="316" w:type="pct"/>
            <w:vAlign w:val="bottom"/>
          </w:tcPr>
          <w:p w14:paraId="38812009"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vAlign w:val="center"/>
          </w:tcPr>
          <w:p w14:paraId="4CB6D103"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Saugojamų duomenų perskaičiavimo funkcija (nepermatuojant mėginių)</w:t>
            </w:r>
          </w:p>
        </w:tc>
        <w:tc>
          <w:tcPr>
            <w:tcW w:w="2426" w:type="pct"/>
            <w:vAlign w:val="center"/>
          </w:tcPr>
          <w:p w14:paraId="1C7D2E78" w14:textId="77777777" w:rsidR="001E32E2" w:rsidRPr="002A7EBF" w:rsidRDefault="001E32E2" w:rsidP="002A7EBF">
            <w:pPr>
              <w:jc w:val="both"/>
              <w:rPr>
                <w:rFonts w:asciiTheme="majorBidi" w:eastAsia="Times New Roman" w:hAnsiTheme="majorBidi" w:cstheme="majorBidi"/>
                <w:bCs/>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 xml:space="preserve">Pakeitus kreivės matematinį modelį ar korekcijos sąlygas. </w:t>
            </w:r>
          </w:p>
        </w:tc>
        <w:tc>
          <w:tcPr>
            <w:tcW w:w="1364" w:type="pct"/>
          </w:tcPr>
          <w:p w14:paraId="10498071"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3C7B61A8" w14:textId="6ED1266C" w:rsidTr="002A7EBF">
        <w:tc>
          <w:tcPr>
            <w:tcW w:w="316" w:type="pct"/>
            <w:vAlign w:val="bottom"/>
          </w:tcPr>
          <w:p w14:paraId="1E687579"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40</w:t>
            </w:r>
          </w:p>
        </w:tc>
        <w:tc>
          <w:tcPr>
            <w:tcW w:w="894" w:type="pct"/>
            <w:vAlign w:val="center"/>
          </w:tcPr>
          <w:p w14:paraId="286F5E3A" w14:textId="77777777" w:rsidR="001E32E2" w:rsidRPr="002A7EBF" w:rsidRDefault="001E32E2" w:rsidP="00151F4D">
            <w:p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 xml:space="preserve">Vidinio standarto atsako stebėjimas matavimų metu </w:t>
            </w:r>
          </w:p>
        </w:tc>
        <w:tc>
          <w:tcPr>
            <w:tcW w:w="2426" w:type="pct"/>
            <w:vAlign w:val="center"/>
          </w:tcPr>
          <w:p w14:paraId="537EA48C"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 xml:space="preserve">Realaus laiko grafinis signalo atvaizdavimas atliekant sekos matavimus. Galimybė pasirinkti kelis vidinius standartus. Rodymas pagal absoliutų ir santykinį intensyvumą. </w:t>
            </w:r>
          </w:p>
        </w:tc>
        <w:tc>
          <w:tcPr>
            <w:tcW w:w="1364" w:type="pct"/>
          </w:tcPr>
          <w:p w14:paraId="68BBDFFD"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7105B925" w14:textId="0A8CD656" w:rsidTr="002A7EBF">
        <w:tc>
          <w:tcPr>
            <w:tcW w:w="316" w:type="pct"/>
            <w:vAlign w:val="bottom"/>
          </w:tcPr>
          <w:p w14:paraId="645E38DB"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46</w:t>
            </w:r>
          </w:p>
        </w:tc>
        <w:tc>
          <w:tcPr>
            <w:tcW w:w="894" w:type="pct"/>
            <w:vAlign w:val="center"/>
          </w:tcPr>
          <w:p w14:paraId="0DB806B3" w14:textId="77777777" w:rsidR="001E32E2" w:rsidRPr="002A7EBF" w:rsidRDefault="001E32E2" w:rsidP="00151F4D">
            <w:p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 Bendrų instrumento sąlygų optimizavimas</w:t>
            </w:r>
          </w:p>
        </w:tc>
        <w:tc>
          <w:tcPr>
            <w:tcW w:w="2426" w:type="pct"/>
            <w:vAlign w:val="center"/>
          </w:tcPr>
          <w:p w14:paraId="67E5AC09"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 xml:space="preserve"> Privalomas automatinis funkcionalumas optimizuojant deglo poziciją, linzių, masių analizatoriaus, detektoriaus parametrus. </w:t>
            </w:r>
          </w:p>
        </w:tc>
        <w:tc>
          <w:tcPr>
            <w:tcW w:w="1364" w:type="pct"/>
          </w:tcPr>
          <w:p w14:paraId="58076A85"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391D4401" w14:textId="2F8E62E2" w:rsidTr="002A7EBF">
        <w:tc>
          <w:tcPr>
            <w:tcW w:w="316" w:type="pct"/>
            <w:vAlign w:val="bottom"/>
          </w:tcPr>
          <w:p w14:paraId="039CC585"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vAlign w:val="center"/>
          </w:tcPr>
          <w:p w14:paraId="30522335"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Instrumento būklės įvertinimo funkcionalumas</w:t>
            </w:r>
          </w:p>
        </w:tc>
        <w:tc>
          <w:tcPr>
            <w:tcW w:w="2426" w:type="pct"/>
            <w:vAlign w:val="center"/>
          </w:tcPr>
          <w:p w14:paraId="5A1D8251" w14:textId="77777777" w:rsidR="001E32E2" w:rsidRPr="002A7EBF" w:rsidRDefault="001E32E2" w:rsidP="002A7EBF">
            <w:pPr>
              <w:jc w:val="both"/>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 xml:space="preserve">Privalomas, automatinis, įvertinimas naudojant parinktą validavimo mišinį. Privaloma galimybė įvertinti pasirinktus elementus pagal nustatytas ribas – minimalų intensyvumą, pakartojimų RSD, masės nuokrypį ir rezoliuciją. Pasirinktų oksidų ir poliatomų lygį, bei fono intensyvumą. </w:t>
            </w:r>
          </w:p>
        </w:tc>
        <w:tc>
          <w:tcPr>
            <w:tcW w:w="1364" w:type="pct"/>
          </w:tcPr>
          <w:p w14:paraId="04744788"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53B9CDF1" w14:textId="7BE8CE32" w:rsidTr="002A7EBF">
        <w:tc>
          <w:tcPr>
            <w:tcW w:w="316" w:type="pct"/>
            <w:vAlign w:val="bottom"/>
          </w:tcPr>
          <w:p w14:paraId="32C6A764"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vAlign w:val="center"/>
          </w:tcPr>
          <w:p w14:paraId="0A1076AE" w14:textId="77777777" w:rsidR="001E32E2" w:rsidRPr="002A7EBF" w:rsidRDefault="001E32E2" w:rsidP="00151F4D">
            <w:pPr>
              <w:rPr>
                <w:rFonts w:asciiTheme="majorBidi" w:eastAsia="Times New Roman" w:hAnsiTheme="majorBidi" w:cstheme="majorBidi"/>
                <w:b/>
                <w:bCs/>
                <w:color w:val="000000"/>
                <w:kern w:val="0"/>
                <w:sz w:val="20"/>
                <w:szCs w:val="20"/>
                <w:lang w:val="lt-LT"/>
                <w14:ligatures w14:val="none"/>
              </w:rPr>
            </w:pPr>
            <w:r w:rsidRPr="002A7EBF">
              <w:rPr>
                <w:rFonts w:asciiTheme="majorBidi" w:eastAsia="Times New Roman" w:hAnsiTheme="majorBidi" w:cstheme="majorBidi"/>
                <w:b/>
                <w:bCs/>
                <w:color w:val="000000"/>
                <w:kern w:val="0"/>
                <w:sz w:val="20"/>
                <w:szCs w:val="20"/>
                <w:lang w:val="lt-LT"/>
                <w14:ligatures w14:val="none"/>
              </w:rPr>
              <w:t>Bendri reikalavimai</w:t>
            </w:r>
          </w:p>
        </w:tc>
        <w:tc>
          <w:tcPr>
            <w:tcW w:w="2426" w:type="pct"/>
            <w:vAlign w:val="center"/>
          </w:tcPr>
          <w:p w14:paraId="34A5B266" w14:textId="77777777" w:rsidR="001E32E2" w:rsidRPr="002A7EBF" w:rsidRDefault="001E32E2" w:rsidP="002A7EBF">
            <w:pPr>
              <w:jc w:val="both"/>
              <w:rPr>
                <w:rFonts w:asciiTheme="majorBidi" w:eastAsia="Times New Roman" w:hAnsiTheme="majorBidi" w:cstheme="majorBidi"/>
                <w:bCs/>
                <w:color w:val="000000"/>
                <w:kern w:val="0"/>
                <w:sz w:val="20"/>
                <w:szCs w:val="20"/>
                <w:lang w:val="lt-LT"/>
                <w14:ligatures w14:val="none"/>
              </w:rPr>
            </w:pPr>
          </w:p>
        </w:tc>
        <w:tc>
          <w:tcPr>
            <w:tcW w:w="1364" w:type="pct"/>
          </w:tcPr>
          <w:p w14:paraId="2D3B514C" w14:textId="77777777" w:rsidR="001E32E2" w:rsidRPr="002A7EBF" w:rsidRDefault="001E32E2" w:rsidP="00151F4D">
            <w:pPr>
              <w:rPr>
                <w:rFonts w:asciiTheme="majorBidi" w:eastAsia="Times New Roman" w:hAnsiTheme="majorBidi" w:cstheme="majorBidi"/>
                <w:bCs/>
                <w:color w:val="000000"/>
                <w:kern w:val="0"/>
                <w:sz w:val="20"/>
                <w:szCs w:val="20"/>
                <w:lang w:val="lt-LT"/>
                <w14:ligatures w14:val="none"/>
              </w:rPr>
            </w:pPr>
          </w:p>
        </w:tc>
      </w:tr>
      <w:tr w:rsidR="001E32E2" w:rsidRPr="002A7EBF" w14:paraId="20607FD3" w14:textId="57AA9145" w:rsidTr="002A7EBF">
        <w:tc>
          <w:tcPr>
            <w:tcW w:w="316" w:type="pct"/>
            <w:vAlign w:val="bottom"/>
          </w:tcPr>
          <w:p w14:paraId="1A1E7D0E"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vAlign w:val="center"/>
          </w:tcPr>
          <w:p w14:paraId="1EB04825" w14:textId="77777777" w:rsidR="001E32E2" w:rsidRPr="002A7EBF" w:rsidRDefault="001E32E2" w:rsidP="00151F4D">
            <w:pPr>
              <w:rPr>
                <w:rFonts w:asciiTheme="majorBidi" w:eastAsia="Times New Roman" w:hAnsiTheme="majorBidi" w:cstheme="majorBidi"/>
                <w:kern w:val="0"/>
                <w:sz w:val="20"/>
                <w:szCs w:val="20"/>
                <w:lang w:val="lt-LT"/>
                <w14:ligatures w14:val="none"/>
              </w:rPr>
            </w:pPr>
            <w:r w:rsidRPr="002A7EBF">
              <w:rPr>
                <w:rFonts w:asciiTheme="majorBidi" w:eastAsia="Times New Roman" w:hAnsiTheme="majorBidi" w:cstheme="majorBidi"/>
                <w:kern w:val="0"/>
                <w:sz w:val="20"/>
                <w:szCs w:val="20"/>
                <w:lang w:val="lt-LT"/>
                <w14:ligatures w14:val="none"/>
              </w:rPr>
              <w:t>Sistemos saugumo funkcijos</w:t>
            </w:r>
          </w:p>
        </w:tc>
        <w:tc>
          <w:tcPr>
            <w:tcW w:w="2426" w:type="pct"/>
            <w:vAlign w:val="center"/>
          </w:tcPr>
          <w:p w14:paraId="6BCC86E9" w14:textId="77777777" w:rsidR="001E32E2" w:rsidRPr="002A7EBF" w:rsidRDefault="001E32E2" w:rsidP="002A7EBF">
            <w:pPr>
              <w:jc w:val="both"/>
              <w:rPr>
                <w:rFonts w:asciiTheme="majorBidi" w:eastAsia="Times New Roman" w:hAnsiTheme="majorBidi" w:cstheme="majorBidi"/>
                <w:bCs/>
                <w:kern w:val="0"/>
                <w:sz w:val="20"/>
                <w:szCs w:val="20"/>
                <w:lang w:val="lt-LT"/>
                <w14:ligatures w14:val="none"/>
              </w:rPr>
            </w:pPr>
            <w:r w:rsidRPr="002A7EBF">
              <w:rPr>
                <w:rFonts w:asciiTheme="majorBidi" w:eastAsia="Times New Roman" w:hAnsiTheme="majorBidi" w:cstheme="majorBidi"/>
                <w:kern w:val="0"/>
                <w:sz w:val="20"/>
                <w:szCs w:val="20"/>
                <w:lang w:val="lt-LT"/>
                <w14:ligatures w14:val="none"/>
              </w:rPr>
              <w:t>Turi būti sukomplektuoti ištraukiamo oro srauto jutikliai užtikrinantys tinkamą karšto oro pašalinimą</w:t>
            </w:r>
          </w:p>
        </w:tc>
        <w:tc>
          <w:tcPr>
            <w:tcW w:w="1364" w:type="pct"/>
          </w:tcPr>
          <w:p w14:paraId="4593FAE7" w14:textId="77777777" w:rsidR="001E32E2" w:rsidRPr="002A7EBF" w:rsidRDefault="001E32E2" w:rsidP="00151F4D">
            <w:pPr>
              <w:rPr>
                <w:rFonts w:asciiTheme="majorBidi" w:eastAsia="Times New Roman" w:hAnsiTheme="majorBidi" w:cstheme="majorBidi"/>
                <w:kern w:val="0"/>
                <w:sz w:val="20"/>
                <w:szCs w:val="20"/>
                <w:lang w:val="lt-LT"/>
                <w14:ligatures w14:val="none"/>
              </w:rPr>
            </w:pPr>
          </w:p>
        </w:tc>
      </w:tr>
      <w:tr w:rsidR="001E32E2" w:rsidRPr="002A7EBF" w14:paraId="29C3B9E5" w14:textId="590D4CE7" w:rsidTr="002A7EBF">
        <w:tc>
          <w:tcPr>
            <w:tcW w:w="316" w:type="pct"/>
            <w:vAlign w:val="bottom"/>
          </w:tcPr>
          <w:p w14:paraId="311479C6"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vAlign w:val="center"/>
          </w:tcPr>
          <w:p w14:paraId="79907CA4" w14:textId="77777777" w:rsidR="001E32E2" w:rsidRPr="002A7EBF" w:rsidRDefault="001E32E2" w:rsidP="00151F4D">
            <w:pPr>
              <w:rPr>
                <w:rFonts w:asciiTheme="majorBidi" w:eastAsia="Times New Roman" w:hAnsiTheme="majorBidi" w:cstheme="majorBidi"/>
                <w:kern w:val="0"/>
                <w:sz w:val="20"/>
                <w:szCs w:val="20"/>
                <w:lang w:val="lt-LT"/>
                <w14:ligatures w14:val="none"/>
              </w:rPr>
            </w:pPr>
            <w:r w:rsidRPr="002A7EBF">
              <w:rPr>
                <w:rFonts w:asciiTheme="majorBidi" w:eastAsia="Times New Roman" w:hAnsiTheme="majorBidi" w:cstheme="majorBidi"/>
                <w:kern w:val="0"/>
                <w:sz w:val="20"/>
                <w:szCs w:val="20"/>
                <w:lang w:val="lt-LT"/>
                <w14:ligatures w14:val="none"/>
              </w:rPr>
              <w:t>Sistemos priežiūra</w:t>
            </w:r>
          </w:p>
        </w:tc>
        <w:tc>
          <w:tcPr>
            <w:tcW w:w="2426" w:type="pct"/>
            <w:vAlign w:val="center"/>
          </w:tcPr>
          <w:p w14:paraId="370A8602" w14:textId="77777777" w:rsidR="001E32E2" w:rsidRPr="002A7EBF" w:rsidRDefault="001E32E2" w:rsidP="002A7EBF">
            <w:pPr>
              <w:jc w:val="both"/>
              <w:rPr>
                <w:rFonts w:asciiTheme="majorBidi" w:eastAsia="Times New Roman" w:hAnsiTheme="majorBidi" w:cstheme="majorBidi"/>
                <w:kern w:val="0"/>
                <w:sz w:val="20"/>
                <w:szCs w:val="20"/>
                <w:lang w:val="lt-LT"/>
                <w14:ligatures w14:val="none"/>
              </w:rPr>
            </w:pPr>
            <w:r w:rsidRPr="002A7EBF">
              <w:rPr>
                <w:rFonts w:asciiTheme="majorBidi" w:eastAsia="Times New Roman" w:hAnsiTheme="majorBidi" w:cstheme="majorBidi"/>
                <w:kern w:val="0"/>
                <w:sz w:val="20"/>
                <w:szCs w:val="20"/>
                <w:lang w:val="lt-LT"/>
                <w14:ligatures w14:val="none"/>
              </w:rPr>
              <w:t xml:space="preserve">Priežiūros metu deglas ir mėginių įvedimo mazgo turi būti lengvai nuimami/uždedami rankomis be papildomų įrankių. Plazmos sąsajos abu kūgiai taip pat privalo būti lengvai prieinami ir numontuojami nuo prietaiso be įrankių. </w:t>
            </w:r>
          </w:p>
        </w:tc>
        <w:tc>
          <w:tcPr>
            <w:tcW w:w="1364" w:type="pct"/>
          </w:tcPr>
          <w:p w14:paraId="6E4C23B7" w14:textId="77777777" w:rsidR="001E32E2" w:rsidRPr="002A7EBF" w:rsidRDefault="001E32E2" w:rsidP="00151F4D">
            <w:pPr>
              <w:rPr>
                <w:rFonts w:asciiTheme="majorBidi" w:eastAsia="Times New Roman" w:hAnsiTheme="majorBidi" w:cstheme="majorBidi"/>
                <w:kern w:val="0"/>
                <w:sz w:val="20"/>
                <w:szCs w:val="20"/>
                <w:lang w:val="lt-LT"/>
                <w14:ligatures w14:val="none"/>
              </w:rPr>
            </w:pPr>
          </w:p>
        </w:tc>
      </w:tr>
      <w:tr w:rsidR="001E32E2" w:rsidRPr="002A7EBF" w14:paraId="3EAFB0B7" w14:textId="7A030F99" w:rsidTr="002A7EBF">
        <w:tc>
          <w:tcPr>
            <w:tcW w:w="316" w:type="pct"/>
            <w:vAlign w:val="bottom"/>
          </w:tcPr>
          <w:p w14:paraId="54BF3E63"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vAlign w:val="center"/>
          </w:tcPr>
          <w:p w14:paraId="47C93EA5" w14:textId="77777777" w:rsidR="001E32E2" w:rsidRPr="002A7EBF" w:rsidRDefault="001E32E2" w:rsidP="00151F4D">
            <w:pPr>
              <w:rPr>
                <w:rFonts w:asciiTheme="majorBidi" w:eastAsia="Times New Roman" w:hAnsiTheme="majorBidi" w:cstheme="majorBidi"/>
                <w:kern w:val="0"/>
                <w:sz w:val="20"/>
                <w:szCs w:val="20"/>
                <w:lang w:val="lt-LT"/>
                <w14:ligatures w14:val="none"/>
              </w:rPr>
            </w:pPr>
            <w:r w:rsidRPr="002A7EBF">
              <w:rPr>
                <w:rFonts w:asciiTheme="majorBidi" w:eastAsia="Times New Roman" w:hAnsiTheme="majorBidi" w:cstheme="majorBidi"/>
                <w:kern w:val="0"/>
                <w:sz w:val="20"/>
                <w:szCs w:val="20"/>
                <w:lang w:val="lt-LT"/>
                <w14:ligatures w14:val="none"/>
              </w:rPr>
              <w:t>Susiejimo su kitais prietaisais galimybės</w:t>
            </w:r>
          </w:p>
        </w:tc>
        <w:tc>
          <w:tcPr>
            <w:tcW w:w="2426" w:type="pct"/>
            <w:vAlign w:val="center"/>
          </w:tcPr>
          <w:p w14:paraId="0E752240" w14:textId="77777777" w:rsidR="001E32E2" w:rsidRPr="002A7EBF" w:rsidRDefault="001E32E2" w:rsidP="002A7EBF">
            <w:pPr>
              <w:jc w:val="both"/>
              <w:rPr>
                <w:rFonts w:asciiTheme="majorBidi" w:eastAsia="Times New Roman" w:hAnsiTheme="majorBidi" w:cstheme="majorBidi"/>
                <w:kern w:val="0"/>
                <w:sz w:val="20"/>
                <w:szCs w:val="20"/>
                <w:lang w:val="lt-LT"/>
                <w14:ligatures w14:val="none"/>
              </w:rPr>
            </w:pPr>
            <w:r w:rsidRPr="002A7EBF">
              <w:rPr>
                <w:rFonts w:asciiTheme="majorBidi" w:eastAsia="Times New Roman" w:hAnsiTheme="majorBidi" w:cstheme="majorBidi"/>
                <w:kern w:val="0"/>
                <w:sz w:val="20"/>
                <w:szCs w:val="20"/>
                <w:lang w:val="lt-LT"/>
                <w14:ligatures w14:val="none"/>
              </w:rPr>
              <w:t>Galimybė ICP-MS spektrometrą sujungti skysčių chromatografu bei įvesti mėginį iš skysčių chromatografo, tuo būdu analizuojant elementų formas esančias mėginyje</w:t>
            </w:r>
          </w:p>
        </w:tc>
        <w:tc>
          <w:tcPr>
            <w:tcW w:w="1364" w:type="pct"/>
          </w:tcPr>
          <w:p w14:paraId="627A64FB" w14:textId="77777777" w:rsidR="001E32E2" w:rsidRPr="002A7EBF" w:rsidRDefault="001E32E2" w:rsidP="00151F4D">
            <w:pPr>
              <w:rPr>
                <w:rFonts w:asciiTheme="majorBidi" w:eastAsia="Times New Roman" w:hAnsiTheme="majorBidi" w:cstheme="majorBidi"/>
                <w:kern w:val="0"/>
                <w:sz w:val="20"/>
                <w:szCs w:val="20"/>
                <w:lang w:val="lt-LT"/>
                <w14:ligatures w14:val="none"/>
              </w:rPr>
            </w:pPr>
          </w:p>
        </w:tc>
      </w:tr>
      <w:tr w:rsidR="001E32E2" w:rsidRPr="002A7EBF" w14:paraId="01CA1B77" w14:textId="0C80C987" w:rsidTr="002A7EBF">
        <w:tc>
          <w:tcPr>
            <w:tcW w:w="316" w:type="pct"/>
            <w:vAlign w:val="bottom"/>
          </w:tcPr>
          <w:p w14:paraId="751B308C"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vAlign w:val="bottom"/>
          </w:tcPr>
          <w:p w14:paraId="2F22636C" w14:textId="77777777" w:rsidR="001E32E2" w:rsidRPr="002A7EBF" w:rsidRDefault="001E32E2" w:rsidP="00151F4D">
            <w:pPr>
              <w:rPr>
                <w:rFonts w:asciiTheme="majorBidi" w:eastAsia="Times New Roman" w:hAnsiTheme="majorBidi" w:cstheme="majorBidi"/>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Įrangos žymėjimas CE ženklu</w:t>
            </w:r>
          </w:p>
        </w:tc>
        <w:tc>
          <w:tcPr>
            <w:tcW w:w="2426" w:type="pct"/>
            <w:vAlign w:val="bottom"/>
          </w:tcPr>
          <w:p w14:paraId="554CE3C0" w14:textId="77777777" w:rsidR="001E32E2" w:rsidRPr="002A7EBF" w:rsidRDefault="001E32E2" w:rsidP="002A7EBF">
            <w:pPr>
              <w:jc w:val="both"/>
              <w:rPr>
                <w:rFonts w:asciiTheme="majorBidi" w:eastAsia="Times New Roman" w:hAnsiTheme="majorBidi" w:cstheme="majorBidi"/>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Kartu su pasiūlymu būtina pateikti įrangos žymėjimą CE ženklu liudijančio galiojančio dokumento (CE sertifikato arba EB atitikties deklaracijos) kopiją</w:t>
            </w:r>
          </w:p>
        </w:tc>
        <w:tc>
          <w:tcPr>
            <w:tcW w:w="1364" w:type="pct"/>
          </w:tcPr>
          <w:p w14:paraId="43BFF970"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5E10A841" w14:textId="36D11CC6" w:rsidTr="002A7EBF">
        <w:tc>
          <w:tcPr>
            <w:tcW w:w="316" w:type="pct"/>
            <w:vAlign w:val="bottom"/>
          </w:tcPr>
          <w:p w14:paraId="418C481F"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50</w:t>
            </w:r>
          </w:p>
        </w:tc>
        <w:tc>
          <w:tcPr>
            <w:tcW w:w="894" w:type="pct"/>
            <w:vAlign w:val="center"/>
          </w:tcPr>
          <w:p w14:paraId="3DB7A754" w14:textId="77777777" w:rsidR="001E32E2" w:rsidRPr="002A7EBF" w:rsidRDefault="001E32E2" w:rsidP="00151F4D">
            <w:pPr>
              <w:rPr>
                <w:rFonts w:asciiTheme="majorBidi" w:hAnsiTheme="majorBidi" w:cstheme="majorBidi"/>
                <w:b/>
                <w:bCs/>
                <w:sz w:val="20"/>
                <w:szCs w:val="20"/>
                <w:lang w:val="lt-LT"/>
              </w:rPr>
            </w:pPr>
            <w:r w:rsidRPr="002A7EBF">
              <w:rPr>
                <w:rFonts w:asciiTheme="majorBidi" w:eastAsia="Times New Roman" w:hAnsiTheme="majorBidi" w:cstheme="majorBidi"/>
                <w:b/>
                <w:bCs/>
                <w:color w:val="000000"/>
                <w:kern w:val="0"/>
                <w:sz w:val="20"/>
                <w:szCs w:val="20"/>
                <w:lang w:val="lt-LT"/>
                <w14:ligatures w14:val="none"/>
              </w:rPr>
              <w:t>Priedai</w:t>
            </w:r>
          </w:p>
        </w:tc>
        <w:tc>
          <w:tcPr>
            <w:tcW w:w="2426" w:type="pct"/>
            <w:vAlign w:val="bottom"/>
          </w:tcPr>
          <w:p w14:paraId="499B18BB"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 </w:t>
            </w:r>
          </w:p>
        </w:tc>
        <w:tc>
          <w:tcPr>
            <w:tcW w:w="1364" w:type="pct"/>
          </w:tcPr>
          <w:p w14:paraId="0F499EAA"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36E9F687" w14:textId="1658A538" w:rsidTr="002A7EBF">
        <w:tc>
          <w:tcPr>
            <w:tcW w:w="316" w:type="pct"/>
            <w:vAlign w:val="bottom"/>
          </w:tcPr>
          <w:p w14:paraId="4013BC26"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vAlign w:val="center"/>
          </w:tcPr>
          <w:p w14:paraId="5025E548"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Cirkuliacinis aušintuvas</w:t>
            </w:r>
          </w:p>
        </w:tc>
        <w:tc>
          <w:tcPr>
            <w:tcW w:w="2426" w:type="pct"/>
            <w:vAlign w:val="bottom"/>
          </w:tcPr>
          <w:p w14:paraId="58D9CF13" w14:textId="77777777" w:rsidR="001E32E2" w:rsidRPr="002A7EBF" w:rsidRDefault="001E32E2" w:rsidP="002A7EBF">
            <w:pPr>
              <w:jc w:val="both"/>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 xml:space="preserve">Privalomas. Pilnai suderintas su ICPMS įranga, įsijungimas/išjungimas valdomas iš pagrindinės programinės įrangos. </w:t>
            </w:r>
          </w:p>
        </w:tc>
        <w:tc>
          <w:tcPr>
            <w:tcW w:w="1364" w:type="pct"/>
          </w:tcPr>
          <w:p w14:paraId="61C7176E"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6F63C124" w14:textId="2DDAB8BE" w:rsidTr="002A7EBF">
        <w:tc>
          <w:tcPr>
            <w:tcW w:w="316" w:type="pct"/>
            <w:vAlign w:val="bottom"/>
          </w:tcPr>
          <w:p w14:paraId="48A35EBA" w14:textId="77777777" w:rsidR="001E32E2" w:rsidRPr="002A7EBF" w:rsidRDefault="001E32E2" w:rsidP="00151F4D">
            <w:pPr>
              <w:pStyle w:val="ListParagraph"/>
              <w:numPr>
                <w:ilvl w:val="0"/>
                <w:numId w:val="3"/>
              </w:numPr>
              <w:rPr>
                <w:rFonts w:asciiTheme="majorBidi" w:eastAsia="Times New Roman" w:hAnsiTheme="majorBidi" w:cstheme="majorBidi"/>
                <w:color w:val="000000"/>
                <w:kern w:val="0"/>
                <w:sz w:val="20"/>
                <w:szCs w:val="20"/>
                <w:lang w:val="lt-LT"/>
                <w14:ligatures w14:val="none"/>
              </w:rPr>
            </w:pPr>
          </w:p>
        </w:tc>
        <w:tc>
          <w:tcPr>
            <w:tcW w:w="894" w:type="pct"/>
            <w:vAlign w:val="center"/>
          </w:tcPr>
          <w:p w14:paraId="3E75DC90"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Mikrobangų mineralizatorius</w:t>
            </w:r>
          </w:p>
        </w:tc>
        <w:tc>
          <w:tcPr>
            <w:tcW w:w="2426" w:type="pct"/>
            <w:vAlign w:val="bottom"/>
          </w:tcPr>
          <w:p w14:paraId="4A9B55BB"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hAnsiTheme="majorBidi" w:cstheme="majorBidi"/>
                <w:sz w:val="20"/>
                <w:szCs w:val="20"/>
                <w:lang w:val="lt-LT"/>
              </w:rPr>
              <w:t xml:space="preserve">Plieninis korpusas. Mikrobangų kameros vidiniai ir išoriniai paviršiai padengti rūgštims ir tirpikliams atsparia daugiasluoksne polimerine danga. Mikrobangų kameros tūris ne mažiau nei 70 L. </w:t>
            </w:r>
          </w:p>
          <w:p w14:paraId="4434C378" w14:textId="77777777" w:rsidR="001E32E2" w:rsidRPr="002A7EBF" w:rsidRDefault="001E32E2" w:rsidP="002A7EBF">
            <w:pPr>
              <w:jc w:val="both"/>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Plieninių durų saugos sistema savaime užsidaranti, reaguojanti į slėgį durų konstrukcija. Automatinis užrakto blokavimas</w:t>
            </w:r>
          </w:p>
          <w:p w14:paraId="373BB8F2" w14:textId="77777777" w:rsidR="001E32E2" w:rsidRPr="002A7EBF" w:rsidRDefault="001E32E2" w:rsidP="002A7EBF">
            <w:pPr>
              <w:jc w:val="both"/>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 xml:space="preserve">Dviejų vienu metu veikiančių magnetronų sistema su besisukančiu difuzoriumi, užtikrinanti vienodą spinduliavimo pasiskirstymą kameroje. Magnetronai apsaugoti nuo atspindėtos energijos, veikimo dažnis 2400 ± 50 MHz, kiekvieno galingumas ne mažiau nei 1000 ± 50 Watt. </w:t>
            </w:r>
          </w:p>
          <w:p w14:paraId="0932FA67" w14:textId="77777777" w:rsidR="001E32E2" w:rsidRPr="002A7EBF" w:rsidRDefault="001E32E2" w:rsidP="002A7EBF">
            <w:pPr>
              <w:jc w:val="both"/>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 xml:space="preserve">Mėginių rotorius – ne mažiau nei 15 pozicijų.  TFM arba analogiškos medžiagos ne mažiau nei 100 ml Indeliai palaiko ne mažiau nei 1500 psi slėgį, ir 300°C temperatūrą. Temperatūra matuojama bekontakčiu būdu visuose indeliuose. </w:t>
            </w:r>
          </w:p>
          <w:p w14:paraId="03BCF6C5" w14:textId="77777777" w:rsidR="001E32E2" w:rsidRPr="002A7EBF" w:rsidRDefault="001E32E2" w:rsidP="002A7EBF">
            <w:pPr>
              <w:jc w:val="both"/>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Indeliai turi automatinį spyruoklinį saugos mechanizmą neleidžiantį viršyti leidžiamo darbinio slėgio ir apsaugantį pavyzdį nuo nuostolių.</w:t>
            </w:r>
          </w:p>
          <w:p w14:paraId="0353A3A2" w14:textId="77777777" w:rsidR="001E32E2" w:rsidRPr="002A7EBF" w:rsidRDefault="001E32E2" w:rsidP="002A7EBF">
            <w:pPr>
              <w:jc w:val="both"/>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 xml:space="preserve">Atitikimas saugos reikalavimams - EN 61010-1, EN 61010-2-010, EN61326-1. </w:t>
            </w:r>
          </w:p>
          <w:p w14:paraId="3AB93CF1" w14:textId="77777777" w:rsidR="001E32E2" w:rsidRPr="002A7EBF" w:rsidRDefault="001E32E2" w:rsidP="002A7EBF">
            <w:pPr>
              <w:jc w:val="both"/>
              <w:rPr>
                <w:rFonts w:asciiTheme="majorBidi" w:eastAsia="Times New Roman" w:hAnsiTheme="majorBidi" w:cstheme="majorBidi"/>
                <w:color w:val="000000"/>
                <w:kern w:val="0"/>
                <w:sz w:val="20"/>
                <w:szCs w:val="20"/>
                <w:lang w:val="lt-LT"/>
                <w14:ligatures w14:val="none"/>
              </w:rPr>
            </w:pPr>
            <w:r w:rsidRPr="002A7EBF">
              <w:rPr>
                <w:rFonts w:asciiTheme="majorBidi" w:eastAsia="Times New Roman" w:hAnsiTheme="majorBidi" w:cstheme="majorBidi"/>
                <w:color w:val="000000"/>
                <w:kern w:val="0"/>
                <w:sz w:val="20"/>
                <w:szCs w:val="20"/>
                <w:lang w:val="lt-LT"/>
                <w14:ligatures w14:val="none"/>
              </w:rPr>
              <w:t xml:space="preserve">Valdymas lietimui jautriu intuityviu ekranu. Neribotas metodų skaičius. </w:t>
            </w:r>
          </w:p>
        </w:tc>
        <w:tc>
          <w:tcPr>
            <w:tcW w:w="1364" w:type="pct"/>
          </w:tcPr>
          <w:p w14:paraId="3AEE2C70" w14:textId="77777777" w:rsidR="001E32E2" w:rsidRPr="002A7EBF" w:rsidRDefault="001E32E2" w:rsidP="00151F4D">
            <w:pPr>
              <w:rPr>
                <w:rFonts w:asciiTheme="majorBidi" w:hAnsiTheme="majorBidi" w:cstheme="majorBidi"/>
                <w:sz w:val="20"/>
                <w:szCs w:val="20"/>
                <w:lang w:val="lt-LT"/>
              </w:rPr>
            </w:pPr>
          </w:p>
        </w:tc>
      </w:tr>
      <w:tr w:rsidR="001E32E2" w:rsidRPr="002A7EBF" w14:paraId="4ED56A68" w14:textId="5E2B8F3D" w:rsidTr="002A7EBF">
        <w:tc>
          <w:tcPr>
            <w:tcW w:w="316" w:type="pct"/>
            <w:vAlign w:val="bottom"/>
          </w:tcPr>
          <w:p w14:paraId="60F57FE2"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52</w:t>
            </w:r>
          </w:p>
        </w:tc>
        <w:tc>
          <w:tcPr>
            <w:tcW w:w="894" w:type="pct"/>
            <w:vAlign w:val="bottom"/>
          </w:tcPr>
          <w:p w14:paraId="4537DA0B" w14:textId="77777777" w:rsidR="001E32E2" w:rsidRPr="002A7EBF" w:rsidRDefault="001E32E2" w:rsidP="00151F4D">
            <w:p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Instrukcija</w:t>
            </w:r>
          </w:p>
        </w:tc>
        <w:tc>
          <w:tcPr>
            <w:tcW w:w="2426" w:type="pct"/>
            <w:vAlign w:val="bottom"/>
          </w:tcPr>
          <w:p w14:paraId="0AB4A2C7"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Pristatant prekę tiekėjas turi pateikti instrukciją lietuvių arba anglų kalba (popierine arba skaitmenine forma).</w:t>
            </w:r>
          </w:p>
        </w:tc>
        <w:tc>
          <w:tcPr>
            <w:tcW w:w="1364" w:type="pct"/>
          </w:tcPr>
          <w:p w14:paraId="48230D19"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566A17CC" w14:textId="03BA4E2E" w:rsidTr="002A7EBF">
        <w:tc>
          <w:tcPr>
            <w:tcW w:w="316" w:type="pct"/>
            <w:vAlign w:val="bottom"/>
          </w:tcPr>
          <w:p w14:paraId="6C6007DF"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53</w:t>
            </w:r>
          </w:p>
        </w:tc>
        <w:tc>
          <w:tcPr>
            <w:tcW w:w="894" w:type="pct"/>
            <w:vAlign w:val="bottom"/>
          </w:tcPr>
          <w:p w14:paraId="3B1AEC06" w14:textId="77777777" w:rsidR="001E32E2" w:rsidRPr="002A7EBF" w:rsidRDefault="001E32E2" w:rsidP="00151F4D">
            <w:p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Instaliavimas ir apmokymas</w:t>
            </w:r>
          </w:p>
        </w:tc>
        <w:tc>
          <w:tcPr>
            <w:tcW w:w="2426" w:type="pct"/>
            <w:vAlign w:val="bottom"/>
          </w:tcPr>
          <w:p w14:paraId="12DD7F52"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Prietaisą turi instaliuoti ir apmokyti darbui su siūlomos serijos sistemomis gamintojo arba jo atstovo, tiekėjo paskirtas asmuo. (Galimas laimėtojas privalės pagrįsti dokumentais.)</w:t>
            </w:r>
          </w:p>
        </w:tc>
        <w:tc>
          <w:tcPr>
            <w:tcW w:w="1364" w:type="pct"/>
          </w:tcPr>
          <w:p w14:paraId="1D55E2E0"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7D74F183" w14:textId="02ED6CA4" w:rsidTr="002A7EBF">
        <w:tc>
          <w:tcPr>
            <w:tcW w:w="316" w:type="pct"/>
            <w:vAlign w:val="bottom"/>
          </w:tcPr>
          <w:p w14:paraId="3F1FD0FD"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54</w:t>
            </w:r>
          </w:p>
        </w:tc>
        <w:tc>
          <w:tcPr>
            <w:tcW w:w="894" w:type="pct"/>
            <w:vAlign w:val="bottom"/>
          </w:tcPr>
          <w:p w14:paraId="42A1589F" w14:textId="77777777" w:rsidR="001E32E2" w:rsidRPr="002A7EBF" w:rsidRDefault="001E32E2" w:rsidP="00151F4D">
            <w:p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Garantija, aptarnavimas.</w:t>
            </w:r>
          </w:p>
        </w:tc>
        <w:tc>
          <w:tcPr>
            <w:tcW w:w="2426" w:type="pct"/>
            <w:vAlign w:val="bottom"/>
          </w:tcPr>
          <w:p w14:paraId="42D19604"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 xml:space="preserve">Įrangai turi būti suteikiama ne mažiau kaip 12 mėnesių garantija. </w:t>
            </w:r>
          </w:p>
        </w:tc>
        <w:tc>
          <w:tcPr>
            <w:tcW w:w="1364" w:type="pct"/>
          </w:tcPr>
          <w:p w14:paraId="696D8B12"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r w:rsidR="001E32E2" w:rsidRPr="002A7EBF" w14:paraId="72EB69EC" w14:textId="2A7D13ED" w:rsidTr="002A7EBF">
        <w:tc>
          <w:tcPr>
            <w:tcW w:w="316" w:type="pct"/>
            <w:vAlign w:val="bottom"/>
          </w:tcPr>
          <w:p w14:paraId="0A623B89" w14:textId="77777777" w:rsidR="001E32E2" w:rsidRPr="002A7EBF" w:rsidRDefault="001E32E2" w:rsidP="00151F4D">
            <w:pPr>
              <w:pStyle w:val="ListParagraph"/>
              <w:numPr>
                <w:ilvl w:val="0"/>
                <w:numId w:val="3"/>
              </w:num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55</w:t>
            </w:r>
          </w:p>
        </w:tc>
        <w:tc>
          <w:tcPr>
            <w:tcW w:w="894" w:type="pct"/>
            <w:vAlign w:val="bottom"/>
          </w:tcPr>
          <w:p w14:paraId="75929D81" w14:textId="77777777" w:rsidR="001E32E2" w:rsidRPr="002A7EBF" w:rsidRDefault="001E32E2" w:rsidP="00151F4D">
            <w:pPr>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Kiti reikalavimai</w:t>
            </w:r>
          </w:p>
        </w:tc>
        <w:tc>
          <w:tcPr>
            <w:tcW w:w="2426" w:type="pct"/>
            <w:vAlign w:val="bottom"/>
          </w:tcPr>
          <w:p w14:paraId="14B15A8C" w14:textId="77777777" w:rsidR="001E32E2" w:rsidRPr="002A7EBF" w:rsidRDefault="001E32E2" w:rsidP="002A7EBF">
            <w:pPr>
              <w:jc w:val="both"/>
              <w:rPr>
                <w:rFonts w:asciiTheme="majorBidi" w:hAnsiTheme="majorBidi" w:cstheme="majorBidi"/>
                <w:sz w:val="20"/>
                <w:szCs w:val="20"/>
                <w:lang w:val="lt-LT"/>
              </w:rPr>
            </w:pPr>
            <w:r w:rsidRPr="002A7EBF">
              <w:rPr>
                <w:rFonts w:asciiTheme="majorBidi" w:eastAsia="Times New Roman" w:hAnsiTheme="majorBidi" w:cstheme="majorBidi"/>
                <w:color w:val="000000"/>
                <w:kern w:val="0"/>
                <w:sz w:val="20"/>
                <w:szCs w:val="20"/>
                <w:lang w:val="lt-LT"/>
                <w14:ligatures w14:val="none"/>
              </w:rPr>
              <w:t>Siūlomos sistemos atitikimą techniniams reikalavimams privaloma pagrįsti oficialiais gamintojo dokumentais (brošiūros ir pan.), kuriuose būtų pateiktos kiekvieno deklaruojamo parametro vertės. Taip pat nurodyti dokumentą ir puslapį bei dokumente pažymėti reikiamą parametrą. Dokumentus pateikti kartu su pasiūlymu CVP IS priemonėmis.</w:t>
            </w:r>
          </w:p>
        </w:tc>
        <w:tc>
          <w:tcPr>
            <w:tcW w:w="1364" w:type="pct"/>
          </w:tcPr>
          <w:p w14:paraId="1B72222C" w14:textId="77777777" w:rsidR="001E32E2" w:rsidRPr="002A7EBF" w:rsidRDefault="001E32E2" w:rsidP="00151F4D">
            <w:pPr>
              <w:rPr>
                <w:rFonts w:asciiTheme="majorBidi" w:eastAsia="Times New Roman" w:hAnsiTheme="majorBidi" w:cstheme="majorBidi"/>
                <w:color w:val="000000"/>
                <w:kern w:val="0"/>
                <w:sz w:val="20"/>
                <w:szCs w:val="20"/>
                <w:lang w:val="lt-LT"/>
                <w14:ligatures w14:val="none"/>
              </w:rPr>
            </w:pPr>
          </w:p>
        </w:tc>
      </w:tr>
    </w:tbl>
    <w:p w14:paraId="721578B1" w14:textId="77777777" w:rsidR="00005C96" w:rsidRPr="002A7EBF" w:rsidRDefault="00005C96">
      <w:pPr>
        <w:rPr>
          <w:lang w:val="lt-LT"/>
        </w:rPr>
      </w:pPr>
    </w:p>
    <w:sectPr w:rsidR="00005C96" w:rsidRPr="002A7E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D5F4D" w14:textId="77777777" w:rsidR="00AC3D1E" w:rsidRDefault="00AC3D1E" w:rsidP="0020384E">
      <w:pPr>
        <w:spacing w:after="0" w:line="240" w:lineRule="auto"/>
      </w:pPr>
      <w:r>
        <w:separator/>
      </w:r>
    </w:p>
  </w:endnote>
  <w:endnote w:type="continuationSeparator" w:id="0">
    <w:p w14:paraId="4CA72283" w14:textId="77777777" w:rsidR="00AC3D1E" w:rsidRDefault="00AC3D1E" w:rsidP="00203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D6FC4" w14:textId="77777777" w:rsidR="00AC3D1E" w:rsidRDefault="00AC3D1E" w:rsidP="0020384E">
      <w:pPr>
        <w:spacing w:after="0" w:line="240" w:lineRule="auto"/>
      </w:pPr>
      <w:r>
        <w:separator/>
      </w:r>
    </w:p>
  </w:footnote>
  <w:footnote w:type="continuationSeparator" w:id="0">
    <w:p w14:paraId="408120F9" w14:textId="77777777" w:rsidR="00AC3D1E" w:rsidRDefault="00AC3D1E" w:rsidP="00203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F791A"/>
    <w:multiLevelType w:val="hybridMultilevel"/>
    <w:tmpl w:val="6FB022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A8D5ABC"/>
    <w:multiLevelType w:val="hybridMultilevel"/>
    <w:tmpl w:val="33328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8C4DFD"/>
    <w:multiLevelType w:val="multilevel"/>
    <w:tmpl w:val="403A3BAA"/>
    <w:lvl w:ilvl="0">
      <w:numFmt w:val="bullet"/>
      <w:lvlText w:val=""/>
      <w:lvlJc w:val="left"/>
      <w:pPr>
        <w:ind w:left="750" w:hanging="360"/>
      </w:pPr>
      <w:rPr>
        <w:rFonts w:ascii="Symbol" w:hAnsi="Symbol"/>
      </w:rPr>
    </w:lvl>
    <w:lvl w:ilvl="1">
      <w:numFmt w:val="bullet"/>
      <w:lvlText w:val="o"/>
      <w:lvlJc w:val="left"/>
      <w:pPr>
        <w:ind w:left="1470" w:hanging="360"/>
      </w:pPr>
      <w:rPr>
        <w:rFonts w:ascii="Courier New" w:hAnsi="Courier New" w:cs="Courier New"/>
      </w:rPr>
    </w:lvl>
    <w:lvl w:ilvl="2">
      <w:numFmt w:val="bullet"/>
      <w:lvlText w:val=""/>
      <w:lvlJc w:val="left"/>
      <w:pPr>
        <w:ind w:left="2190" w:hanging="360"/>
      </w:pPr>
      <w:rPr>
        <w:rFonts w:ascii="Wingdings" w:hAnsi="Wingdings"/>
      </w:rPr>
    </w:lvl>
    <w:lvl w:ilvl="3">
      <w:numFmt w:val="bullet"/>
      <w:lvlText w:val=""/>
      <w:lvlJc w:val="left"/>
      <w:pPr>
        <w:ind w:left="2910" w:hanging="360"/>
      </w:pPr>
      <w:rPr>
        <w:rFonts w:ascii="Symbol" w:hAnsi="Symbol"/>
      </w:rPr>
    </w:lvl>
    <w:lvl w:ilvl="4">
      <w:numFmt w:val="bullet"/>
      <w:lvlText w:val="o"/>
      <w:lvlJc w:val="left"/>
      <w:pPr>
        <w:ind w:left="3630" w:hanging="360"/>
      </w:pPr>
      <w:rPr>
        <w:rFonts w:ascii="Courier New" w:hAnsi="Courier New" w:cs="Courier New"/>
      </w:rPr>
    </w:lvl>
    <w:lvl w:ilvl="5">
      <w:numFmt w:val="bullet"/>
      <w:lvlText w:val=""/>
      <w:lvlJc w:val="left"/>
      <w:pPr>
        <w:ind w:left="4350" w:hanging="360"/>
      </w:pPr>
      <w:rPr>
        <w:rFonts w:ascii="Wingdings" w:hAnsi="Wingdings"/>
      </w:rPr>
    </w:lvl>
    <w:lvl w:ilvl="6">
      <w:numFmt w:val="bullet"/>
      <w:lvlText w:val=""/>
      <w:lvlJc w:val="left"/>
      <w:pPr>
        <w:ind w:left="5070" w:hanging="360"/>
      </w:pPr>
      <w:rPr>
        <w:rFonts w:ascii="Symbol" w:hAnsi="Symbol"/>
      </w:rPr>
    </w:lvl>
    <w:lvl w:ilvl="7">
      <w:numFmt w:val="bullet"/>
      <w:lvlText w:val="o"/>
      <w:lvlJc w:val="left"/>
      <w:pPr>
        <w:ind w:left="5790" w:hanging="360"/>
      </w:pPr>
      <w:rPr>
        <w:rFonts w:ascii="Courier New" w:hAnsi="Courier New" w:cs="Courier New"/>
      </w:rPr>
    </w:lvl>
    <w:lvl w:ilvl="8">
      <w:numFmt w:val="bullet"/>
      <w:lvlText w:val=""/>
      <w:lvlJc w:val="left"/>
      <w:pPr>
        <w:ind w:left="6510" w:hanging="360"/>
      </w:pPr>
      <w:rPr>
        <w:rFonts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88D"/>
    <w:rsid w:val="00005C96"/>
    <w:rsid w:val="000459DC"/>
    <w:rsid w:val="000655CF"/>
    <w:rsid w:val="000B2442"/>
    <w:rsid w:val="000D2CB3"/>
    <w:rsid w:val="00103045"/>
    <w:rsid w:val="001A6566"/>
    <w:rsid w:val="001E32E2"/>
    <w:rsid w:val="0020384E"/>
    <w:rsid w:val="00217631"/>
    <w:rsid w:val="00260638"/>
    <w:rsid w:val="00266241"/>
    <w:rsid w:val="002A7EBF"/>
    <w:rsid w:val="002C4840"/>
    <w:rsid w:val="002D6AFA"/>
    <w:rsid w:val="002F3469"/>
    <w:rsid w:val="00313B5D"/>
    <w:rsid w:val="003813C6"/>
    <w:rsid w:val="00394716"/>
    <w:rsid w:val="003A6F0E"/>
    <w:rsid w:val="0042241A"/>
    <w:rsid w:val="00461A59"/>
    <w:rsid w:val="004663CB"/>
    <w:rsid w:val="004836B4"/>
    <w:rsid w:val="00483F89"/>
    <w:rsid w:val="00496E18"/>
    <w:rsid w:val="004A09F2"/>
    <w:rsid w:val="004A39C2"/>
    <w:rsid w:val="004C2D8C"/>
    <w:rsid w:val="00557CB4"/>
    <w:rsid w:val="005C1DF2"/>
    <w:rsid w:val="005D540B"/>
    <w:rsid w:val="0060749B"/>
    <w:rsid w:val="00620129"/>
    <w:rsid w:val="00662C2C"/>
    <w:rsid w:val="00667C29"/>
    <w:rsid w:val="00675278"/>
    <w:rsid w:val="00677F8C"/>
    <w:rsid w:val="006E25E1"/>
    <w:rsid w:val="007057D2"/>
    <w:rsid w:val="00712213"/>
    <w:rsid w:val="00747AC6"/>
    <w:rsid w:val="00822A85"/>
    <w:rsid w:val="00883B13"/>
    <w:rsid w:val="008A469A"/>
    <w:rsid w:val="008B251F"/>
    <w:rsid w:val="008F4EC1"/>
    <w:rsid w:val="00A35F72"/>
    <w:rsid w:val="00A441EA"/>
    <w:rsid w:val="00A959D8"/>
    <w:rsid w:val="00AC00F8"/>
    <w:rsid w:val="00AC3D1E"/>
    <w:rsid w:val="00AC4A50"/>
    <w:rsid w:val="00AF63D2"/>
    <w:rsid w:val="00B612F5"/>
    <w:rsid w:val="00BA7EF5"/>
    <w:rsid w:val="00BB38A6"/>
    <w:rsid w:val="00BD0A03"/>
    <w:rsid w:val="00BF7D8B"/>
    <w:rsid w:val="00C10A87"/>
    <w:rsid w:val="00C4563E"/>
    <w:rsid w:val="00C77025"/>
    <w:rsid w:val="00CB088D"/>
    <w:rsid w:val="00CE7DE0"/>
    <w:rsid w:val="00DD6C2E"/>
    <w:rsid w:val="00E20D04"/>
    <w:rsid w:val="00E53E5F"/>
    <w:rsid w:val="00EA48D8"/>
    <w:rsid w:val="00EA657F"/>
    <w:rsid w:val="00EB6E52"/>
    <w:rsid w:val="00EC6E98"/>
    <w:rsid w:val="00F560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664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8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8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8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8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88D"/>
    <w:rPr>
      <w:rFonts w:eastAsiaTheme="majorEastAsia" w:cstheme="majorBidi"/>
      <w:color w:val="272727" w:themeColor="text1" w:themeTint="D8"/>
    </w:rPr>
  </w:style>
  <w:style w:type="paragraph" w:styleId="Title">
    <w:name w:val="Title"/>
    <w:basedOn w:val="Normal"/>
    <w:next w:val="Normal"/>
    <w:link w:val="TitleChar"/>
    <w:uiPriority w:val="10"/>
    <w:qFormat/>
    <w:rsid w:val="00CB0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8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88D"/>
    <w:pPr>
      <w:spacing w:before="160"/>
      <w:jc w:val="center"/>
    </w:pPr>
    <w:rPr>
      <w:i/>
      <w:iCs/>
      <w:color w:val="404040" w:themeColor="text1" w:themeTint="BF"/>
    </w:rPr>
  </w:style>
  <w:style w:type="character" w:customStyle="1" w:styleId="QuoteChar">
    <w:name w:val="Quote Char"/>
    <w:basedOn w:val="DefaultParagraphFont"/>
    <w:link w:val="Quote"/>
    <w:uiPriority w:val="29"/>
    <w:rsid w:val="00CB088D"/>
    <w:rPr>
      <w:i/>
      <w:iCs/>
      <w:color w:val="404040" w:themeColor="text1" w:themeTint="BF"/>
    </w:rPr>
  </w:style>
  <w:style w:type="paragraph" w:styleId="ListParagraph">
    <w:name w:val="List Paragraph"/>
    <w:basedOn w:val="Normal"/>
    <w:uiPriority w:val="34"/>
    <w:qFormat/>
    <w:rsid w:val="00CB088D"/>
    <w:pPr>
      <w:ind w:left="720"/>
      <w:contextualSpacing/>
    </w:pPr>
  </w:style>
  <w:style w:type="character" w:styleId="IntenseEmphasis">
    <w:name w:val="Intense Emphasis"/>
    <w:basedOn w:val="DefaultParagraphFont"/>
    <w:uiPriority w:val="21"/>
    <w:qFormat/>
    <w:rsid w:val="00CB088D"/>
    <w:rPr>
      <w:i/>
      <w:iCs/>
      <w:color w:val="0F4761" w:themeColor="accent1" w:themeShade="BF"/>
    </w:rPr>
  </w:style>
  <w:style w:type="paragraph" w:styleId="IntenseQuote">
    <w:name w:val="Intense Quote"/>
    <w:basedOn w:val="Normal"/>
    <w:next w:val="Normal"/>
    <w:link w:val="IntenseQuoteChar"/>
    <w:uiPriority w:val="30"/>
    <w:qFormat/>
    <w:rsid w:val="00CB0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88D"/>
    <w:rPr>
      <w:i/>
      <w:iCs/>
      <w:color w:val="0F4761" w:themeColor="accent1" w:themeShade="BF"/>
    </w:rPr>
  </w:style>
  <w:style w:type="character" w:styleId="IntenseReference">
    <w:name w:val="Intense Reference"/>
    <w:basedOn w:val="DefaultParagraphFont"/>
    <w:uiPriority w:val="32"/>
    <w:qFormat/>
    <w:rsid w:val="00CB088D"/>
    <w:rPr>
      <w:b/>
      <w:bCs/>
      <w:smallCaps/>
      <w:color w:val="0F4761" w:themeColor="accent1" w:themeShade="BF"/>
      <w:spacing w:val="5"/>
    </w:rPr>
  </w:style>
  <w:style w:type="table" w:styleId="TableGrid">
    <w:name w:val="Table Grid"/>
    <w:basedOn w:val="TableNormal"/>
    <w:uiPriority w:val="39"/>
    <w:rsid w:val="00CB0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84E"/>
  </w:style>
  <w:style w:type="paragraph" w:styleId="Footer">
    <w:name w:val="footer"/>
    <w:basedOn w:val="Normal"/>
    <w:link w:val="FooterChar"/>
    <w:uiPriority w:val="99"/>
    <w:unhideWhenUsed/>
    <w:rsid w:val="00203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84E"/>
  </w:style>
  <w:style w:type="paragraph" w:customStyle="1" w:styleId="Default">
    <w:name w:val="Default"/>
    <w:rsid w:val="00005C96"/>
    <w:pPr>
      <w:autoSpaceDE w:val="0"/>
      <w:autoSpaceDN w:val="0"/>
      <w:adjustRightInd w:val="0"/>
      <w:spacing w:after="0" w:line="240" w:lineRule="auto"/>
    </w:pPr>
    <w:rPr>
      <w:rFonts w:ascii="Times New Roman" w:hAnsi="Times New Roman" w:cs="Times New Roman"/>
      <w:color w:val="000000"/>
      <w:kern w:val="0"/>
      <w:lang w:val="lt-LT"/>
    </w:rPr>
  </w:style>
  <w:style w:type="paragraph" w:styleId="NormalWeb">
    <w:name w:val="Normal (Web)"/>
    <w:basedOn w:val="Normal"/>
    <w:uiPriority w:val="99"/>
    <w:semiHidden/>
    <w:unhideWhenUsed/>
    <w:rsid w:val="001E32E2"/>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9007</Words>
  <Characters>5134</Characters>
  <Application>Microsoft Office Word</Application>
  <DocSecurity>0</DocSecurity>
  <Lines>42</Lines>
  <Paragraphs>28</Paragraphs>
  <ScaleCrop>false</ScaleCrop>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2025-10-07T13:16:00Z</dcterms:created>
  <dcterms:modified xsi:type="dcterms:W3CDTF">2025-10-07T13:56:00Z</dcterms:modified>
</cp:coreProperties>
</file>