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F42BB" w14:textId="77777777" w:rsidR="00C750CC" w:rsidRDefault="00F504BF" w:rsidP="00F504BF">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382279">
        <w:rPr>
          <w:rFonts w:eastAsia="Times New Roman"/>
          <w:szCs w:val="24"/>
        </w:rPr>
        <w:t xml:space="preserve">Supaprastinto atviro konkurso </w:t>
      </w:r>
      <w:r w:rsidRPr="00F504BF">
        <w:rPr>
          <w:rFonts w:eastAsia="Times New Roman"/>
          <w:szCs w:val="24"/>
        </w:rPr>
        <w:t xml:space="preserve"> sąlygų</w:t>
      </w:r>
    </w:p>
    <w:p w14:paraId="1B3F2FDF" w14:textId="68E6BA8B" w:rsidR="00F504BF" w:rsidRPr="00F504BF" w:rsidRDefault="00F504BF" w:rsidP="00F504BF">
      <w:pPr>
        <w:tabs>
          <w:tab w:val="left" w:pos="720"/>
        </w:tabs>
        <w:jc w:val="right"/>
        <w:rPr>
          <w:rFonts w:eastAsia="Times New Roman"/>
          <w:szCs w:val="24"/>
        </w:rPr>
      </w:pPr>
      <w:r w:rsidRPr="00F504BF">
        <w:rPr>
          <w:rFonts w:eastAsia="Times New Roman"/>
          <w:szCs w:val="24"/>
        </w:rPr>
        <w:t xml:space="preserve"> 1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503B0E0" w14:textId="77777777" w:rsidR="00246A2F" w:rsidRPr="002C7ED5" w:rsidRDefault="00246A2F" w:rsidP="00246A2F">
      <w:pPr>
        <w:jc w:val="center"/>
        <w:rPr>
          <w:b/>
          <w:bCs/>
          <w:color w:val="000000"/>
          <w:szCs w:val="22"/>
        </w:rPr>
      </w:pPr>
      <w:r w:rsidRPr="00AC1A33">
        <w:rPr>
          <w:b/>
          <w:bCs/>
          <w:szCs w:val="24"/>
        </w:rPr>
        <w:t xml:space="preserve">DĖL </w:t>
      </w:r>
      <w:r>
        <w:rPr>
          <w:b/>
          <w:bCs/>
          <w:szCs w:val="22"/>
        </w:rPr>
        <w:t>MOKĖJIMO PRANEŠIMŲ UŽ KOMUNALINIŲ ATLIEKŲ SURINKIMĄ IR TVARKYMĄ SPAUSDINIMO, VOKAVIMO IR IŠSIUNTIMO PASLAUGŲ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246A2F">
        <w:rPr>
          <w:u w:val="single"/>
        </w:rPr>
        <w:t>remiasi</w:t>
      </w:r>
      <w:r w:rsidRPr="00246A2F">
        <w:t>,</w:t>
      </w:r>
      <w:r w:rsidRPr="00F504BF">
        <w:t xml:space="preserve">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246A2F">
        <w:rPr>
          <w:szCs w:val="24"/>
          <w:u w:val="single"/>
        </w:rPr>
        <w:t>nesiremia</w:t>
      </w:r>
      <w:r w:rsidRPr="00246A2F">
        <w:rPr>
          <w:szCs w:val="24"/>
        </w:rPr>
        <w:t>,</w:t>
      </w:r>
      <w:r w:rsidRPr="00F504BF">
        <w:rPr>
          <w:szCs w:val="24"/>
        </w:rPr>
        <w:t xml:space="preserve">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3FC98079"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 xml:space="preserve">1) paskelbus Centrinėje viešųjų pirkimų informacinėje sistemoje (CVP IS) adresu </w:t>
      </w:r>
      <w:hyperlink r:id="rId4" w:history="1">
        <w:r w:rsidRPr="00EF7302">
          <w:rPr>
            <w:rStyle w:val="Hipersaitas"/>
            <w:color w:val="auto"/>
            <w:kern w:val="2"/>
            <w:szCs w:val="24"/>
            <w:u w:val="none"/>
            <w:lang w:eastAsia="hi-IN" w:bidi="hi-IN"/>
          </w:rPr>
          <w:t>https://pirkimai.eviesiejipirkimai.lt/</w:t>
        </w:r>
      </w:hyperlink>
      <w:r w:rsidRPr="00F504BF">
        <w:rPr>
          <w:kern w:val="2"/>
          <w:szCs w:val="24"/>
          <w:lang w:eastAsia="hi-IN" w:bidi="hi-IN"/>
        </w:rPr>
        <w:t>;</w:t>
      </w:r>
    </w:p>
    <w:p w14:paraId="71A4A552" w14:textId="77777777" w:rsidR="00246A2F" w:rsidRDefault="00F504BF" w:rsidP="00246A2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7E4A84F2" w14:textId="54672184" w:rsidR="00246A2F" w:rsidRPr="00246A2F" w:rsidRDefault="00246A2F" w:rsidP="00246A2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Pr>
          <w:i/>
          <w:kern w:val="2"/>
          <w:szCs w:val="24"/>
          <w:lang w:eastAsia="hi-IN" w:bidi="hi-IN"/>
        </w:rPr>
        <w:tab/>
      </w:r>
      <w:r>
        <w:rPr>
          <w:szCs w:val="24"/>
        </w:rPr>
        <w:t>Pasiūlymas galioja iki termino, nustatyto pirkimo dokumentuose.</w:t>
      </w:r>
    </w:p>
    <w:p w14:paraId="667B3D41" w14:textId="77777777" w:rsidR="00F504BF" w:rsidRPr="00F504BF" w:rsidRDefault="00F504BF" w:rsidP="00F504BF">
      <w:pPr>
        <w:jc w:val="both"/>
        <w:rPr>
          <w:b/>
          <w:szCs w:val="24"/>
        </w:rPr>
      </w:pPr>
    </w:p>
    <w:p w14:paraId="20E9DAE7" w14:textId="46BFA24B" w:rsidR="00F504BF" w:rsidRPr="00F504BF" w:rsidRDefault="00F504BF" w:rsidP="00F504BF">
      <w:pPr>
        <w:jc w:val="both"/>
        <w:rPr>
          <w:b/>
          <w:szCs w:val="24"/>
        </w:rPr>
      </w:pPr>
      <w:r w:rsidRPr="00F504BF">
        <w:rPr>
          <w:b/>
          <w:szCs w:val="24"/>
        </w:rPr>
        <w:t>Mes siūlome:</w:t>
      </w:r>
    </w:p>
    <w:p w14:paraId="5428D813" w14:textId="0D3CB192" w:rsidR="005C376A" w:rsidRPr="00904465" w:rsidRDefault="00246A2F" w:rsidP="005C376A">
      <w:pPr>
        <w:jc w:val="both"/>
        <w:rPr>
          <w:b/>
          <w:i/>
          <w:color w:val="000000" w:themeColor="text1"/>
          <w:szCs w:val="24"/>
        </w:rPr>
      </w:pPr>
      <w:r>
        <w:rPr>
          <w:color w:val="000000"/>
          <w:kern w:val="2"/>
          <w:szCs w:val="24"/>
          <w:lang w:eastAsia="hi-IN" w:bidi="hi-IN"/>
        </w:rPr>
        <w:t>4</w:t>
      </w:r>
      <w:r w:rsidRPr="00C72682">
        <w:rPr>
          <w:b/>
          <w:i/>
          <w:color w:val="000000" w:themeColor="text1"/>
          <w:szCs w:val="24"/>
        </w:rPr>
        <w:t xml:space="preserve"> lentelė.</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2135"/>
        <w:gridCol w:w="1417"/>
        <w:gridCol w:w="1560"/>
        <w:gridCol w:w="1559"/>
        <w:gridCol w:w="1459"/>
        <w:gridCol w:w="1230"/>
      </w:tblGrid>
      <w:tr w:rsidR="005C376A" w:rsidRPr="00633E86" w14:paraId="49144C73" w14:textId="77777777" w:rsidTr="006F3110">
        <w:trPr>
          <w:trHeight w:val="844"/>
          <w:jc w:val="center"/>
        </w:trPr>
        <w:tc>
          <w:tcPr>
            <w:tcW w:w="556" w:type="dxa"/>
            <w:shd w:val="clear" w:color="auto" w:fill="auto"/>
            <w:vAlign w:val="center"/>
          </w:tcPr>
          <w:p w14:paraId="3DF63408" w14:textId="77777777" w:rsidR="005C376A" w:rsidRPr="008B261C" w:rsidRDefault="005C376A" w:rsidP="006F3110">
            <w:pPr>
              <w:jc w:val="center"/>
              <w:outlineLvl w:val="0"/>
              <w:rPr>
                <w:bCs/>
                <w:color w:val="000000"/>
                <w:szCs w:val="24"/>
              </w:rPr>
            </w:pPr>
            <w:r w:rsidRPr="008B261C">
              <w:rPr>
                <w:bCs/>
                <w:color w:val="000000"/>
                <w:szCs w:val="24"/>
              </w:rPr>
              <w:t>Eil. Nr.</w:t>
            </w:r>
          </w:p>
        </w:tc>
        <w:tc>
          <w:tcPr>
            <w:tcW w:w="2135" w:type="dxa"/>
            <w:shd w:val="clear" w:color="auto" w:fill="auto"/>
            <w:vAlign w:val="center"/>
          </w:tcPr>
          <w:p w14:paraId="2936FCA9" w14:textId="77777777" w:rsidR="005C376A" w:rsidRPr="008B261C" w:rsidRDefault="005C376A" w:rsidP="006F3110">
            <w:pPr>
              <w:jc w:val="center"/>
              <w:outlineLvl w:val="0"/>
              <w:rPr>
                <w:bCs/>
                <w:color w:val="000000"/>
                <w:szCs w:val="24"/>
              </w:rPr>
            </w:pPr>
            <w:r w:rsidRPr="008B261C">
              <w:rPr>
                <w:bCs/>
                <w:color w:val="000000"/>
                <w:szCs w:val="24"/>
              </w:rPr>
              <w:t>Pavadinimas</w:t>
            </w:r>
          </w:p>
        </w:tc>
        <w:tc>
          <w:tcPr>
            <w:tcW w:w="1417" w:type="dxa"/>
            <w:shd w:val="clear" w:color="auto" w:fill="auto"/>
            <w:vAlign w:val="center"/>
          </w:tcPr>
          <w:p w14:paraId="3D87AC7F" w14:textId="77777777" w:rsidR="005C376A" w:rsidRDefault="005C376A" w:rsidP="006F3110">
            <w:pPr>
              <w:jc w:val="center"/>
              <w:outlineLvl w:val="0"/>
              <w:rPr>
                <w:bCs/>
                <w:szCs w:val="24"/>
              </w:rPr>
            </w:pPr>
            <w:r>
              <w:rPr>
                <w:rFonts w:eastAsia="Times New Roman"/>
                <w:szCs w:val="24"/>
              </w:rPr>
              <w:t>Maksimalū</w:t>
            </w:r>
            <w:r w:rsidRPr="00AA1FFE">
              <w:rPr>
                <w:rFonts w:eastAsia="Times New Roman"/>
                <w:szCs w:val="24"/>
              </w:rPr>
              <w:t>s kiekiai (vnt.)</w:t>
            </w:r>
          </w:p>
          <w:p w14:paraId="18F15A75" w14:textId="77777777" w:rsidR="005C376A" w:rsidRPr="0084565B" w:rsidRDefault="005C376A" w:rsidP="006F3110">
            <w:pPr>
              <w:jc w:val="center"/>
              <w:outlineLvl w:val="0"/>
              <w:rPr>
                <w:b/>
                <w:color w:val="000000"/>
                <w:szCs w:val="24"/>
              </w:rPr>
            </w:pPr>
          </w:p>
        </w:tc>
        <w:tc>
          <w:tcPr>
            <w:tcW w:w="1560" w:type="dxa"/>
            <w:shd w:val="clear" w:color="auto" w:fill="auto"/>
            <w:vAlign w:val="center"/>
          </w:tcPr>
          <w:p w14:paraId="7E27F791" w14:textId="77777777" w:rsidR="005C376A" w:rsidRPr="0084565B" w:rsidRDefault="005C376A" w:rsidP="006F3110">
            <w:pPr>
              <w:jc w:val="center"/>
              <w:rPr>
                <w:bCs/>
                <w:color w:val="000000"/>
                <w:szCs w:val="24"/>
              </w:rPr>
            </w:pPr>
            <w:r w:rsidRPr="0084565B">
              <w:rPr>
                <w:bCs/>
                <w:color w:val="000000"/>
                <w:szCs w:val="24"/>
              </w:rPr>
              <w:t>Vieno</w:t>
            </w:r>
            <w:r>
              <w:rPr>
                <w:bCs/>
                <w:color w:val="000000"/>
                <w:szCs w:val="24"/>
              </w:rPr>
              <w:t xml:space="preserve"> vnt.</w:t>
            </w:r>
            <w:r w:rsidRPr="0084565B">
              <w:rPr>
                <w:bCs/>
                <w:color w:val="000000"/>
                <w:szCs w:val="24"/>
              </w:rPr>
              <w:t xml:space="preserve"> </w:t>
            </w:r>
          </w:p>
          <w:p w14:paraId="5E51774D" w14:textId="77777777" w:rsidR="005C376A" w:rsidRPr="0084565B" w:rsidRDefault="005C376A" w:rsidP="006F3110">
            <w:pPr>
              <w:jc w:val="center"/>
              <w:rPr>
                <w:bCs/>
                <w:color w:val="000000"/>
                <w:szCs w:val="24"/>
              </w:rPr>
            </w:pPr>
            <w:r w:rsidRPr="0084565B">
              <w:rPr>
                <w:bCs/>
                <w:color w:val="000000"/>
                <w:szCs w:val="24"/>
              </w:rPr>
              <w:t>įkainis Eur be PVM</w:t>
            </w:r>
          </w:p>
        </w:tc>
        <w:tc>
          <w:tcPr>
            <w:tcW w:w="1559" w:type="dxa"/>
            <w:shd w:val="clear" w:color="auto" w:fill="auto"/>
            <w:vAlign w:val="center"/>
          </w:tcPr>
          <w:p w14:paraId="765AA81A" w14:textId="77777777" w:rsidR="005C376A" w:rsidRPr="0084565B" w:rsidRDefault="005C376A" w:rsidP="006F3110">
            <w:pPr>
              <w:jc w:val="center"/>
              <w:rPr>
                <w:bCs/>
                <w:color w:val="000000"/>
                <w:szCs w:val="24"/>
              </w:rPr>
            </w:pPr>
            <w:r w:rsidRPr="0084565B">
              <w:rPr>
                <w:bCs/>
                <w:color w:val="000000"/>
                <w:szCs w:val="24"/>
              </w:rPr>
              <w:t>Vieno</w:t>
            </w:r>
            <w:r>
              <w:rPr>
                <w:bCs/>
                <w:color w:val="000000"/>
                <w:szCs w:val="24"/>
              </w:rPr>
              <w:t xml:space="preserve"> vnt.</w:t>
            </w:r>
            <w:r w:rsidRPr="0084565B">
              <w:rPr>
                <w:bCs/>
                <w:color w:val="000000"/>
                <w:szCs w:val="24"/>
              </w:rPr>
              <w:t xml:space="preserve"> </w:t>
            </w:r>
          </w:p>
          <w:p w14:paraId="0EEFD334" w14:textId="77777777" w:rsidR="005C376A" w:rsidRPr="006D2D96" w:rsidRDefault="005C376A" w:rsidP="006F3110">
            <w:pPr>
              <w:jc w:val="center"/>
              <w:rPr>
                <w:bCs/>
                <w:color w:val="000000"/>
                <w:sz w:val="22"/>
                <w:szCs w:val="22"/>
              </w:rPr>
            </w:pPr>
            <w:r w:rsidRPr="00707DC9">
              <w:rPr>
                <w:bCs/>
                <w:color w:val="000000"/>
                <w:szCs w:val="24"/>
              </w:rPr>
              <w:t>įkainio PVM Eur</w:t>
            </w:r>
          </w:p>
        </w:tc>
        <w:tc>
          <w:tcPr>
            <w:tcW w:w="1459" w:type="dxa"/>
            <w:shd w:val="clear" w:color="auto" w:fill="auto"/>
            <w:vAlign w:val="center"/>
          </w:tcPr>
          <w:p w14:paraId="218618C8" w14:textId="77777777" w:rsidR="005C376A" w:rsidRPr="0084565B" w:rsidRDefault="005C376A" w:rsidP="006F3110">
            <w:pPr>
              <w:jc w:val="center"/>
              <w:rPr>
                <w:bCs/>
                <w:color w:val="000000"/>
                <w:szCs w:val="24"/>
              </w:rPr>
            </w:pPr>
            <w:r w:rsidRPr="0084565B">
              <w:rPr>
                <w:bCs/>
                <w:color w:val="000000"/>
                <w:szCs w:val="24"/>
              </w:rPr>
              <w:t>Vieno</w:t>
            </w:r>
            <w:r>
              <w:rPr>
                <w:bCs/>
                <w:color w:val="000000"/>
                <w:szCs w:val="24"/>
              </w:rPr>
              <w:t xml:space="preserve"> vnt.</w:t>
            </w:r>
            <w:r w:rsidRPr="0084565B">
              <w:rPr>
                <w:bCs/>
                <w:color w:val="000000"/>
                <w:szCs w:val="24"/>
              </w:rPr>
              <w:t xml:space="preserve"> </w:t>
            </w:r>
          </w:p>
          <w:p w14:paraId="30716E8C" w14:textId="77777777" w:rsidR="005C376A" w:rsidRPr="00707DC9" w:rsidRDefault="005C376A" w:rsidP="006F3110">
            <w:pPr>
              <w:jc w:val="center"/>
              <w:rPr>
                <w:bCs/>
                <w:color w:val="000000"/>
                <w:szCs w:val="24"/>
              </w:rPr>
            </w:pPr>
            <w:r w:rsidRPr="00707DC9">
              <w:rPr>
                <w:bCs/>
                <w:color w:val="000000"/>
                <w:szCs w:val="24"/>
              </w:rPr>
              <w:t>įkainis Eur su PVM</w:t>
            </w:r>
          </w:p>
        </w:tc>
        <w:tc>
          <w:tcPr>
            <w:tcW w:w="1230" w:type="dxa"/>
            <w:shd w:val="clear" w:color="auto" w:fill="auto"/>
            <w:vAlign w:val="center"/>
          </w:tcPr>
          <w:p w14:paraId="0AAACC0D" w14:textId="77777777" w:rsidR="005C376A" w:rsidRPr="00707DC9" w:rsidRDefault="005C376A" w:rsidP="006F3110">
            <w:pPr>
              <w:jc w:val="center"/>
              <w:rPr>
                <w:bCs/>
                <w:color w:val="000000"/>
                <w:szCs w:val="24"/>
              </w:rPr>
            </w:pPr>
            <w:r w:rsidRPr="00707DC9">
              <w:rPr>
                <w:bCs/>
                <w:color w:val="000000"/>
                <w:szCs w:val="24"/>
              </w:rPr>
              <w:t xml:space="preserve">Bendra kaina Eur (su PVM) </w:t>
            </w:r>
          </w:p>
          <w:p w14:paraId="5562C45F" w14:textId="77777777" w:rsidR="005C376A" w:rsidRPr="00EB02F2" w:rsidRDefault="005C376A" w:rsidP="006F3110">
            <w:pPr>
              <w:jc w:val="center"/>
              <w:rPr>
                <w:bCs/>
                <w:szCs w:val="24"/>
              </w:rPr>
            </w:pPr>
            <w:r w:rsidRPr="00707DC9">
              <w:rPr>
                <w:bCs/>
                <w:szCs w:val="24"/>
              </w:rPr>
              <w:t>(</w:t>
            </w:r>
            <w:r w:rsidRPr="00707DC9">
              <w:rPr>
                <w:bCs/>
                <w:i/>
                <w:szCs w:val="24"/>
              </w:rPr>
              <w:t>3 ir 6 stulpelių sandauga</w:t>
            </w:r>
            <w:r w:rsidRPr="00707DC9">
              <w:rPr>
                <w:bCs/>
                <w:szCs w:val="24"/>
              </w:rPr>
              <w:t>)</w:t>
            </w:r>
          </w:p>
        </w:tc>
      </w:tr>
      <w:tr w:rsidR="005C376A" w:rsidRPr="00E21C22" w14:paraId="6F48E991" w14:textId="77777777" w:rsidTr="006F3110">
        <w:trPr>
          <w:trHeight w:val="188"/>
          <w:jc w:val="center"/>
        </w:trPr>
        <w:tc>
          <w:tcPr>
            <w:tcW w:w="556" w:type="dxa"/>
            <w:shd w:val="clear" w:color="auto" w:fill="auto"/>
            <w:vAlign w:val="center"/>
          </w:tcPr>
          <w:p w14:paraId="2AC5ACBF" w14:textId="77777777" w:rsidR="005C376A" w:rsidRPr="00707DC9" w:rsidRDefault="005C376A" w:rsidP="006F3110">
            <w:pPr>
              <w:jc w:val="center"/>
              <w:outlineLvl w:val="0"/>
              <w:rPr>
                <w:bCs/>
                <w:color w:val="000000"/>
                <w:sz w:val="22"/>
              </w:rPr>
            </w:pPr>
            <w:r w:rsidRPr="00707DC9">
              <w:rPr>
                <w:bCs/>
                <w:color w:val="000000"/>
                <w:sz w:val="22"/>
              </w:rPr>
              <w:t>1</w:t>
            </w:r>
          </w:p>
        </w:tc>
        <w:tc>
          <w:tcPr>
            <w:tcW w:w="2135" w:type="dxa"/>
            <w:shd w:val="clear" w:color="auto" w:fill="auto"/>
            <w:vAlign w:val="center"/>
          </w:tcPr>
          <w:p w14:paraId="7C80F479" w14:textId="77777777" w:rsidR="005C376A" w:rsidRPr="00707DC9" w:rsidRDefault="005C376A" w:rsidP="006F3110">
            <w:pPr>
              <w:jc w:val="center"/>
              <w:outlineLvl w:val="0"/>
              <w:rPr>
                <w:bCs/>
                <w:color w:val="000000"/>
                <w:sz w:val="22"/>
              </w:rPr>
            </w:pPr>
            <w:r w:rsidRPr="00707DC9">
              <w:rPr>
                <w:bCs/>
                <w:color w:val="000000"/>
                <w:sz w:val="22"/>
              </w:rPr>
              <w:t>2</w:t>
            </w:r>
          </w:p>
        </w:tc>
        <w:tc>
          <w:tcPr>
            <w:tcW w:w="1417" w:type="dxa"/>
            <w:shd w:val="clear" w:color="auto" w:fill="auto"/>
            <w:vAlign w:val="center"/>
          </w:tcPr>
          <w:p w14:paraId="7A2FC508" w14:textId="77777777" w:rsidR="005C376A" w:rsidRPr="00707DC9" w:rsidRDefault="005C376A" w:rsidP="006F3110">
            <w:pPr>
              <w:jc w:val="center"/>
              <w:outlineLvl w:val="0"/>
              <w:rPr>
                <w:bCs/>
                <w:color w:val="000000"/>
                <w:sz w:val="22"/>
              </w:rPr>
            </w:pPr>
            <w:r w:rsidRPr="00707DC9">
              <w:rPr>
                <w:bCs/>
                <w:color w:val="000000"/>
                <w:sz w:val="22"/>
              </w:rPr>
              <w:t>3</w:t>
            </w:r>
          </w:p>
        </w:tc>
        <w:tc>
          <w:tcPr>
            <w:tcW w:w="1560" w:type="dxa"/>
            <w:shd w:val="clear" w:color="auto" w:fill="auto"/>
            <w:vAlign w:val="center"/>
          </w:tcPr>
          <w:p w14:paraId="15A6C682" w14:textId="77777777" w:rsidR="005C376A" w:rsidRPr="00707DC9" w:rsidRDefault="005C376A" w:rsidP="006F3110">
            <w:pPr>
              <w:jc w:val="center"/>
              <w:outlineLvl w:val="0"/>
              <w:rPr>
                <w:bCs/>
                <w:color w:val="000000"/>
                <w:sz w:val="22"/>
              </w:rPr>
            </w:pPr>
            <w:r w:rsidRPr="00707DC9">
              <w:rPr>
                <w:bCs/>
                <w:color w:val="000000"/>
                <w:sz w:val="22"/>
              </w:rPr>
              <w:t>4</w:t>
            </w:r>
          </w:p>
        </w:tc>
        <w:tc>
          <w:tcPr>
            <w:tcW w:w="1559" w:type="dxa"/>
            <w:shd w:val="clear" w:color="auto" w:fill="auto"/>
            <w:vAlign w:val="center"/>
          </w:tcPr>
          <w:p w14:paraId="3A1A33C8" w14:textId="77777777" w:rsidR="005C376A" w:rsidRPr="00707DC9" w:rsidRDefault="005C376A" w:rsidP="006F3110">
            <w:pPr>
              <w:jc w:val="center"/>
              <w:outlineLvl w:val="0"/>
              <w:rPr>
                <w:bCs/>
                <w:color w:val="000000"/>
                <w:sz w:val="22"/>
              </w:rPr>
            </w:pPr>
            <w:r w:rsidRPr="00707DC9">
              <w:rPr>
                <w:bCs/>
                <w:color w:val="000000"/>
                <w:sz w:val="22"/>
              </w:rPr>
              <w:t>5</w:t>
            </w:r>
          </w:p>
        </w:tc>
        <w:tc>
          <w:tcPr>
            <w:tcW w:w="1459" w:type="dxa"/>
            <w:shd w:val="clear" w:color="auto" w:fill="auto"/>
            <w:vAlign w:val="center"/>
          </w:tcPr>
          <w:p w14:paraId="1A414F3C" w14:textId="77777777" w:rsidR="005C376A" w:rsidRPr="00707DC9" w:rsidRDefault="005C376A" w:rsidP="006F3110">
            <w:pPr>
              <w:jc w:val="center"/>
              <w:outlineLvl w:val="0"/>
              <w:rPr>
                <w:bCs/>
                <w:color w:val="000000"/>
                <w:sz w:val="22"/>
              </w:rPr>
            </w:pPr>
            <w:r w:rsidRPr="00707DC9">
              <w:rPr>
                <w:bCs/>
                <w:color w:val="000000"/>
                <w:sz w:val="22"/>
              </w:rPr>
              <w:t>6</w:t>
            </w:r>
          </w:p>
        </w:tc>
        <w:tc>
          <w:tcPr>
            <w:tcW w:w="1230" w:type="dxa"/>
            <w:shd w:val="clear" w:color="auto" w:fill="auto"/>
            <w:vAlign w:val="center"/>
          </w:tcPr>
          <w:p w14:paraId="56896086" w14:textId="77777777" w:rsidR="005C376A" w:rsidRPr="00707DC9" w:rsidRDefault="005C376A" w:rsidP="006F3110">
            <w:pPr>
              <w:jc w:val="center"/>
              <w:outlineLvl w:val="0"/>
              <w:rPr>
                <w:bCs/>
                <w:color w:val="000000"/>
                <w:sz w:val="22"/>
              </w:rPr>
            </w:pPr>
            <w:r w:rsidRPr="00707DC9">
              <w:rPr>
                <w:bCs/>
                <w:color w:val="000000"/>
                <w:sz w:val="22"/>
              </w:rPr>
              <w:t>7</w:t>
            </w:r>
          </w:p>
        </w:tc>
      </w:tr>
      <w:tr w:rsidR="005C376A" w:rsidRPr="00E21C22" w14:paraId="0264FF89" w14:textId="77777777" w:rsidTr="00904465">
        <w:trPr>
          <w:trHeight w:val="699"/>
          <w:jc w:val="center"/>
        </w:trPr>
        <w:tc>
          <w:tcPr>
            <w:tcW w:w="556" w:type="dxa"/>
            <w:shd w:val="clear" w:color="auto" w:fill="auto"/>
            <w:vAlign w:val="center"/>
          </w:tcPr>
          <w:p w14:paraId="5B35474D" w14:textId="77777777" w:rsidR="005C376A" w:rsidRPr="00E21C22" w:rsidRDefault="005C376A" w:rsidP="006F3110">
            <w:pPr>
              <w:outlineLvl w:val="0"/>
              <w:rPr>
                <w:color w:val="000000"/>
                <w:sz w:val="22"/>
              </w:rPr>
            </w:pPr>
            <w:r w:rsidRPr="00E21C22">
              <w:rPr>
                <w:color w:val="000000"/>
                <w:sz w:val="22"/>
              </w:rPr>
              <w:t>1.</w:t>
            </w:r>
          </w:p>
        </w:tc>
        <w:tc>
          <w:tcPr>
            <w:tcW w:w="2135" w:type="dxa"/>
          </w:tcPr>
          <w:p w14:paraId="25FD36E8" w14:textId="77777777" w:rsidR="005C376A" w:rsidRPr="00FD3D19" w:rsidRDefault="005C376A" w:rsidP="006F3110">
            <w:pPr>
              <w:outlineLvl w:val="0"/>
              <w:rPr>
                <w:rFonts w:eastAsia="Times New Roman"/>
                <w:szCs w:val="24"/>
              </w:rPr>
            </w:pPr>
            <w:r w:rsidRPr="00FD3D19">
              <w:rPr>
                <w:rFonts w:eastAsia="Times New Roman"/>
                <w:szCs w:val="24"/>
              </w:rPr>
              <w:t>Mokėjimo pranešimų spausdinimas, vokavimas ir siuntimas fiziniams ir juridiniams asmenims</w:t>
            </w:r>
            <w:r>
              <w:rPr>
                <w:rFonts w:eastAsia="Times New Roman"/>
                <w:szCs w:val="24"/>
              </w:rPr>
              <w:t xml:space="preserve">. </w:t>
            </w:r>
            <w:r w:rsidRPr="004B38BF">
              <w:rPr>
                <w:rFonts w:eastAsia="Times New Roman"/>
                <w:b/>
                <w:bCs/>
                <w:szCs w:val="24"/>
              </w:rPr>
              <w:t>Siuntimo II zona</w:t>
            </w:r>
          </w:p>
          <w:p w14:paraId="7E302544" w14:textId="77777777" w:rsidR="005C376A" w:rsidRPr="00B023D2" w:rsidRDefault="005C376A" w:rsidP="006F3110">
            <w:pPr>
              <w:outlineLvl w:val="0"/>
              <w:rPr>
                <w:i/>
                <w:iCs/>
                <w:color w:val="000000"/>
                <w:sz w:val="22"/>
              </w:rPr>
            </w:pPr>
            <w:r w:rsidRPr="00B023D2">
              <w:rPr>
                <w:rFonts w:eastAsia="Times New Roman"/>
                <w:i/>
                <w:iCs/>
                <w:szCs w:val="24"/>
              </w:rPr>
              <w:t xml:space="preserve">(1 lapas, </w:t>
            </w:r>
            <w:r w:rsidRPr="00B023D2">
              <w:rPr>
                <w:rFonts w:eastAsia="Times New Roman"/>
                <w:i/>
                <w:iCs/>
                <w:szCs w:val="24"/>
              </w:rPr>
              <w:lastRenderedPageBreak/>
              <w:t>spausdinamos 2 pusės)</w:t>
            </w:r>
          </w:p>
        </w:tc>
        <w:tc>
          <w:tcPr>
            <w:tcW w:w="1417" w:type="dxa"/>
          </w:tcPr>
          <w:p w14:paraId="18128A61" w14:textId="77777777" w:rsidR="005C376A" w:rsidRPr="00E21C22" w:rsidRDefault="005C376A" w:rsidP="006F3110">
            <w:pPr>
              <w:jc w:val="center"/>
              <w:outlineLvl w:val="0"/>
              <w:rPr>
                <w:sz w:val="22"/>
              </w:rPr>
            </w:pPr>
            <w:r>
              <w:rPr>
                <w:rFonts w:eastAsia="Times New Roman"/>
                <w:szCs w:val="24"/>
              </w:rPr>
              <w:lastRenderedPageBreak/>
              <w:t>28 000</w:t>
            </w:r>
          </w:p>
        </w:tc>
        <w:tc>
          <w:tcPr>
            <w:tcW w:w="1560" w:type="dxa"/>
            <w:shd w:val="clear" w:color="auto" w:fill="auto"/>
            <w:vAlign w:val="center"/>
          </w:tcPr>
          <w:p w14:paraId="1A537BA4" w14:textId="77777777" w:rsidR="005C376A" w:rsidRPr="00E21C22" w:rsidRDefault="005C376A" w:rsidP="006F3110">
            <w:pPr>
              <w:jc w:val="center"/>
              <w:outlineLvl w:val="0"/>
              <w:rPr>
                <w:color w:val="000000"/>
                <w:sz w:val="22"/>
              </w:rPr>
            </w:pPr>
          </w:p>
        </w:tc>
        <w:tc>
          <w:tcPr>
            <w:tcW w:w="1559" w:type="dxa"/>
            <w:shd w:val="clear" w:color="auto" w:fill="auto"/>
            <w:vAlign w:val="center"/>
          </w:tcPr>
          <w:p w14:paraId="0FBAF23C" w14:textId="77777777" w:rsidR="005C376A" w:rsidRPr="00E21C22" w:rsidRDefault="005C376A" w:rsidP="006F3110">
            <w:pPr>
              <w:jc w:val="center"/>
              <w:outlineLvl w:val="0"/>
              <w:rPr>
                <w:color w:val="000000"/>
                <w:sz w:val="22"/>
              </w:rPr>
            </w:pPr>
          </w:p>
        </w:tc>
        <w:tc>
          <w:tcPr>
            <w:tcW w:w="1459" w:type="dxa"/>
            <w:shd w:val="clear" w:color="auto" w:fill="auto"/>
            <w:vAlign w:val="center"/>
          </w:tcPr>
          <w:p w14:paraId="11EBAF5B" w14:textId="77777777" w:rsidR="005C376A" w:rsidRPr="00E21C22" w:rsidRDefault="005C376A" w:rsidP="006F3110">
            <w:pPr>
              <w:jc w:val="center"/>
              <w:outlineLvl w:val="0"/>
              <w:rPr>
                <w:color w:val="000000"/>
                <w:sz w:val="22"/>
              </w:rPr>
            </w:pPr>
          </w:p>
        </w:tc>
        <w:tc>
          <w:tcPr>
            <w:tcW w:w="1230" w:type="dxa"/>
            <w:shd w:val="clear" w:color="auto" w:fill="auto"/>
            <w:vAlign w:val="center"/>
          </w:tcPr>
          <w:p w14:paraId="19B2FB72" w14:textId="77777777" w:rsidR="005C376A" w:rsidRPr="00E21C22" w:rsidRDefault="005C376A" w:rsidP="006F3110">
            <w:pPr>
              <w:jc w:val="center"/>
              <w:outlineLvl w:val="0"/>
              <w:rPr>
                <w:color w:val="000000"/>
                <w:sz w:val="22"/>
              </w:rPr>
            </w:pPr>
          </w:p>
        </w:tc>
      </w:tr>
      <w:tr w:rsidR="005C376A" w:rsidRPr="00E21C22" w14:paraId="05DCA6EB" w14:textId="77777777" w:rsidTr="006F3110">
        <w:trPr>
          <w:trHeight w:val="983"/>
          <w:jc w:val="center"/>
        </w:trPr>
        <w:tc>
          <w:tcPr>
            <w:tcW w:w="556" w:type="dxa"/>
            <w:shd w:val="clear" w:color="auto" w:fill="auto"/>
            <w:vAlign w:val="center"/>
          </w:tcPr>
          <w:p w14:paraId="77ABEA4E" w14:textId="77777777" w:rsidR="005C376A" w:rsidRPr="00E21C22" w:rsidRDefault="005C376A" w:rsidP="006F3110">
            <w:pPr>
              <w:outlineLvl w:val="0"/>
              <w:rPr>
                <w:color w:val="000000"/>
                <w:sz w:val="22"/>
              </w:rPr>
            </w:pPr>
            <w:r>
              <w:rPr>
                <w:color w:val="000000"/>
                <w:sz w:val="22"/>
              </w:rPr>
              <w:t>2.</w:t>
            </w:r>
          </w:p>
        </w:tc>
        <w:tc>
          <w:tcPr>
            <w:tcW w:w="2135" w:type="dxa"/>
          </w:tcPr>
          <w:p w14:paraId="1948B3BE" w14:textId="77777777" w:rsidR="005C376A" w:rsidRPr="00FD3D19" w:rsidRDefault="005C376A" w:rsidP="006F3110">
            <w:pPr>
              <w:outlineLvl w:val="0"/>
              <w:rPr>
                <w:rFonts w:eastAsia="Times New Roman"/>
                <w:szCs w:val="24"/>
              </w:rPr>
            </w:pPr>
            <w:r w:rsidRPr="00FD3D19">
              <w:rPr>
                <w:rFonts w:eastAsia="Times New Roman"/>
                <w:szCs w:val="24"/>
              </w:rPr>
              <w:t>Mokėjimo pranešimų spausdinimas, vokavimas ir siuntimas fiziniams ir juridiniams asmenims</w:t>
            </w:r>
            <w:r>
              <w:rPr>
                <w:rFonts w:eastAsia="Times New Roman"/>
                <w:szCs w:val="24"/>
              </w:rPr>
              <w:t xml:space="preserve">. </w:t>
            </w:r>
            <w:r w:rsidRPr="004B38BF">
              <w:rPr>
                <w:rFonts w:eastAsia="Times New Roman"/>
                <w:b/>
                <w:bCs/>
                <w:szCs w:val="24"/>
              </w:rPr>
              <w:t>Siuntimo III zona</w:t>
            </w:r>
          </w:p>
          <w:p w14:paraId="15243EBE" w14:textId="77777777" w:rsidR="005C376A" w:rsidRPr="00FC5AA9" w:rsidRDefault="005C376A" w:rsidP="006F3110">
            <w:pPr>
              <w:outlineLvl w:val="0"/>
              <w:rPr>
                <w:rFonts w:eastAsia="Times New Roman"/>
                <w:i/>
                <w:iCs/>
                <w:szCs w:val="24"/>
              </w:rPr>
            </w:pPr>
            <w:r w:rsidRPr="00FC5AA9">
              <w:rPr>
                <w:rFonts w:eastAsia="Times New Roman"/>
                <w:i/>
                <w:iCs/>
                <w:szCs w:val="24"/>
              </w:rPr>
              <w:t>(1 lapas, spausdinamos 2 pusės)</w:t>
            </w:r>
          </w:p>
        </w:tc>
        <w:tc>
          <w:tcPr>
            <w:tcW w:w="1417" w:type="dxa"/>
          </w:tcPr>
          <w:p w14:paraId="2A87B3C6" w14:textId="77777777" w:rsidR="005C376A" w:rsidRDefault="005C376A" w:rsidP="006F3110">
            <w:pPr>
              <w:jc w:val="center"/>
              <w:outlineLvl w:val="0"/>
              <w:rPr>
                <w:rFonts w:eastAsia="Times New Roman"/>
                <w:szCs w:val="24"/>
              </w:rPr>
            </w:pPr>
            <w:r>
              <w:rPr>
                <w:rFonts w:eastAsia="Times New Roman"/>
                <w:szCs w:val="24"/>
              </w:rPr>
              <w:t>27 200</w:t>
            </w:r>
          </w:p>
        </w:tc>
        <w:tc>
          <w:tcPr>
            <w:tcW w:w="1560" w:type="dxa"/>
            <w:shd w:val="clear" w:color="auto" w:fill="auto"/>
            <w:vAlign w:val="center"/>
          </w:tcPr>
          <w:p w14:paraId="330887F9" w14:textId="77777777" w:rsidR="005C376A" w:rsidRPr="00E21C22" w:rsidRDefault="005C376A" w:rsidP="006F3110">
            <w:pPr>
              <w:jc w:val="center"/>
              <w:outlineLvl w:val="0"/>
              <w:rPr>
                <w:color w:val="000000"/>
                <w:sz w:val="22"/>
              </w:rPr>
            </w:pPr>
          </w:p>
        </w:tc>
        <w:tc>
          <w:tcPr>
            <w:tcW w:w="1559" w:type="dxa"/>
            <w:shd w:val="clear" w:color="auto" w:fill="auto"/>
            <w:vAlign w:val="center"/>
          </w:tcPr>
          <w:p w14:paraId="69553B83" w14:textId="77777777" w:rsidR="005C376A" w:rsidRPr="00E21C22" w:rsidRDefault="005C376A" w:rsidP="006F3110">
            <w:pPr>
              <w:jc w:val="center"/>
              <w:outlineLvl w:val="0"/>
              <w:rPr>
                <w:color w:val="000000"/>
                <w:sz w:val="22"/>
              </w:rPr>
            </w:pPr>
          </w:p>
        </w:tc>
        <w:tc>
          <w:tcPr>
            <w:tcW w:w="1459" w:type="dxa"/>
            <w:shd w:val="clear" w:color="auto" w:fill="auto"/>
            <w:vAlign w:val="center"/>
          </w:tcPr>
          <w:p w14:paraId="05D90B8D" w14:textId="77777777" w:rsidR="005C376A" w:rsidRPr="00E21C22" w:rsidRDefault="005C376A" w:rsidP="006F3110">
            <w:pPr>
              <w:jc w:val="center"/>
              <w:outlineLvl w:val="0"/>
              <w:rPr>
                <w:color w:val="000000"/>
                <w:sz w:val="22"/>
              </w:rPr>
            </w:pPr>
          </w:p>
        </w:tc>
        <w:tc>
          <w:tcPr>
            <w:tcW w:w="1230" w:type="dxa"/>
            <w:shd w:val="clear" w:color="auto" w:fill="auto"/>
            <w:vAlign w:val="center"/>
          </w:tcPr>
          <w:p w14:paraId="729CD678" w14:textId="77777777" w:rsidR="005C376A" w:rsidRPr="00E21C22" w:rsidRDefault="005C376A" w:rsidP="006F3110">
            <w:pPr>
              <w:jc w:val="center"/>
              <w:outlineLvl w:val="0"/>
              <w:rPr>
                <w:color w:val="000000"/>
                <w:sz w:val="22"/>
              </w:rPr>
            </w:pPr>
          </w:p>
        </w:tc>
      </w:tr>
      <w:tr w:rsidR="005C376A" w:rsidRPr="00E21C22" w14:paraId="16547577" w14:textId="77777777" w:rsidTr="006F3110">
        <w:trPr>
          <w:trHeight w:val="999"/>
          <w:jc w:val="center"/>
        </w:trPr>
        <w:tc>
          <w:tcPr>
            <w:tcW w:w="8686" w:type="dxa"/>
            <w:gridSpan w:val="6"/>
            <w:shd w:val="clear" w:color="auto" w:fill="auto"/>
            <w:vAlign w:val="center"/>
          </w:tcPr>
          <w:p w14:paraId="7CFC3971" w14:textId="77777777" w:rsidR="005C376A" w:rsidRDefault="005C376A" w:rsidP="006F3110">
            <w:pPr>
              <w:jc w:val="right"/>
              <w:outlineLvl w:val="0"/>
              <w:rPr>
                <w:kern w:val="2"/>
                <w:sz w:val="22"/>
                <w:szCs w:val="22"/>
                <w:lang w:eastAsia="hi-IN" w:bidi="hi-IN"/>
              </w:rPr>
            </w:pPr>
            <w:r w:rsidRPr="004B4B18">
              <w:rPr>
                <w:kern w:val="2"/>
                <w:sz w:val="22"/>
                <w:szCs w:val="22"/>
                <w:lang w:eastAsia="hi-IN" w:bidi="hi-IN"/>
              </w:rPr>
              <w:t>Bendrą pasiūlymo kain</w:t>
            </w:r>
            <w:r>
              <w:rPr>
                <w:kern w:val="2"/>
                <w:sz w:val="22"/>
                <w:szCs w:val="22"/>
                <w:lang w:eastAsia="hi-IN" w:bidi="hi-IN"/>
              </w:rPr>
              <w:t xml:space="preserve">a </w:t>
            </w:r>
            <w:r w:rsidRPr="00451FD7">
              <w:rPr>
                <w:i/>
                <w:iCs/>
                <w:kern w:val="2"/>
                <w:sz w:val="22"/>
                <w:szCs w:val="22"/>
                <w:lang w:eastAsia="hi-IN" w:bidi="hi-IN"/>
              </w:rPr>
              <w:t>(7 stulpelio 1</w:t>
            </w:r>
            <w:r>
              <w:rPr>
                <w:i/>
                <w:iCs/>
                <w:kern w:val="2"/>
                <w:sz w:val="22"/>
                <w:szCs w:val="22"/>
                <w:lang w:eastAsia="hi-IN" w:bidi="hi-IN"/>
              </w:rPr>
              <w:t>-</w:t>
            </w:r>
            <w:r w:rsidRPr="00451FD7">
              <w:rPr>
                <w:i/>
                <w:iCs/>
                <w:kern w:val="2"/>
                <w:sz w:val="22"/>
                <w:szCs w:val="22"/>
                <w:lang w:eastAsia="hi-IN" w:bidi="hi-IN"/>
              </w:rPr>
              <w:t xml:space="preserve"> 2 eilučių reikšmių suma)</w:t>
            </w:r>
            <w:r>
              <w:rPr>
                <w:kern w:val="2"/>
                <w:sz w:val="22"/>
                <w:szCs w:val="22"/>
                <w:lang w:eastAsia="hi-IN" w:bidi="hi-IN"/>
              </w:rPr>
              <w:t xml:space="preserve"> Eur su PVM </w:t>
            </w:r>
          </w:p>
          <w:p w14:paraId="7334AD77" w14:textId="77777777" w:rsidR="005C376A" w:rsidRDefault="005C376A" w:rsidP="006F3110">
            <w:pPr>
              <w:jc w:val="right"/>
              <w:outlineLvl w:val="0"/>
              <w:rPr>
                <w:color w:val="000000"/>
                <w:sz w:val="22"/>
              </w:rPr>
            </w:pPr>
            <w:r>
              <w:rPr>
                <w:color w:val="000000"/>
                <w:sz w:val="22"/>
              </w:rPr>
              <w:t>________________________________________________________________________</w:t>
            </w:r>
          </w:p>
          <w:p w14:paraId="46EFB387" w14:textId="77777777" w:rsidR="005C376A" w:rsidRPr="00064B31" w:rsidRDefault="005C376A" w:rsidP="006F3110">
            <w:pPr>
              <w:jc w:val="center"/>
              <w:outlineLvl w:val="0"/>
              <w:rPr>
                <w:i/>
                <w:iCs/>
                <w:color w:val="000000"/>
                <w:sz w:val="22"/>
              </w:rPr>
            </w:pPr>
            <w:r w:rsidRPr="00064B31">
              <w:rPr>
                <w:i/>
                <w:iCs/>
                <w:color w:val="000000"/>
                <w:sz w:val="22"/>
              </w:rPr>
              <w:t>(bendrą pasiūlymo kainą su PVM nurodyti skaičiais ir žodžiais)</w:t>
            </w:r>
          </w:p>
        </w:tc>
        <w:tc>
          <w:tcPr>
            <w:tcW w:w="1230" w:type="dxa"/>
            <w:shd w:val="clear" w:color="auto" w:fill="auto"/>
            <w:vAlign w:val="center"/>
          </w:tcPr>
          <w:p w14:paraId="74C72146" w14:textId="77777777" w:rsidR="005C376A" w:rsidRPr="00E21C22" w:rsidRDefault="005C376A" w:rsidP="006F3110">
            <w:pPr>
              <w:jc w:val="center"/>
              <w:outlineLvl w:val="0"/>
              <w:rPr>
                <w:color w:val="000000"/>
                <w:sz w:val="22"/>
              </w:rPr>
            </w:pPr>
          </w:p>
        </w:tc>
      </w:tr>
    </w:tbl>
    <w:p w14:paraId="649B1C86" w14:textId="77777777" w:rsidR="00246A2F" w:rsidRDefault="00246A2F" w:rsidP="00246A2F">
      <w:pPr>
        <w:tabs>
          <w:tab w:val="left" w:pos="-1407"/>
        </w:tabs>
        <w:jc w:val="both"/>
        <w:rPr>
          <w:color w:val="000000"/>
          <w:szCs w:val="24"/>
        </w:rPr>
      </w:pPr>
    </w:p>
    <w:p w14:paraId="2DA2320C" w14:textId="77777777" w:rsidR="00246A2F" w:rsidRPr="00376569" w:rsidRDefault="00246A2F" w:rsidP="00246A2F">
      <w:pPr>
        <w:tabs>
          <w:tab w:val="left" w:pos="-1407"/>
        </w:tabs>
        <w:jc w:val="both"/>
        <w:rPr>
          <w:color w:val="000000"/>
          <w:szCs w:val="24"/>
        </w:rPr>
      </w:pPr>
      <w:r>
        <w:rPr>
          <w:color w:val="000000"/>
          <w:szCs w:val="24"/>
        </w:rPr>
        <w:t>Bendra p</w:t>
      </w:r>
      <w:r w:rsidRPr="00376569">
        <w:rPr>
          <w:color w:val="000000"/>
          <w:szCs w:val="24"/>
        </w:rPr>
        <w:t>asiūlymo kain</w:t>
      </w:r>
      <w:r>
        <w:rPr>
          <w:color w:val="000000"/>
          <w:szCs w:val="24"/>
        </w:rPr>
        <w:t>a</w:t>
      </w:r>
      <w:r w:rsidRPr="00376569">
        <w:rPr>
          <w:color w:val="000000"/>
          <w:szCs w:val="24"/>
        </w:rPr>
        <w:t xml:space="preserve"> </w:t>
      </w:r>
      <w:r>
        <w:rPr>
          <w:color w:val="000000"/>
          <w:szCs w:val="24"/>
        </w:rPr>
        <w:t>be</w:t>
      </w:r>
      <w:r w:rsidRPr="00376569">
        <w:rPr>
          <w:color w:val="000000"/>
          <w:szCs w:val="24"/>
        </w:rPr>
        <w:t xml:space="preserve"> </w:t>
      </w:r>
      <w:proofErr w:type="spellStart"/>
      <w:r w:rsidRPr="004F287C">
        <w:rPr>
          <w:color w:val="000000"/>
          <w:szCs w:val="24"/>
        </w:rPr>
        <w:t>PVM__________________________________________________Eur</w:t>
      </w:r>
      <w:proofErr w:type="spellEnd"/>
    </w:p>
    <w:p w14:paraId="493097DF" w14:textId="77777777" w:rsidR="00246A2F" w:rsidRDefault="00F504BF" w:rsidP="00246A2F">
      <w:pPr>
        <w:tabs>
          <w:tab w:val="left" w:pos="-1407"/>
        </w:tabs>
        <w:jc w:val="both"/>
        <w:rPr>
          <w:color w:val="000000"/>
          <w:kern w:val="2"/>
          <w:szCs w:val="24"/>
          <w:lang w:eastAsia="hi-IN" w:bidi="hi-IN"/>
        </w:rPr>
      </w:pPr>
      <w:r w:rsidRPr="00F504BF">
        <w:rPr>
          <w:color w:val="000000"/>
          <w:kern w:val="2"/>
          <w:szCs w:val="24"/>
          <w:lang w:eastAsia="hi-IN" w:bidi="hi-IN"/>
        </w:rPr>
        <w:tab/>
      </w:r>
    </w:p>
    <w:p w14:paraId="1B3B4360" w14:textId="77777777" w:rsidR="00246A2F" w:rsidRPr="00C72682" w:rsidRDefault="00246A2F" w:rsidP="00246A2F">
      <w:pPr>
        <w:tabs>
          <w:tab w:val="left" w:pos="-1407"/>
        </w:tabs>
        <w:jc w:val="both"/>
        <w:rPr>
          <w:color w:val="000000" w:themeColor="text1"/>
          <w:kern w:val="2"/>
          <w:szCs w:val="24"/>
          <w:lang w:eastAsia="hi-IN" w:bidi="hi-IN"/>
        </w:rPr>
      </w:pPr>
      <w:r w:rsidRPr="00C72682">
        <w:rPr>
          <w:color w:val="000000" w:themeColor="text1"/>
          <w:kern w:val="2"/>
          <w:szCs w:val="24"/>
          <w:lang w:eastAsia="hi-IN" w:bidi="hi-IN"/>
        </w:rPr>
        <w:t xml:space="preserve">Į </w:t>
      </w:r>
      <w:r>
        <w:rPr>
          <w:color w:val="000000" w:themeColor="text1"/>
          <w:kern w:val="2"/>
          <w:szCs w:val="24"/>
          <w:lang w:eastAsia="hi-IN" w:bidi="hi-IN"/>
        </w:rPr>
        <w:t xml:space="preserve">bendrą </w:t>
      </w:r>
      <w:r w:rsidRPr="00C72682">
        <w:rPr>
          <w:color w:val="000000" w:themeColor="text1"/>
          <w:kern w:val="2"/>
          <w:szCs w:val="24"/>
          <w:lang w:eastAsia="hi-IN" w:bidi="hi-IN"/>
        </w:rPr>
        <w:t xml:space="preserve">pasiūlymo kainą įeina visos išlaidos ir visi mokesčiai, taip pat ir PVM, kuris </w:t>
      </w:r>
      <w:proofErr w:type="spellStart"/>
      <w:r w:rsidRPr="00C72682">
        <w:rPr>
          <w:color w:val="000000" w:themeColor="text1"/>
          <w:kern w:val="2"/>
          <w:szCs w:val="24"/>
          <w:lang w:eastAsia="hi-IN" w:bidi="hi-IN"/>
        </w:rPr>
        <w:t>sudaro</w:t>
      </w:r>
      <w:r>
        <w:rPr>
          <w:color w:val="000000" w:themeColor="text1"/>
          <w:kern w:val="2"/>
          <w:szCs w:val="24"/>
          <w:lang w:eastAsia="hi-IN" w:bidi="hi-IN"/>
        </w:rPr>
        <w:t>___________________</w:t>
      </w:r>
      <w:r w:rsidRPr="00C72682">
        <w:rPr>
          <w:color w:val="000000" w:themeColor="text1"/>
          <w:kern w:val="2"/>
          <w:szCs w:val="24"/>
          <w:lang w:eastAsia="hi-IN" w:bidi="hi-IN"/>
        </w:rPr>
        <w:t>Eur</w:t>
      </w:r>
      <w:proofErr w:type="spellEnd"/>
      <w:r w:rsidRPr="00C72682">
        <w:rPr>
          <w:color w:val="000000" w:themeColor="text1"/>
          <w:kern w:val="2"/>
          <w:szCs w:val="24"/>
          <w:lang w:eastAsia="hi-IN" w:bidi="hi-IN"/>
        </w:rPr>
        <w:t>.</w:t>
      </w:r>
    </w:p>
    <w:p w14:paraId="4B94699B" w14:textId="77777777" w:rsidR="00246A2F" w:rsidRPr="00C72682" w:rsidRDefault="00246A2F" w:rsidP="00246A2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lang w:eastAsia="hi-IN" w:bidi="hi-IN"/>
        </w:rPr>
      </w:pPr>
    </w:p>
    <w:p w14:paraId="17A42DD6" w14:textId="77777777" w:rsidR="00246A2F" w:rsidRDefault="00246A2F" w:rsidP="00246A2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9B304D">
        <w:rPr>
          <w:kern w:val="2"/>
          <w:szCs w:val="24"/>
          <w:lang w:eastAsia="hi-IN" w:bidi="hi-IN"/>
        </w:rPr>
        <w:t>PASTAB</w:t>
      </w:r>
      <w:r>
        <w:rPr>
          <w:kern w:val="2"/>
          <w:szCs w:val="24"/>
          <w:lang w:eastAsia="hi-IN" w:bidi="hi-IN"/>
        </w:rPr>
        <w:t xml:space="preserve">OS:  </w:t>
      </w:r>
    </w:p>
    <w:p w14:paraId="107F2C02" w14:textId="77777777" w:rsidR="00246A2F" w:rsidRPr="009B304D" w:rsidRDefault="00246A2F" w:rsidP="00246A2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 xml:space="preserve">1. </w:t>
      </w:r>
      <w:r w:rsidRPr="009B304D">
        <w:rPr>
          <w:kern w:val="2"/>
          <w:szCs w:val="24"/>
          <w:lang w:eastAsia="hi-IN" w:bidi="hi-IN"/>
        </w:rPr>
        <w:t>Tais atvejais, kai pagal galiojančius teisės aktus tiekėjui nereikia mokėti PVM, jis nurodo priežastis, dėl kurių PVM nemoka:_________________________________________________.  Tokiu atveju bendra pasiūlymo kaina yra bendra pasiūlymo kaina be PVM.</w:t>
      </w:r>
    </w:p>
    <w:p w14:paraId="79C80437" w14:textId="5F463814" w:rsidR="00246A2F" w:rsidRDefault="00246A2F" w:rsidP="00246A2F">
      <w:pPr>
        <w:jc w:val="both"/>
        <w:rPr>
          <w:rFonts w:eastAsia="Times New Roman"/>
          <w:szCs w:val="24"/>
        </w:rPr>
      </w:pPr>
      <w:r>
        <w:rPr>
          <w:lang w:eastAsia="en-US"/>
        </w:rPr>
        <w:t>2</w:t>
      </w:r>
      <w:r w:rsidRPr="00482CB9">
        <w:rPr>
          <w:lang w:eastAsia="en-US"/>
        </w:rPr>
        <w:t>. P</w:t>
      </w:r>
      <w:r w:rsidRPr="00482CB9">
        <w:t xml:space="preserve">erkančioji organizacija neįsipareigoja per pirkimo sutarties vykdymo laikotarpį </w:t>
      </w:r>
      <w:r>
        <w:t>nu</w:t>
      </w:r>
      <w:r w:rsidRPr="00482CB9">
        <w:t xml:space="preserve">pirkti viso pasiūlymo formos </w:t>
      </w:r>
      <w:r>
        <w:t>4</w:t>
      </w:r>
      <w:r w:rsidRPr="00482CB9">
        <w:t xml:space="preserve"> lentelės </w:t>
      </w:r>
      <w:r>
        <w:t>3</w:t>
      </w:r>
      <w:r w:rsidRPr="00482CB9">
        <w:t xml:space="preserve"> stulpelio 1</w:t>
      </w:r>
      <w:r>
        <w:t>-2</w:t>
      </w:r>
      <w:r w:rsidRPr="00482CB9">
        <w:t xml:space="preserve"> eilutėse nurodyto kiekio, o pirks pagal poreikį. </w:t>
      </w:r>
      <w:r w:rsidRPr="00AA1FFE">
        <w:rPr>
          <w:rFonts w:eastAsia="Times New Roman"/>
          <w:szCs w:val="24"/>
        </w:rPr>
        <w:t>Mokėjimo p</w:t>
      </w:r>
      <w:r>
        <w:rPr>
          <w:rFonts w:eastAsia="Times New Roman"/>
          <w:szCs w:val="24"/>
        </w:rPr>
        <w:t xml:space="preserve">ranešimų skaičius per sutarties vykdymo laikotarpį gali būti </w:t>
      </w:r>
      <w:r w:rsidRPr="00AA1FFE">
        <w:rPr>
          <w:rFonts w:eastAsia="Times New Roman"/>
          <w:szCs w:val="24"/>
        </w:rPr>
        <w:t>maži</w:t>
      </w:r>
      <w:r>
        <w:rPr>
          <w:rFonts w:eastAsia="Times New Roman"/>
          <w:szCs w:val="24"/>
        </w:rPr>
        <w:t>namas iki 20 proc.</w:t>
      </w:r>
      <w:r w:rsidRPr="00AA1FFE">
        <w:rPr>
          <w:rFonts w:eastAsia="Times New Roman"/>
          <w:szCs w:val="24"/>
        </w:rPr>
        <w:t xml:space="preserve"> </w:t>
      </w:r>
    </w:p>
    <w:p w14:paraId="6F55E005" w14:textId="01A65564" w:rsidR="00F504BF" w:rsidRPr="007375FB" w:rsidRDefault="00F504BF" w:rsidP="007375F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F504BF">
        <w:rPr>
          <w:color w:val="000000"/>
          <w:kern w:val="2"/>
          <w:szCs w:val="24"/>
          <w:lang w:eastAsia="hi-IN" w:bidi="hi-IN"/>
        </w:rPr>
        <w:tab/>
      </w:r>
    </w:p>
    <w:p w14:paraId="1BCD7515" w14:textId="453B80BF" w:rsidR="00F504BF" w:rsidRDefault="00F504BF" w:rsidP="00246A2F">
      <w:pPr>
        <w:jc w:val="both"/>
        <w:rPr>
          <w:szCs w:val="24"/>
        </w:rPr>
      </w:pPr>
      <w:r w:rsidRPr="00F504BF">
        <w:rPr>
          <w:szCs w:val="24"/>
        </w:rPr>
        <w:t>Siūlom</w:t>
      </w:r>
      <w:r w:rsidR="00E82B7F">
        <w:rPr>
          <w:szCs w:val="24"/>
        </w:rPr>
        <w:t xml:space="preserve">os </w:t>
      </w:r>
      <w:r w:rsidR="00246A2F">
        <w:rPr>
          <w:szCs w:val="24"/>
        </w:rPr>
        <w:t>paslaugos</w:t>
      </w:r>
      <w:r w:rsidRPr="00F504BF">
        <w:rPr>
          <w:szCs w:val="24"/>
        </w:rPr>
        <w:t xml:space="preserve"> visiškai atitinka pirkimo dokumentuose nurodytus reikalavimus.</w:t>
      </w:r>
    </w:p>
    <w:p w14:paraId="1B8B6005" w14:textId="77777777" w:rsidR="00246A2F" w:rsidRPr="00F504BF" w:rsidRDefault="00246A2F" w:rsidP="00246A2F">
      <w:pPr>
        <w:ind w:firstLine="720"/>
        <w:jc w:val="both"/>
        <w:rPr>
          <w:szCs w:val="24"/>
        </w:rPr>
      </w:pPr>
    </w:p>
    <w:p w14:paraId="34116D23" w14:textId="77777777" w:rsidR="00F504BF" w:rsidRPr="00F504BF" w:rsidRDefault="00F504BF" w:rsidP="00246A2F">
      <w:pPr>
        <w:jc w:val="both"/>
        <w:rPr>
          <w:szCs w:val="24"/>
        </w:rPr>
      </w:pPr>
      <w:r w:rsidRPr="00F504BF">
        <w:rPr>
          <w:szCs w:val="24"/>
        </w:rPr>
        <w:t>Kartu su pasiūlymu pateikiami šie dokumentai:</w:t>
      </w:r>
    </w:p>
    <w:p w14:paraId="1B94AEA2" w14:textId="6A6AF6B5" w:rsidR="00F504BF" w:rsidRPr="00F504BF" w:rsidRDefault="00F504BF" w:rsidP="00F504BF">
      <w:pPr>
        <w:jc w:val="both"/>
        <w:rPr>
          <w:b/>
          <w:iCs/>
          <w:szCs w:val="24"/>
        </w:rPr>
      </w:pPr>
      <w:r w:rsidRPr="00F504BF">
        <w:rPr>
          <w:b/>
          <w:iCs/>
          <w:szCs w:val="24"/>
        </w:rPr>
        <w:t xml:space="preserve">     </w:t>
      </w:r>
      <w:r w:rsidR="00246A2F">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77F5EB5A" w:rsidR="00F504BF" w:rsidRPr="00F504BF" w:rsidRDefault="00F504BF" w:rsidP="00F504BF">
            <w:pPr>
              <w:snapToGrid w:val="0"/>
              <w:ind w:right="-108"/>
              <w:jc w:val="both"/>
              <w:rPr>
                <w:b/>
                <w:iCs/>
                <w:szCs w:val="24"/>
              </w:rPr>
            </w:pPr>
            <w:r w:rsidRPr="00F504BF">
              <w:rPr>
                <w:b/>
                <w:iCs/>
                <w:szCs w:val="24"/>
              </w:rPr>
              <w:t xml:space="preserve">     </w:t>
            </w:r>
            <w:r w:rsidR="00246A2F">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lastRenderedPageBreak/>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F504B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2550F"/>
    <w:rsid w:val="001E538F"/>
    <w:rsid w:val="00246A2F"/>
    <w:rsid w:val="002809B7"/>
    <w:rsid w:val="00313204"/>
    <w:rsid w:val="00382279"/>
    <w:rsid w:val="005C376A"/>
    <w:rsid w:val="007375FB"/>
    <w:rsid w:val="007F1BE7"/>
    <w:rsid w:val="00814DCB"/>
    <w:rsid w:val="0084308C"/>
    <w:rsid w:val="00904465"/>
    <w:rsid w:val="00956554"/>
    <w:rsid w:val="009B637C"/>
    <w:rsid w:val="00C750CC"/>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3455</Words>
  <Characters>1970</Characters>
  <Application>Microsoft Office Word</Application>
  <DocSecurity>0</DocSecurity>
  <Lines>16</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14</cp:revision>
  <dcterms:created xsi:type="dcterms:W3CDTF">2024-05-17T05:59:00Z</dcterms:created>
  <dcterms:modified xsi:type="dcterms:W3CDTF">2024-12-03T09:36:00Z</dcterms:modified>
</cp:coreProperties>
</file>