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8136" w14:textId="1B42AE15" w:rsidR="00862199" w:rsidRPr="00C64111" w:rsidRDefault="00862199" w:rsidP="00862199">
      <w:pPr>
        <w:jc w:val="center"/>
        <w:rPr>
          <w:sz w:val="24"/>
          <w:szCs w:val="24"/>
        </w:rPr>
      </w:pPr>
      <w:r w:rsidRPr="00C64111">
        <w:rPr>
          <w:sz w:val="24"/>
          <w:szCs w:val="24"/>
        </w:rPr>
        <w:t>Uždaroji akcinė bendrovė</w:t>
      </w:r>
    </w:p>
    <w:p w14:paraId="3F438030" w14:textId="0D6D475C" w:rsidR="00862199" w:rsidRPr="00C64111" w:rsidRDefault="00862199" w:rsidP="00862199">
      <w:pPr>
        <w:jc w:val="center"/>
        <w:rPr>
          <w:sz w:val="24"/>
          <w:szCs w:val="24"/>
        </w:rPr>
      </w:pPr>
      <w:r w:rsidRPr="00C64111">
        <w:rPr>
          <w:sz w:val="24"/>
          <w:szCs w:val="24"/>
        </w:rPr>
        <w:t>„Kauno autobusai“</w:t>
      </w:r>
    </w:p>
    <w:p w14:paraId="1E36B5ED" w14:textId="55AACCA6" w:rsidR="00862199" w:rsidRPr="00C64111" w:rsidRDefault="00A81D11">
      <w:pPr>
        <w:rPr>
          <w:sz w:val="24"/>
          <w:szCs w:val="24"/>
        </w:rPr>
      </w:pPr>
      <w:r w:rsidRPr="00C64111">
        <w:rPr>
          <w:sz w:val="24"/>
          <w:szCs w:val="24"/>
        </w:rPr>
        <w:t>Pirkimo 4289721</w:t>
      </w:r>
    </w:p>
    <w:p w14:paraId="23FEB9C0" w14:textId="10E1ABE9" w:rsidR="00A81D11" w:rsidRPr="00C64111" w:rsidRDefault="00A81D11">
      <w:pPr>
        <w:rPr>
          <w:sz w:val="24"/>
          <w:szCs w:val="24"/>
        </w:rPr>
      </w:pPr>
      <w:r w:rsidRPr="00C64111">
        <w:rPr>
          <w:sz w:val="24"/>
          <w:szCs w:val="24"/>
        </w:rPr>
        <w:t>Tiekėjams</w:t>
      </w:r>
    </w:p>
    <w:p w14:paraId="0D01F402" w14:textId="322D50F4" w:rsidR="00A81D11" w:rsidRPr="00C64111" w:rsidRDefault="00A81D11">
      <w:pPr>
        <w:rPr>
          <w:sz w:val="24"/>
          <w:szCs w:val="24"/>
        </w:rPr>
      </w:pPr>
      <w:r w:rsidRPr="00C64111">
        <w:rPr>
          <w:sz w:val="24"/>
          <w:szCs w:val="24"/>
        </w:rPr>
        <w:t>Per CVP IS</w:t>
      </w:r>
    </w:p>
    <w:p w14:paraId="59396BF6" w14:textId="18915CD3" w:rsidR="00A81D11" w:rsidRPr="00A81D11" w:rsidRDefault="00A81D11">
      <w:pPr>
        <w:rPr>
          <w:b/>
          <w:bCs/>
        </w:rPr>
      </w:pPr>
      <w:r w:rsidRPr="00A81D11">
        <w:rPr>
          <w:b/>
          <w:bCs/>
        </w:rPr>
        <w:t>D</w:t>
      </w:r>
      <w:r>
        <w:rPr>
          <w:b/>
          <w:bCs/>
        </w:rPr>
        <w:t>Ė</w:t>
      </w:r>
      <w:r w:rsidRPr="00A81D11">
        <w:rPr>
          <w:b/>
          <w:bCs/>
        </w:rPr>
        <w:t>L RINKOS KONSULTACIJOS REZULTATŲ</w:t>
      </w:r>
    </w:p>
    <w:p w14:paraId="69E71696" w14:textId="77777777" w:rsidR="00AA68AB" w:rsidRPr="00F45142" w:rsidRDefault="00D62BA7" w:rsidP="00AA68AB">
      <w:pPr>
        <w:jc w:val="both"/>
        <w:rPr>
          <w:sz w:val="24"/>
          <w:szCs w:val="24"/>
        </w:rPr>
      </w:pPr>
      <w:r w:rsidRPr="00F45142">
        <w:rPr>
          <w:sz w:val="24"/>
          <w:szCs w:val="24"/>
        </w:rPr>
        <w:t xml:space="preserve">UAB „Kauno autobusai“ (toliau – Perkantysis subjektas) 2025 m. rugpjūčio 28 d. </w:t>
      </w:r>
      <w:r w:rsidR="00AB1A9E" w:rsidRPr="00F45142">
        <w:rPr>
          <w:sz w:val="24"/>
          <w:szCs w:val="24"/>
        </w:rPr>
        <w:t>CVP IS paskelbė</w:t>
      </w:r>
      <w:r w:rsidR="00AA68AB" w:rsidRPr="00F45142">
        <w:rPr>
          <w:sz w:val="24"/>
          <w:szCs w:val="24"/>
        </w:rPr>
        <w:t xml:space="preserve"> </w:t>
      </w:r>
      <w:r w:rsidR="00AB1A9E" w:rsidRPr="00F45142">
        <w:rPr>
          <w:sz w:val="24"/>
          <w:szCs w:val="24"/>
        </w:rPr>
        <w:t>Rinkos konsultaciją:</w:t>
      </w:r>
      <w:r w:rsidR="00AA68AB" w:rsidRPr="00F45142">
        <w:rPr>
          <w:sz w:val="24"/>
          <w:szCs w:val="24"/>
        </w:rPr>
        <w:t xml:space="preserve"> </w:t>
      </w:r>
      <w:bookmarkStart w:id="0" w:name="_Hlk509566938"/>
      <w:r w:rsidR="00AA68AB" w:rsidRPr="00F45142">
        <w:rPr>
          <w:sz w:val="24"/>
          <w:szCs w:val="24"/>
        </w:rPr>
        <w:t>NAUJŲ DYZELINIŲ (DVIAŠIŲ</w:t>
      </w:r>
      <w:bookmarkEnd w:id="0"/>
      <w:r w:rsidR="00AA68AB" w:rsidRPr="00F45142">
        <w:rPr>
          <w:sz w:val="24"/>
          <w:szCs w:val="24"/>
        </w:rPr>
        <w:t>) DALINAI ŽEMAGRINDŽIŲ VIENAAUKŠČIŲ AUTOBUSŲ, ĮSKAITANT TECHNINIO APTARNAVIMO IR PRIEŽIŪROS BEI NEGARANTINIO REMONTO PASLAUGŲ IR JOMS ATLIKTI REIKALINGŲ EKSPLOATACINIŲ MEDŽIAGŲ IR ATSARGINIŲ DALIŲ pirkimo (toliau – Rinkos konsultaciją).</w:t>
      </w:r>
    </w:p>
    <w:p w14:paraId="6029CCBC" w14:textId="77777777" w:rsidR="008E0FAB" w:rsidRPr="00F45142" w:rsidRDefault="00AA68AB" w:rsidP="00AA68AB">
      <w:pPr>
        <w:jc w:val="both"/>
        <w:rPr>
          <w:sz w:val="24"/>
          <w:szCs w:val="24"/>
        </w:rPr>
      </w:pPr>
      <w:r w:rsidRPr="00F45142">
        <w:rPr>
          <w:sz w:val="24"/>
          <w:szCs w:val="24"/>
        </w:rPr>
        <w:t>Iki nustatytos Rinkos konsultacijos pabaigos 2025 m. rugsėjo 8 d. vienas tiekėjas – Rinkos konsultacijos dalyvis pateikė atsiliepimus dėl Rinkos konsultacijos objekto.</w:t>
      </w:r>
    </w:p>
    <w:p w14:paraId="2505A91E" w14:textId="7D67CA16" w:rsidR="00D62BA7" w:rsidRPr="00F45142" w:rsidRDefault="008E0FAB" w:rsidP="00F45142">
      <w:pPr>
        <w:jc w:val="both"/>
        <w:rPr>
          <w:bCs/>
          <w:sz w:val="24"/>
          <w:szCs w:val="24"/>
        </w:rPr>
      </w:pPr>
      <w:r w:rsidRPr="00F45142">
        <w:rPr>
          <w:sz w:val="24"/>
          <w:szCs w:val="24"/>
        </w:rPr>
        <w:t>Perkantysis subjektas išnagrinėjo Rinkos konsultacijos dalyvio atsiliepimą ir parengė atsakymą į Rinkos konsultacijos dalyvio atsiliepimuose pateiktas pastabas, siūlymus, įžvalgas, rekomendacijas ir klausimus, kuriuose pateikia visiems prie rinkos konsultacijos prisijungusiems tiekėjams.</w:t>
      </w:r>
      <w:r w:rsidR="00AA68AB" w:rsidRPr="00F45142">
        <w:rPr>
          <w:sz w:val="24"/>
          <w:szCs w:val="24"/>
        </w:rPr>
        <w:t xml:space="preserve"> </w:t>
      </w:r>
    </w:p>
    <w:p w14:paraId="03756F3B" w14:textId="712F5B58" w:rsidR="00993930" w:rsidRPr="00993930" w:rsidRDefault="00993930" w:rsidP="00993930">
      <w:pPr>
        <w:spacing w:before="100" w:beforeAutospacing="1" w:after="100" w:afterAutospacing="1" w:line="240" w:lineRule="auto"/>
        <w:jc w:val="both"/>
        <w:rPr>
          <w:rFonts w:eastAsia="Times New Roman"/>
          <w:color w:val="000000"/>
          <w:sz w:val="24"/>
          <w:szCs w:val="24"/>
        </w:rPr>
      </w:pPr>
      <w:r>
        <w:rPr>
          <w:rFonts w:eastAsia="Times New Roman"/>
          <w:color w:val="000000"/>
        </w:rPr>
        <w:t xml:space="preserve">1. </w:t>
      </w:r>
      <w:r w:rsidRPr="00993930">
        <w:rPr>
          <w:rFonts w:eastAsia="Times New Roman"/>
          <w:color w:val="000000"/>
          <w:sz w:val="24"/>
          <w:szCs w:val="24"/>
        </w:rPr>
        <w:t>Paskutinės konsultacijos specifikacijoje jūs sumažinote durų plotį nuo 1200 iki 1100 mm. Jei jūs tiek sumažinate durų plotį, tokiu atveju I klasės autobusams atsiranda prievolė autobuse įrengti antras keleivių duris. Jei durų plotis išlieka 1200 mm, užtektų vienų durų. Įvertinus autobuso dydį, antros durys gali būti nepatogus sprendimas jas eksploatuojant. Taip pat gali būti, kad trečių šalių gamintojai į tokius reikalavimus neatsižvelgia ir dėl to ši atsakomybė gali būti palikta Pirkėjo sprendimui. Kad išvengti vėlesnių nesusipratimų siūlome palikti durų plotį 1200 mm.</w:t>
      </w:r>
    </w:p>
    <w:p w14:paraId="4235C4B4" w14:textId="77777777" w:rsidR="00993930" w:rsidRPr="00F45142" w:rsidRDefault="00993930" w:rsidP="00F45142">
      <w:pPr>
        <w:jc w:val="both"/>
        <w:rPr>
          <w:sz w:val="24"/>
          <w:szCs w:val="24"/>
        </w:rPr>
      </w:pPr>
      <w:r w:rsidRPr="00F45142">
        <w:rPr>
          <w:sz w:val="24"/>
          <w:szCs w:val="24"/>
        </w:rPr>
        <w:t xml:space="preserve">Dėl durų angos matavimo.  Punktas bus pakeistas sekančiai: </w:t>
      </w:r>
    </w:p>
    <w:p w14:paraId="4BC34BF9" w14:textId="4FDB60C7" w:rsidR="00993930" w:rsidRPr="00F45142" w:rsidRDefault="00993930" w:rsidP="00F45142">
      <w:pPr>
        <w:jc w:val="both"/>
        <w:rPr>
          <w:sz w:val="24"/>
          <w:szCs w:val="24"/>
        </w:rPr>
      </w:pPr>
      <w:r w:rsidRPr="00F45142">
        <w:rPr>
          <w:sz w:val="24"/>
          <w:szCs w:val="24"/>
        </w:rPr>
        <w:t>Durų plotis keleiviams įlipti ne mažesnis negu 1200 mm. (matuojant durų angos plotį )</w:t>
      </w:r>
    </w:p>
    <w:p w14:paraId="22755550" w14:textId="71EA4C13" w:rsidR="00993930" w:rsidRPr="00F45142" w:rsidRDefault="00993930" w:rsidP="00F45142">
      <w:pPr>
        <w:jc w:val="both"/>
        <w:rPr>
          <w:rFonts w:eastAsia="Times New Roman"/>
          <w:color w:val="000000"/>
          <w:sz w:val="24"/>
          <w:szCs w:val="24"/>
        </w:rPr>
      </w:pPr>
      <w:r w:rsidRPr="00F45142">
        <w:rPr>
          <w:rFonts w:eastAsia="Times New Roman"/>
          <w:color w:val="000000"/>
          <w:sz w:val="24"/>
          <w:szCs w:val="24"/>
        </w:rPr>
        <w:t>2. Dar mums nėra suprantama, kodėl sutarties vykdymo laidavimui jūs reikalaujate piniginio užstato arba banko garantijos ir netinka draudimo bendrovės garantija? Viešuosiuose pirkimuose yra įprasta, kad tokias garantijas gali teikti ir bankai ir draudimo bendrovės. Prašome leisti pateikti ir draudimo bendrovių garantijas.</w:t>
      </w:r>
    </w:p>
    <w:p w14:paraId="24C6FFB9" w14:textId="24404581" w:rsidR="0087740E" w:rsidRPr="003E4927" w:rsidRDefault="00F45142" w:rsidP="003E4927">
      <w:pPr>
        <w:jc w:val="both"/>
        <w:rPr>
          <w:rFonts w:eastAsia="Times New Roman"/>
          <w:color w:val="000000"/>
          <w:sz w:val="24"/>
          <w:szCs w:val="24"/>
        </w:rPr>
      </w:pPr>
      <w:r>
        <w:rPr>
          <w:rFonts w:eastAsia="Times New Roman"/>
          <w:color w:val="000000"/>
          <w:sz w:val="24"/>
          <w:szCs w:val="24"/>
        </w:rPr>
        <w:t xml:space="preserve">  Pažymėtina, kad pats pirkimo vykdytojas sprendžia, kokius reikalavimus, susijusius su sutarties įvykdymo užtikrinimu, nustatyti pirkimo sąlygose. Pirkimo vykdytojas, įvertinęs konkretaus pirkimo objektą, galimas rizikas ir kitus aspektus, gali nuspręsti, jog geriausiai jo interesus užtikrins </w:t>
      </w:r>
      <w:r w:rsidR="00315CC3">
        <w:rPr>
          <w:rFonts w:eastAsia="Times New Roman"/>
          <w:color w:val="000000"/>
          <w:sz w:val="24"/>
          <w:szCs w:val="24"/>
        </w:rPr>
        <w:t xml:space="preserve">užstatas arba </w:t>
      </w:r>
      <w:r>
        <w:rPr>
          <w:rFonts w:eastAsia="Times New Roman"/>
          <w:color w:val="000000"/>
          <w:sz w:val="24"/>
          <w:szCs w:val="24"/>
        </w:rPr>
        <w:t xml:space="preserve">banko garantija, o ne draudimo bendrovės išduodamas laidavimo draudimas.       </w:t>
      </w:r>
    </w:p>
    <w:p w14:paraId="14B05AC6" w14:textId="14BC4B11" w:rsidR="0087740E" w:rsidRPr="00C64111" w:rsidRDefault="00596249" w:rsidP="00596249">
      <w:pPr>
        <w:jc w:val="both"/>
        <w:rPr>
          <w:sz w:val="24"/>
          <w:szCs w:val="24"/>
        </w:rPr>
      </w:pPr>
      <w:r w:rsidRPr="00C64111">
        <w:rPr>
          <w:sz w:val="24"/>
          <w:szCs w:val="24"/>
        </w:rPr>
        <w:t xml:space="preserve">3. </w:t>
      </w:r>
      <w:r w:rsidR="0087740E" w:rsidRPr="00C64111">
        <w:rPr>
          <w:sz w:val="24"/>
          <w:szCs w:val="24"/>
        </w:rPr>
        <w:t xml:space="preserve">Techninės specifikacijos 3.1. punkte reikalaujate kad autobusas talpintų nemažiau nei 28 keleivius. Kaip ir praeitoje, taip ir šioje konsultacijoje informuojame, kad toks reikalavimas apriboja konkurenciją ir yra perteklinis. Tokio dydžio autobusuose nebus komfortiška važiuoti 28 ir daugiau keleiviams, tačiau visada tai bus įmanoma su visais analogiško dydžio autobusais. Niekas apart autobusų vidaus salono gabaritų neriboja keleivių patekimo į autobusą maršrutų stotelėse, todėl </w:t>
      </w:r>
      <w:r w:rsidR="0087740E" w:rsidRPr="00C64111">
        <w:rPr>
          <w:sz w:val="24"/>
          <w:szCs w:val="24"/>
        </w:rPr>
        <w:lastRenderedPageBreak/>
        <w:t xml:space="preserve">tokiu reikalavimu jūs nepakeičiat faktiškai važiuojančių keleivių skaičiaus, o tik sukeliat bereikalingus apribojimus, kurie papildomai didina autobuso, o tuo pačiu ir pervežimo kainą. Dar kartą siūlome sumažinti reikalaujamą minimalų keleivių skaičių iki 25. </w:t>
      </w:r>
    </w:p>
    <w:p w14:paraId="3F411403" w14:textId="7956AA2D" w:rsidR="0087740E" w:rsidRPr="00C64111" w:rsidRDefault="0087740E" w:rsidP="0087740E">
      <w:pPr>
        <w:rPr>
          <w:sz w:val="24"/>
          <w:szCs w:val="24"/>
        </w:rPr>
      </w:pPr>
      <w:r w:rsidRPr="00C64111">
        <w:rPr>
          <w:b/>
          <w:bCs/>
          <w:sz w:val="24"/>
          <w:szCs w:val="24"/>
        </w:rPr>
        <w:t>Atsakymas</w:t>
      </w:r>
      <w:r w:rsidRPr="00C64111">
        <w:rPr>
          <w:sz w:val="24"/>
          <w:szCs w:val="24"/>
        </w:rPr>
        <w:t>:</w:t>
      </w:r>
    </w:p>
    <w:p w14:paraId="6DC40F7C" w14:textId="6812FD9D" w:rsidR="0087740E" w:rsidRPr="00C64111" w:rsidRDefault="0087740E" w:rsidP="00C64111">
      <w:pPr>
        <w:jc w:val="both"/>
        <w:rPr>
          <w:sz w:val="24"/>
          <w:szCs w:val="24"/>
        </w:rPr>
      </w:pPr>
      <w:r w:rsidRPr="00C64111">
        <w:rPr>
          <w:sz w:val="24"/>
          <w:szCs w:val="24"/>
        </w:rPr>
        <w:t xml:space="preserve">Techninės specifikacijos 3.1 punktas keičiamas nebus. Perkančiosios organizacijos poreikis minėtoms transporto priemonėms yra ne mažesnis kaip 28 keleiviai. </w:t>
      </w:r>
    </w:p>
    <w:p w14:paraId="722AEC2B" w14:textId="75E20B8A" w:rsidR="0087740E" w:rsidRPr="00C64111" w:rsidRDefault="00356D38" w:rsidP="00356D38">
      <w:pPr>
        <w:jc w:val="both"/>
        <w:rPr>
          <w:sz w:val="24"/>
          <w:szCs w:val="24"/>
        </w:rPr>
      </w:pPr>
      <w:r w:rsidRPr="00C64111">
        <w:rPr>
          <w:sz w:val="24"/>
          <w:szCs w:val="24"/>
        </w:rPr>
        <w:t xml:space="preserve">4. </w:t>
      </w:r>
      <w:r w:rsidR="0087740E" w:rsidRPr="00C64111">
        <w:rPr>
          <w:sz w:val="24"/>
          <w:szCs w:val="24"/>
        </w:rPr>
        <w:t xml:space="preserve">Techninės specifikacijos 8.2. punkte nurodoma sekančiai, - „6. Papildomas autonominis šildytuvas – ne mažiau kaip 9 kW su laikmačio funkcija.“ Pažymime, kad toks reikalavimas yra perteklinis ir be reikalo didina produkto kainą. Mūsų įmonė yra didžiausiai analogiškų autobusų gamintojas šiaurės Europoje, todėl galime atsakingai pareikšti, kad naudojant autobusą mūsų klimatinėse sąlygose pilnai užtenka sumontuoti 5 kW autonominį šildytuvą su laikmačio funkcija. Visiems mūsų regiono klientams montuojame 5 kW autonominius šildytuvus ir niekas nėra pateikęs jokio nusiskundimo, kad salono šildymas būtų nepakankamas. Sumontavus galingesnį ir brangesnį šildytuvą didės šildymo kuro sąnaudos ir eksploatacijos kaštai. Prašome pakeisti reikalavimą sekančiai: Papildomas autonominis šildytuvas – ne mažiau kaip 5 kW su laikmačio funkcija </w:t>
      </w:r>
    </w:p>
    <w:p w14:paraId="58244595" w14:textId="77777777" w:rsidR="0087740E" w:rsidRPr="00C64111" w:rsidRDefault="0087740E" w:rsidP="009E6A48">
      <w:pPr>
        <w:rPr>
          <w:sz w:val="24"/>
          <w:szCs w:val="24"/>
        </w:rPr>
      </w:pPr>
      <w:r w:rsidRPr="00C64111">
        <w:rPr>
          <w:b/>
          <w:bCs/>
          <w:sz w:val="24"/>
          <w:szCs w:val="24"/>
        </w:rPr>
        <w:t>Atsakymas</w:t>
      </w:r>
      <w:r w:rsidRPr="00C64111">
        <w:rPr>
          <w:sz w:val="24"/>
          <w:szCs w:val="24"/>
        </w:rPr>
        <w:t>:</w:t>
      </w:r>
    </w:p>
    <w:p w14:paraId="6E1F3DE0" w14:textId="5EA481C3" w:rsidR="0087740E" w:rsidRPr="00C64111" w:rsidRDefault="0087740E" w:rsidP="00C64111">
      <w:pPr>
        <w:jc w:val="both"/>
        <w:rPr>
          <w:sz w:val="24"/>
          <w:szCs w:val="24"/>
        </w:rPr>
      </w:pPr>
      <w:r w:rsidRPr="00C64111">
        <w:rPr>
          <w:sz w:val="24"/>
          <w:szCs w:val="24"/>
        </w:rPr>
        <w:t>Techninės specifikacijos 8.2 punktas keičiamas nebus. Šis reikalavimas taikomas dėl optimalios variklio temperatūros palaikymo ir keleivių komforto žiemos sąlygomis komforto palaikymo.</w:t>
      </w:r>
    </w:p>
    <w:p w14:paraId="4602F45B" w14:textId="4A2777B8" w:rsidR="0087740E" w:rsidRPr="00C64111" w:rsidRDefault="00942FDB" w:rsidP="00942FDB">
      <w:pPr>
        <w:jc w:val="both"/>
        <w:rPr>
          <w:sz w:val="24"/>
          <w:szCs w:val="24"/>
        </w:rPr>
      </w:pPr>
      <w:r w:rsidRPr="00C64111">
        <w:rPr>
          <w:sz w:val="24"/>
          <w:szCs w:val="24"/>
        </w:rPr>
        <w:t xml:space="preserve">5. </w:t>
      </w:r>
      <w:r w:rsidR="0087740E" w:rsidRPr="00C64111">
        <w:rPr>
          <w:sz w:val="24"/>
          <w:szCs w:val="24"/>
        </w:rPr>
        <w:t>Techninės specifikacijos 14.1. punkte reikalaujate reikalaujama, kad sėdynės turi būti pritvirtinamos prie sienos (išskyrus tuos atvejus, kai to neleidžia autobusų konstrukcija). Kad to nereikėtų papildomai klausti paskelbus viešąjį pirkimą, prašome patikslinti šią išlygą sekančiai: Sėdynės turi būti pritvirtintos prie sienos (išskyrus tuos atvejus, kai autobusų kėbulo konstrukcija neleidžia sumontuoti tinkamų šoninių įtvirtinimų).</w:t>
      </w:r>
    </w:p>
    <w:p w14:paraId="3386FEA6" w14:textId="77777777" w:rsidR="0087740E" w:rsidRPr="009E6A48" w:rsidRDefault="0087740E" w:rsidP="009E6A48">
      <w:pPr>
        <w:rPr>
          <w:sz w:val="24"/>
          <w:szCs w:val="24"/>
        </w:rPr>
      </w:pPr>
      <w:r w:rsidRPr="009E6A48">
        <w:rPr>
          <w:b/>
          <w:bCs/>
          <w:sz w:val="24"/>
          <w:szCs w:val="24"/>
        </w:rPr>
        <w:t>Atsakymas</w:t>
      </w:r>
      <w:r w:rsidRPr="009E6A48">
        <w:rPr>
          <w:sz w:val="24"/>
          <w:szCs w:val="24"/>
        </w:rPr>
        <w:t>:</w:t>
      </w:r>
    </w:p>
    <w:p w14:paraId="6D25BEDC" w14:textId="23F1F7CD" w:rsidR="0087740E" w:rsidRPr="00C64111" w:rsidRDefault="0087740E" w:rsidP="00C64111">
      <w:pPr>
        <w:jc w:val="both"/>
        <w:rPr>
          <w:sz w:val="24"/>
          <w:szCs w:val="24"/>
        </w:rPr>
      </w:pPr>
      <w:r w:rsidRPr="00C64111">
        <w:rPr>
          <w:sz w:val="24"/>
          <w:szCs w:val="24"/>
        </w:rPr>
        <w:t>Techninės specifikacijos 14.1</w:t>
      </w:r>
      <w:r w:rsidR="00283F49">
        <w:rPr>
          <w:sz w:val="24"/>
          <w:szCs w:val="24"/>
        </w:rPr>
        <w:t>.</w:t>
      </w:r>
      <w:r w:rsidRPr="00C64111">
        <w:rPr>
          <w:sz w:val="24"/>
          <w:szCs w:val="24"/>
        </w:rPr>
        <w:t xml:space="preserve"> punktas keičiamas nebus. Sėdynių tvirtinimo būdas nedraudžia pasirinkti kito montavimo būdo jei transporto priemonės konstrukcija neleidžia tvirtinti sėdynių prie sienos.</w:t>
      </w:r>
    </w:p>
    <w:p w14:paraId="00290EAA" w14:textId="303074D5" w:rsidR="0087740E" w:rsidRPr="00C64111" w:rsidRDefault="00EB6919" w:rsidP="00EB6919">
      <w:pPr>
        <w:jc w:val="both"/>
        <w:rPr>
          <w:sz w:val="24"/>
          <w:szCs w:val="24"/>
        </w:rPr>
      </w:pPr>
      <w:r w:rsidRPr="00C64111">
        <w:rPr>
          <w:sz w:val="24"/>
          <w:szCs w:val="24"/>
        </w:rPr>
        <w:t xml:space="preserve">6. </w:t>
      </w:r>
      <w:r w:rsidR="0087740E" w:rsidRPr="00C64111">
        <w:rPr>
          <w:sz w:val="24"/>
          <w:szCs w:val="24"/>
        </w:rPr>
        <w:t>Techninės specifikacijos 15.3. punkte nurodoma: „Vairuotojo kabinos kairės pusės šoninis stiklas turi būti stiklo paketas arba šildomas ir privalo turėti stumdomą orlaidę arba turi būti atidaromas, dešinės pusės šoninis vairuotojo matymo zonoje esantis stiklas turi būti stiklo paketas arba šildomas.“ Pagal tokį traktavimą nėra aišku, kaip turi būti šildomi vairuotojo kabinos šoniniai stiklai. Ar jie turi būti šildomi elektra ar šilto oro srove? Prašome patikslinti, kad abu šildymo būdai yra tinkami ir suformuluoti reikalavimą sekančiai: „Vairuotojo kabinos kairės pusės šoninis stiklas turi būti stiklo paketas arba šildomas elektriniu šildytuvu ar šilto oro srautu ir privalo turėti stumdomą orlaidę arba turi būti atidaromas, dešinės pusės šoninis vairuotojo matymo zonoje esantis stiklas turi būti stiklo paketas arba šildomas elektriniu šildytuvu ar šilto oro srautu.“</w:t>
      </w:r>
    </w:p>
    <w:p w14:paraId="248593E2" w14:textId="77777777" w:rsidR="0087740E" w:rsidRPr="00C64111" w:rsidRDefault="0087740E" w:rsidP="007B0A19">
      <w:pPr>
        <w:rPr>
          <w:sz w:val="24"/>
          <w:szCs w:val="24"/>
        </w:rPr>
      </w:pPr>
      <w:r w:rsidRPr="00C64111">
        <w:rPr>
          <w:b/>
          <w:bCs/>
          <w:sz w:val="24"/>
          <w:szCs w:val="24"/>
        </w:rPr>
        <w:t>Atsakymas</w:t>
      </w:r>
      <w:r w:rsidRPr="00C64111">
        <w:rPr>
          <w:sz w:val="24"/>
          <w:szCs w:val="24"/>
        </w:rPr>
        <w:t>:</w:t>
      </w:r>
    </w:p>
    <w:p w14:paraId="6AD78AA6" w14:textId="23414496" w:rsidR="0087740E" w:rsidRPr="00A33E06" w:rsidRDefault="0087740E" w:rsidP="00A33E06">
      <w:pPr>
        <w:jc w:val="both"/>
        <w:rPr>
          <w:sz w:val="24"/>
          <w:szCs w:val="24"/>
        </w:rPr>
      </w:pPr>
      <w:r w:rsidRPr="00C64111">
        <w:rPr>
          <w:sz w:val="24"/>
          <w:szCs w:val="24"/>
        </w:rPr>
        <w:t>Techninės specifikacijos 15.3</w:t>
      </w:r>
      <w:r w:rsidR="00C85EC3" w:rsidRPr="00C64111">
        <w:rPr>
          <w:sz w:val="24"/>
          <w:szCs w:val="24"/>
        </w:rPr>
        <w:t xml:space="preserve">. </w:t>
      </w:r>
      <w:r w:rsidRPr="00C64111">
        <w:rPr>
          <w:sz w:val="24"/>
          <w:szCs w:val="24"/>
        </w:rPr>
        <w:t xml:space="preserve"> punktas keičiamas nebus. Tiekėjas stiklų šildymo būdą pasirenka pats. </w:t>
      </w:r>
    </w:p>
    <w:sectPr w:rsidR="0087740E" w:rsidRPr="00A33E0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7C52D6"/>
    <w:multiLevelType w:val="hybridMultilevel"/>
    <w:tmpl w:val="A31E3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F1506"/>
    <w:multiLevelType w:val="hybridMultilevel"/>
    <w:tmpl w:val="A31E3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6A27BC"/>
    <w:multiLevelType w:val="multilevel"/>
    <w:tmpl w:val="17FA3D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7D5162"/>
    <w:multiLevelType w:val="hybridMultilevel"/>
    <w:tmpl w:val="4C1094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351205">
    <w:abstractNumId w:val="1"/>
  </w:num>
  <w:num w:numId="2" w16cid:durableId="727875106">
    <w:abstractNumId w:val="4"/>
  </w:num>
  <w:num w:numId="3" w16cid:durableId="892273635">
    <w:abstractNumId w:val="2"/>
  </w:num>
  <w:num w:numId="4" w16cid:durableId="1720350592">
    <w:abstractNumId w:val="0"/>
  </w:num>
  <w:num w:numId="5" w16cid:durableId="1580801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560"/>
    <w:rsid w:val="002674F3"/>
    <w:rsid w:val="00283F49"/>
    <w:rsid w:val="00315CC3"/>
    <w:rsid w:val="00356D38"/>
    <w:rsid w:val="003E4927"/>
    <w:rsid w:val="00596249"/>
    <w:rsid w:val="0063118B"/>
    <w:rsid w:val="00646F1F"/>
    <w:rsid w:val="007B0A19"/>
    <w:rsid w:val="007E400F"/>
    <w:rsid w:val="00862199"/>
    <w:rsid w:val="0087740E"/>
    <w:rsid w:val="008E0FAB"/>
    <w:rsid w:val="00913560"/>
    <w:rsid w:val="00942FDB"/>
    <w:rsid w:val="00993930"/>
    <w:rsid w:val="009E6A48"/>
    <w:rsid w:val="00A33E06"/>
    <w:rsid w:val="00A81D11"/>
    <w:rsid w:val="00AA68AB"/>
    <w:rsid w:val="00AB1A9E"/>
    <w:rsid w:val="00B03736"/>
    <w:rsid w:val="00BA500E"/>
    <w:rsid w:val="00BB5203"/>
    <w:rsid w:val="00C64111"/>
    <w:rsid w:val="00C85EC3"/>
    <w:rsid w:val="00D32B59"/>
    <w:rsid w:val="00D62BA7"/>
    <w:rsid w:val="00D807BA"/>
    <w:rsid w:val="00E13218"/>
    <w:rsid w:val="00EB6919"/>
    <w:rsid w:val="00F45142"/>
    <w:rsid w:val="00F46AD5"/>
    <w:rsid w:val="00F836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4E4D"/>
  <w15:chartTrackingRefBased/>
  <w15:docId w15:val="{146A73F0-296F-4D39-8AC6-895A882A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135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135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1356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1356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1356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1356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356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1356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356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356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1356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1356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1356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1356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1356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356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1356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356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13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356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356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356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356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3560"/>
    <w:rPr>
      <w:i/>
      <w:iCs/>
      <w:color w:val="404040" w:themeColor="text1" w:themeTint="BF"/>
    </w:rPr>
  </w:style>
  <w:style w:type="paragraph" w:styleId="Sraopastraipa">
    <w:name w:val="List Paragraph"/>
    <w:basedOn w:val="prastasis"/>
    <w:uiPriority w:val="34"/>
    <w:qFormat/>
    <w:rsid w:val="00913560"/>
    <w:pPr>
      <w:ind w:left="720"/>
      <w:contextualSpacing/>
    </w:pPr>
  </w:style>
  <w:style w:type="character" w:styleId="Rykuspabraukimas">
    <w:name w:val="Intense Emphasis"/>
    <w:basedOn w:val="Numatytasispastraiposriftas"/>
    <w:uiPriority w:val="21"/>
    <w:qFormat/>
    <w:rsid w:val="00913560"/>
    <w:rPr>
      <w:i/>
      <w:iCs/>
      <w:color w:val="2F5496" w:themeColor="accent1" w:themeShade="BF"/>
    </w:rPr>
  </w:style>
  <w:style w:type="paragraph" w:styleId="Iskirtacitata">
    <w:name w:val="Intense Quote"/>
    <w:basedOn w:val="prastasis"/>
    <w:next w:val="prastasis"/>
    <w:link w:val="IskirtacitataDiagrama"/>
    <w:uiPriority w:val="30"/>
    <w:qFormat/>
    <w:rsid w:val="009135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13560"/>
    <w:rPr>
      <w:i/>
      <w:iCs/>
      <w:color w:val="2F5496" w:themeColor="accent1" w:themeShade="BF"/>
    </w:rPr>
  </w:style>
  <w:style w:type="character" w:styleId="Rykinuoroda">
    <w:name w:val="Intense Reference"/>
    <w:basedOn w:val="Numatytasispastraiposriftas"/>
    <w:uiPriority w:val="32"/>
    <w:qFormat/>
    <w:rsid w:val="0091356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AA68AB"/>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uiPriority w:val="99"/>
    <w:rsid w:val="00AA68AB"/>
    <w:rPr>
      <w:rFonts w:ascii="Times New Roman" w:eastAsia="Times New Roman" w:hAnsi="Times New Roman" w:cs="Times New Roman"/>
      <w:kern w:val="0"/>
      <w:sz w:val="24"/>
      <w:szCs w:val="20"/>
      <w14:ligatures w14:val="none"/>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AA68AB"/>
    <w:pPr>
      <w:tabs>
        <w:tab w:val="center" w:pos="4153"/>
        <w:tab w:val="right" w:pos="8306"/>
      </w:tabs>
      <w:spacing w:after="0" w:line="240" w:lineRule="auto"/>
      <w:jc w:val="both"/>
    </w:pPr>
    <w:rPr>
      <w:rFonts w:ascii="Times New Roman" w:eastAsia="Times New Roman" w:hAnsi="Times New Roman" w:cs="Times New Roman"/>
      <w:kern w:val="0"/>
      <w:sz w:val="24"/>
      <w:szCs w:val="20"/>
      <w14:ligatures w14:val="none"/>
    </w:r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AA68AB"/>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D33C0-4BBD-4DB1-8476-95C935FC0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2</Pages>
  <Words>3813</Words>
  <Characters>2174</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Locaitis</dc:creator>
  <cp:keywords/>
  <dc:description/>
  <cp:lastModifiedBy>Dalia Gudeliauskienė</cp:lastModifiedBy>
  <cp:revision>35</cp:revision>
  <dcterms:created xsi:type="dcterms:W3CDTF">2025-10-06T12:20:00Z</dcterms:created>
  <dcterms:modified xsi:type="dcterms:W3CDTF">2025-10-08T09:24:00Z</dcterms:modified>
</cp:coreProperties>
</file>