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61B6B5C5" w:rsidR="00D07746" w:rsidRPr="00E92221" w:rsidRDefault="0056239D" w:rsidP="00924147">
                <w:pPr>
                  <w:pStyle w:val="NoSpacing"/>
                  <w:jc w:val="center"/>
                  <w:rPr>
                    <w:rFonts w:ascii="Times New Roman" w:eastAsia="Yu Mincho" w:hAnsi="Times New Roman" w:cs="Times New Roman"/>
                    <w:b/>
                    <w:sz w:val="44"/>
                    <w:szCs w:val="44"/>
                    <w:lang w:val="en-US" w:eastAsia="en-US"/>
                  </w:rPr>
                </w:pPr>
                <w:r w:rsidRPr="0056239D">
                  <w:rPr>
                    <w:rFonts w:ascii="Times New Roman" w:hAnsi="Times New Roman" w:cs="Times New Roman"/>
                    <w:b/>
                    <w:bCs/>
                    <w:caps/>
                    <w:color w:val="000000"/>
                    <w:sz w:val="44"/>
                    <w:szCs w:val="44"/>
                  </w:rPr>
                  <w:t xml:space="preserve">SaUGUMO OPERACIJŲ CENTRO </w:t>
                </w:r>
                <w:r w:rsidR="00E92221" w:rsidRPr="00E92221">
                  <w:rPr>
                    <w:rFonts w:ascii="Times New Roman" w:hAnsi="Times New Roman" w:cs="Times New Roman"/>
                    <w:b/>
                    <w:bCs/>
                    <w:sz w:val="44"/>
                    <w:szCs w:val="44"/>
                  </w:rPr>
                  <w:t>PASLAUGŲ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56239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D126C3">
      <w:pPr>
        <w:pStyle w:val="Heading1"/>
        <w:numPr>
          <w:ilvl w:val="0"/>
          <w:numId w:val="1"/>
        </w:numPr>
        <w:spacing w:before="0"/>
        <w:ind w:left="720" w:hanging="720"/>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D126C3">
      <w:pPr>
        <w:pStyle w:val="ListParagraph"/>
        <w:numPr>
          <w:ilvl w:val="1"/>
          <w:numId w:val="1"/>
        </w:numPr>
        <w:tabs>
          <w:tab w:val="left" w:pos="720"/>
        </w:tabs>
        <w:spacing w:after="0" w:line="240" w:lineRule="auto"/>
        <w:ind w:left="0" w:firstLine="0"/>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D126C3">
      <w:pPr>
        <w:pStyle w:val="ListParagraph"/>
        <w:numPr>
          <w:ilvl w:val="1"/>
          <w:numId w:val="3"/>
        </w:numPr>
        <w:tabs>
          <w:tab w:val="left" w:pos="720"/>
        </w:tabs>
        <w:spacing w:after="0" w:line="240" w:lineRule="auto"/>
        <w:ind w:firstLine="0"/>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D126C3">
      <w:pPr>
        <w:pStyle w:val="ListParagraph"/>
        <w:numPr>
          <w:ilvl w:val="1"/>
          <w:numId w:val="3"/>
        </w:numPr>
        <w:tabs>
          <w:tab w:val="left" w:pos="720"/>
        </w:tabs>
        <w:spacing w:after="0" w:line="240" w:lineRule="auto"/>
        <w:ind w:left="0" w:firstLine="0"/>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D126C3">
      <w:pPr>
        <w:pStyle w:val="ListParagraph"/>
        <w:numPr>
          <w:ilvl w:val="1"/>
          <w:numId w:val="3"/>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D126C3">
      <w:pPr>
        <w:pStyle w:val="ListParagraph"/>
        <w:numPr>
          <w:ilvl w:val="1"/>
          <w:numId w:val="3"/>
        </w:numPr>
        <w:tabs>
          <w:tab w:val="left" w:pos="720"/>
        </w:tabs>
        <w:spacing w:after="120" w:line="240" w:lineRule="auto"/>
        <w:ind w:left="0" w:firstLine="0"/>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D126C3">
      <w:pPr>
        <w:pStyle w:val="ListParagraph"/>
        <w:numPr>
          <w:ilvl w:val="1"/>
          <w:numId w:val="3"/>
        </w:numPr>
        <w:tabs>
          <w:tab w:val="left" w:pos="720"/>
        </w:tabs>
        <w:spacing w:after="120" w:line="240" w:lineRule="auto"/>
        <w:ind w:left="0" w:firstLine="0"/>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D126C3">
      <w:pPr>
        <w:pStyle w:val="ListParagraph"/>
        <w:numPr>
          <w:ilvl w:val="1"/>
          <w:numId w:val="3"/>
        </w:numPr>
        <w:tabs>
          <w:tab w:val="left" w:pos="720"/>
        </w:tabs>
        <w:spacing w:after="0" w:line="240" w:lineRule="auto"/>
        <w:ind w:left="0" w:firstLine="0"/>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D126C3">
      <w:pPr>
        <w:pStyle w:val="ListParagraph"/>
        <w:numPr>
          <w:ilvl w:val="1"/>
          <w:numId w:val="3"/>
        </w:numPr>
        <w:tabs>
          <w:tab w:val="left" w:pos="720"/>
        </w:tabs>
        <w:spacing w:after="240" w:line="240" w:lineRule="auto"/>
        <w:ind w:left="0" w:firstLine="0"/>
        <w:contextualSpacing w:val="0"/>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D126C3">
      <w:pPr>
        <w:pStyle w:val="Heading1"/>
        <w:numPr>
          <w:ilvl w:val="0"/>
          <w:numId w:val="5"/>
        </w:numPr>
        <w:tabs>
          <w:tab w:val="left" w:pos="720"/>
        </w:tabs>
        <w:spacing w:before="0"/>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D126C3">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D126C3">
      <w:pPr>
        <w:pStyle w:val="NoSpacing"/>
        <w:numPr>
          <w:ilvl w:val="1"/>
          <w:numId w:val="5"/>
        </w:numPr>
        <w:tabs>
          <w:tab w:val="left" w:pos="720"/>
        </w:tabs>
        <w:ind w:left="0" w:firstLine="0"/>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D126C3">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b/>
          <w:bCs/>
        </w:rPr>
        <w:lastRenderedPageBreak/>
        <w:t>Pirkimo dokumentus sudaro</w:t>
      </w:r>
      <w:r w:rsidRPr="00B71B2D">
        <w:rPr>
          <w:rFonts w:ascii="Times New Roman" w:eastAsia="Calibri" w:hAnsi="Times New Roman" w:cs="Times New Roman"/>
        </w:rPr>
        <w:t>:</w:t>
      </w:r>
    </w:p>
    <w:p w14:paraId="346E2D25" w14:textId="617558BB" w:rsidR="00C86519" w:rsidRPr="00B71B2D" w:rsidRDefault="004C3DF6"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D126C3">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D126C3">
      <w:pPr>
        <w:pStyle w:val="ListParagraph"/>
        <w:numPr>
          <w:ilvl w:val="1"/>
          <w:numId w:val="5"/>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5891333F" w14:textId="63F2633C" w:rsidR="003A2F4F" w:rsidRPr="00B71B2D" w:rsidRDefault="002072B1" w:rsidP="00D126C3">
      <w:pPr>
        <w:pStyle w:val="Heading1"/>
        <w:numPr>
          <w:ilvl w:val="0"/>
          <w:numId w:val="8"/>
        </w:numPr>
        <w:spacing w:before="0"/>
        <w:ind w:left="720" w:hanging="720"/>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D126C3">
      <w:pPr>
        <w:pStyle w:val="NoSpacing"/>
        <w:numPr>
          <w:ilvl w:val="1"/>
          <w:numId w:val="8"/>
        </w:numPr>
        <w:tabs>
          <w:tab w:val="left" w:pos="720"/>
        </w:tabs>
        <w:ind w:left="0" w:firstLine="0"/>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D126C3">
      <w:pPr>
        <w:pStyle w:val="NoSpacing"/>
        <w:numPr>
          <w:ilvl w:val="1"/>
          <w:numId w:val="26"/>
        </w:numPr>
        <w:tabs>
          <w:tab w:val="left" w:pos="720"/>
          <w:tab w:val="left" w:pos="1276"/>
        </w:tabs>
        <w:spacing w:after="120"/>
        <w:ind w:left="0" w:firstLine="0"/>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D126C3">
      <w:pPr>
        <w:pStyle w:val="Heading1"/>
        <w:numPr>
          <w:ilvl w:val="0"/>
          <w:numId w:val="6"/>
        </w:numPr>
        <w:spacing w:before="0"/>
        <w:ind w:left="720" w:hanging="720"/>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D126C3">
      <w:pPr>
        <w:pStyle w:val="ListParagraph"/>
        <w:numPr>
          <w:ilvl w:val="2"/>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D126C3">
      <w:pPr>
        <w:pStyle w:val="ListParagraph"/>
        <w:numPr>
          <w:ilvl w:val="2"/>
          <w:numId w:val="6"/>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D126C3">
      <w:pPr>
        <w:pStyle w:val="ListParagraph"/>
        <w:numPr>
          <w:ilvl w:val="1"/>
          <w:numId w:val="6"/>
        </w:numPr>
        <w:tabs>
          <w:tab w:val="left" w:pos="720"/>
          <w:tab w:val="left" w:pos="1134"/>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D126C3">
      <w:pPr>
        <w:pStyle w:val="ListParagraph"/>
        <w:numPr>
          <w:ilvl w:val="1"/>
          <w:numId w:val="6"/>
        </w:numPr>
        <w:tabs>
          <w:tab w:val="left" w:pos="426"/>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146936">
      <w:pPr>
        <w:pStyle w:val="ListParagraph"/>
        <w:numPr>
          <w:ilvl w:val="1"/>
          <w:numId w:val="6"/>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146936">
      <w:pPr>
        <w:pStyle w:val="Heading1"/>
        <w:numPr>
          <w:ilvl w:val="0"/>
          <w:numId w:val="6"/>
        </w:numPr>
        <w:tabs>
          <w:tab w:val="left" w:pos="567"/>
        </w:tabs>
        <w:spacing w:before="0"/>
        <w:ind w:left="0" w:firstLine="0"/>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146936">
      <w:pPr>
        <w:pStyle w:val="ListParagraph"/>
        <w:numPr>
          <w:ilvl w:val="1"/>
          <w:numId w:val="6"/>
        </w:numPr>
        <w:tabs>
          <w:tab w:val="left" w:pos="720"/>
        </w:tabs>
        <w:spacing w:after="0" w:line="240" w:lineRule="auto"/>
        <w:ind w:left="0" w:firstLine="0"/>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146936">
      <w:pPr>
        <w:pStyle w:val="Body2"/>
        <w:numPr>
          <w:ilvl w:val="1"/>
          <w:numId w:val="6"/>
        </w:numPr>
        <w:tabs>
          <w:tab w:val="left" w:pos="720"/>
        </w:tabs>
        <w:spacing w:after="240"/>
        <w:ind w:left="0" w:firstLine="0"/>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6443D2FF" w14:textId="1DCA9944" w:rsidR="00C94B9F" w:rsidRPr="00146936" w:rsidRDefault="00414F26" w:rsidP="008C6D99">
      <w:pPr>
        <w:pStyle w:val="Heading1"/>
        <w:numPr>
          <w:ilvl w:val="0"/>
          <w:numId w:val="7"/>
        </w:numPr>
        <w:tabs>
          <w:tab w:val="left" w:pos="567"/>
          <w:tab w:val="left" w:pos="10490"/>
        </w:tabs>
        <w:spacing w:before="0"/>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w:t>
      </w:r>
      <w:r w:rsidR="008C6D99">
        <w:rPr>
          <w:rFonts w:ascii="Times New Roman" w:hAnsi="Times New Roman" w:cs="Times New Roman"/>
          <w:b/>
          <w:bCs/>
          <w:color w:val="002060"/>
        </w:rPr>
        <w:t xml:space="preserve"> </w:t>
      </w:r>
      <w:r w:rsidRPr="00B71B2D">
        <w:rPr>
          <w:rFonts w:ascii="Times New Roman" w:hAnsi="Times New Roman" w:cs="Times New Roman"/>
          <w:b/>
          <w:bCs/>
          <w:color w:val="002060"/>
        </w:rPr>
        <w:t>apsaugos vadybos sistemų standartai</w:t>
      </w:r>
      <w:bookmarkEnd w:id="17"/>
      <w:r w:rsidR="00233769" w:rsidRPr="00B71B2D">
        <w:rPr>
          <w:rFonts w:ascii="Times New Roman" w:hAnsi="Times New Roman" w:cs="Times New Roman"/>
          <w:b/>
          <w:bCs/>
          <w:color w:val="002060"/>
        </w:rPr>
        <w:t xml:space="preserve"> </w:t>
      </w:r>
    </w:p>
    <w:p w14:paraId="23B058CE" w14:textId="5BC77568" w:rsidR="002C5249" w:rsidRPr="00B71B2D" w:rsidRDefault="002C5249"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C6D99">
      <w:pPr>
        <w:pStyle w:val="ListParagraph"/>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C6D99">
      <w:pPr>
        <w:pStyle w:val="ListParagraph"/>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C6D99">
      <w:pPr>
        <w:pStyle w:val="ListParagraph"/>
        <w:numPr>
          <w:ilvl w:val="1"/>
          <w:numId w:val="7"/>
        </w:numPr>
        <w:tabs>
          <w:tab w:val="left" w:pos="720"/>
        </w:tabs>
        <w:spacing w:after="0" w:line="240" w:lineRule="auto"/>
        <w:ind w:left="0" w:firstLine="0"/>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DB1A4C">
      <w:pPr>
        <w:pStyle w:val="ListParagraph"/>
        <w:numPr>
          <w:ilvl w:val="1"/>
          <w:numId w:val="7"/>
        </w:numPr>
        <w:tabs>
          <w:tab w:val="left" w:pos="720"/>
        </w:tabs>
        <w:spacing w:after="240" w:line="240" w:lineRule="auto"/>
        <w:ind w:left="0" w:firstLine="0"/>
        <w:contextualSpacing w:val="0"/>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6E19B362" w14:textId="44E7CBF0" w:rsidR="009C74E3" w:rsidRPr="00B71B2D" w:rsidRDefault="007B2DBE" w:rsidP="00DB1A4C">
      <w:pPr>
        <w:pStyle w:val="Heading1"/>
        <w:numPr>
          <w:ilvl w:val="0"/>
          <w:numId w:val="9"/>
        </w:numPr>
        <w:tabs>
          <w:tab w:val="left" w:pos="720"/>
        </w:tabs>
        <w:spacing w:before="0"/>
        <w:ind w:left="605" w:right="-288" w:hanging="605"/>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DB1A4C">
      <w:pPr>
        <w:pStyle w:val="ListParagraph"/>
        <w:numPr>
          <w:ilvl w:val="1"/>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DB1A4C">
      <w:pPr>
        <w:pStyle w:val="ListParagraph"/>
        <w:numPr>
          <w:ilvl w:val="2"/>
          <w:numId w:val="9"/>
        </w:numPr>
        <w:tabs>
          <w:tab w:val="left" w:pos="720"/>
        </w:tabs>
        <w:spacing w:after="0" w:line="240" w:lineRule="auto"/>
        <w:ind w:left="0" w:firstLine="0"/>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DB1A4C">
      <w:pPr>
        <w:pStyle w:val="ListParagraph"/>
        <w:numPr>
          <w:ilvl w:val="2"/>
          <w:numId w:val="9"/>
        </w:numPr>
        <w:tabs>
          <w:tab w:val="left" w:pos="720"/>
        </w:tabs>
        <w:spacing w:after="0" w:line="240" w:lineRule="auto"/>
        <w:ind w:left="0" w:firstLine="0"/>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DB1A4C">
      <w:pPr>
        <w:pStyle w:val="ListParagraph"/>
        <w:numPr>
          <w:ilvl w:val="1"/>
          <w:numId w:val="9"/>
        </w:numPr>
        <w:tabs>
          <w:tab w:val="left" w:pos="720"/>
        </w:tabs>
        <w:spacing w:after="0" w:line="240" w:lineRule="auto"/>
        <w:ind w:left="0" w:firstLine="0"/>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DB1A4C">
      <w:pPr>
        <w:pStyle w:val="ListParagraph"/>
        <w:numPr>
          <w:ilvl w:val="1"/>
          <w:numId w:val="9"/>
        </w:numPr>
        <w:tabs>
          <w:tab w:val="left" w:pos="720"/>
        </w:tabs>
        <w:spacing w:after="0" w:line="240" w:lineRule="auto"/>
        <w:ind w:left="0" w:firstLine="0"/>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DB1A4C">
      <w:pPr>
        <w:pStyle w:val="ListParagraph"/>
        <w:numPr>
          <w:ilvl w:val="1"/>
          <w:numId w:val="9"/>
        </w:numPr>
        <w:tabs>
          <w:tab w:val="left" w:pos="720"/>
        </w:tabs>
        <w:spacing w:after="0" w:line="240" w:lineRule="auto"/>
        <w:ind w:left="0" w:firstLine="0"/>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DB1A4C">
      <w:pPr>
        <w:pStyle w:val="ListParagraph"/>
        <w:numPr>
          <w:ilvl w:val="1"/>
          <w:numId w:val="9"/>
        </w:numPr>
        <w:tabs>
          <w:tab w:val="left" w:pos="720"/>
        </w:tabs>
        <w:spacing w:after="0" w:line="240" w:lineRule="auto"/>
        <w:ind w:left="0" w:firstLine="0"/>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DB1A4C">
      <w:pPr>
        <w:pStyle w:val="ListParagraph"/>
        <w:numPr>
          <w:ilvl w:val="1"/>
          <w:numId w:val="9"/>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DB1A4C">
      <w:pPr>
        <w:pStyle w:val="ListParagraph"/>
        <w:tabs>
          <w:tab w:val="left" w:pos="720"/>
        </w:tabs>
        <w:spacing w:after="0" w:line="240" w:lineRule="auto"/>
        <w:ind w:left="0"/>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DB1A4C">
      <w:pPr>
        <w:pStyle w:val="ListParagraph"/>
        <w:tabs>
          <w:tab w:val="left" w:pos="72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DB1A4C">
      <w:pPr>
        <w:pStyle w:val="ListParagraph"/>
        <w:numPr>
          <w:ilvl w:val="2"/>
          <w:numId w:val="9"/>
        </w:numPr>
        <w:tabs>
          <w:tab w:val="left" w:pos="720"/>
        </w:tabs>
        <w:spacing w:after="120" w:line="240" w:lineRule="auto"/>
        <w:ind w:left="0" w:firstLine="0"/>
        <w:contextualSpacing w:val="0"/>
        <w:jc w:val="both"/>
        <w:rPr>
          <w:rFonts w:ascii="Times New Roman" w:hAnsi="Times New Roman" w:cs="Times New Roman"/>
        </w:rPr>
      </w:pPr>
      <w:r w:rsidRPr="00B71B2D">
        <w:rPr>
          <w:rFonts w:ascii="Times New Roman" w:hAnsi="Times New Roman" w:cs="Times New Roman"/>
        </w:rPr>
        <w:lastRenderedPageBreak/>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91B2B8F" w:rsidR="008C6767" w:rsidRPr="00B71B2D" w:rsidRDefault="007B2DBE" w:rsidP="00416C27">
      <w:pPr>
        <w:pStyle w:val="Heading1"/>
        <w:numPr>
          <w:ilvl w:val="0"/>
          <w:numId w:val="9"/>
        </w:numPr>
        <w:ind w:left="720" w:hanging="720"/>
        <w:contextualSpacing/>
        <w:rPr>
          <w:rFonts w:ascii="Times New Roman" w:hAnsi="Times New Roman" w:cs="Times New Roman"/>
          <w:b/>
          <w:bCs/>
          <w:color w:val="002060"/>
        </w:rPr>
      </w:pPr>
      <w:bookmarkStart w:id="26" w:name="_Toc134703656"/>
      <w:r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DB1A4C">
      <w:pPr>
        <w:pStyle w:val="Body2"/>
        <w:numPr>
          <w:ilvl w:val="1"/>
          <w:numId w:val="9"/>
        </w:numPr>
        <w:tabs>
          <w:tab w:val="left" w:pos="720"/>
        </w:tabs>
        <w:spacing w:after="0"/>
        <w:ind w:left="0" w:firstLine="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DB1A4C">
      <w:pPr>
        <w:pStyle w:val="ListParagraph"/>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DB1A4C">
      <w:pPr>
        <w:pStyle w:val="Heading1"/>
        <w:numPr>
          <w:ilvl w:val="0"/>
          <w:numId w:val="9"/>
        </w:numPr>
        <w:tabs>
          <w:tab w:val="left" w:pos="567"/>
        </w:tabs>
        <w:spacing w:before="0"/>
        <w:ind w:left="605" w:hanging="605"/>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5905F5">
      <w:pPr>
        <w:pStyle w:val="ListParagraph"/>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442A93D3" w14:textId="44BF4BAF" w:rsidR="008B1FB2" w:rsidRPr="00B71B2D" w:rsidRDefault="000E4DA6" w:rsidP="005905F5">
      <w:pPr>
        <w:pStyle w:val="Heading1"/>
        <w:numPr>
          <w:ilvl w:val="0"/>
          <w:numId w:val="9"/>
        </w:numPr>
        <w:spacing w:before="0"/>
        <w:ind w:left="720" w:hanging="720"/>
        <w:jc w:val="both"/>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032959">
      <w:pPr>
        <w:pStyle w:val="ListParagraph"/>
        <w:numPr>
          <w:ilvl w:val="1"/>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032959">
      <w:pPr>
        <w:pStyle w:val="ListParagraph"/>
        <w:numPr>
          <w:ilvl w:val="1"/>
          <w:numId w:val="9"/>
        </w:numPr>
        <w:tabs>
          <w:tab w:val="left" w:pos="720"/>
        </w:tabs>
        <w:spacing w:after="0" w:line="240" w:lineRule="auto"/>
        <w:ind w:left="0" w:firstLine="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032959">
      <w:pPr>
        <w:pStyle w:val="ListParagraph"/>
        <w:numPr>
          <w:ilvl w:val="1"/>
          <w:numId w:val="9"/>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71B2D" w:rsidRDefault="00AB6038" w:rsidP="00032959">
      <w:pPr>
        <w:pStyle w:val="Heading1"/>
        <w:numPr>
          <w:ilvl w:val="0"/>
          <w:numId w:val="12"/>
        </w:numPr>
        <w:spacing w:before="0"/>
        <w:ind w:left="720" w:hanging="72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bookmarkEnd w:id="2"/>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032959">
      <w:pPr>
        <w:spacing w:after="120" w:line="240" w:lineRule="auto"/>
        <w:ind w:left="720" w:hanging="720"/>
        <w:rPr>
          <w:rFonts w:ascii="Times New Roman" w:hAnsi="Times New Roman" w:cs="Times New Roman"/>
        </w:rPr>
      </w:pPr>
    </w:p>
    <w:p w14:paraId="4D33DD96" w14:textId="1E61210E" w:rsidR="00EB4CCF" w:rsidRDefault="3437B93B"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objektu (išskyrus tuos </w:t>
      </w:r>
      <w:r w:rsidRPr="00B71B2D">
        <w:rPr>
          <w:rFonts w:ascii="Times New Roman" w:eastAsia="Arial" w:hAnsi="Times New Roman" w:cs="Times New Roman"/>
          <w:color w:val="000000" w:themeColor="text1"/>
        </w:rPr>
        <w:lastRenderedPageBreak/>
        <w:t>atvejus, kai pirkimo dokumentuose aiškiai nurodyta, kad tam tikros konkrečios išlaidos neturi būti įskaičiuotos į sutarties kainą).</w:t>
      </w:r>
    </w:p>
    <w:p w14:paraId="34F3E768" w14:textId="33DA38A2"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032959">
      <w:pPr>
        <w:pStyle w:val="ListParagraph"/>
        <w:numPr>
          <w:ilvl w:val="1"/>
          <w:numId w:val="42"/>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B71B2D" w:rsidRDefault="0042545B" w:rsidP="00032959">
      <w:pPr>
        <w:pStyle w:val="Heading1"/>
        <w:numPr>
          <w:ilvl w:val="0"/>
          <w:numId w:val="11"/>
        </w:numPr>
        <w:spacing w:before="0"/>
        <w:ind w:left="720" w:hanging="720"/>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5A302C16" w14:textId="0B37C246" w:rsidR="006D0AB0" w:rsidRPr="00CC24BB" w:rsidRDefault="006D0AB0" w:rsidP="00032959">
      <w:pPr>
        <w:pStyle w:val="paragrafesrasas2lygis"/>
        <w:numPr>
          <w:ilvl w:val="1"/>
          <w:numId w:val="11"/>
        </w:numPr>
        <w:tabs>
          <w:tab w:val="left" w:pos="720"/>
        </w:tabs>
        <w:spacing w:after="0" w:line="240" w:lineRule="auto"/>
        <w:ind w:left="0" w:firstLine="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032959">
      <w:pPr>
        <w:pStyle w:val="paragrafesrasas2lygis"/>
        <w:numPr>
          <w:ilvl w:val="1"/>
          <w:numId w:val="11"/>
        </w:numPr>
        <w:tabs>
          <w:tab w:val="left" w:pos="720"/>
        </w:tabs>
        <w:spacing w:after="0" w:line="240" w:lineRule="auto"/>
        <w:ind w:left="0" w:firstLine="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032959">
      <w:pPr>
        <w:pStyle w:val="ListParagraph"/>
        <w:numPr>
          <w:ilvl w:val="1"/>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032959">
      <w:pPr>
        <w:pStyle w:val="paragrafesrasas2lygis"/>
        <w:numPr>
          <w:ilvl w:val="1"/>
          <w:numId w:val="11"/>
        </w:numPr>
        <w:tabs>
          <w:tab w:val="left" w:pos="720"/>
        </w:tabs>
        <w:spacing w:after="0" w:line="240" w:lineRule="auto"/>
        <w:ind w:left="0" w:firstLine="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032959">
      <w:pPr>
        <w:pStyle w:val="ListParagraph"/>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032959">
      <w:pPr>
        <w:pStyle w:val="ListParagraph"/>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032959">
      <w:pPr>
        <w:pStyle w:val="ListParagraph"/>
        <w:numPr>
          <w:ilvl w:val="1"/>
          <w:numId w:val="11"/>
        </w:numPr>
        <w:tabs>
          <w:tab w:val="left" w:pos="720"/>
        </w:tabs>
        <w:spacing w:after="240" w:line="240" w:lineRule="auto"/>
        <w:ind w:left="0" w:firstLine="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0CEBF66C" w14:textId="5EA9BDCC" w:rsidR="006D0AB0" w:rsidRPr="00B71B2D" w:rsidRDefault="002B7271" w:rsidP="00032959">
      <w:pPr>
        <w:pStyle w:val="Heading1"/>
        <w:numPr>
          <w:ilvl w:val="0"/>
          <w:numId w:val="14"/>
        </w:numPr>
        <w:spacing w:before="0"/>
        <w:jc w:val="both"/>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032959">
      <w:pPr>
        <w:pStyle w:val="ListParagraph"/>
        <w:numPr>
          <w:ilvl w:val="2"/>
          <w:numId w:val="38"/>
        </w:numPr>
        <w:tabs>
          <w:tab w:val="left" w:pos="720"/>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032959">
      <w:pPr>
        <w:pStyle w:val="ListParagraph"/>
        <w:numPr>
          <w:ilvl w:val="2"/>
          <w:numId w:val="38"/>
        </w:numPr>
        <w:shd w:val="clear" w:color="auto" w:fill="FFFFFF" w:themeFill="background1"/>
        <w:tabs>
          <w:tab w:val="left" w:pos="720"/>
        </w:tabs>
        <w:spacing w:after="0" w:line="240" w:lineRule="auto"/>
        <w:ind w:left="0" w:firstLine="0"/>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032959">
      <w:pPr>
        <w:pStyle w:val="ListParagraph"/>
        <w:numPr>
          <w:ilvl w:val="2"/>
          <w:numId w:val="38"/>
        </w:numPr>
        <w:tabs>
          <w:tab w:val="left" w:pos="720"/>
          <w:tab w:val="left" w:pos="1276"/>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032959">
      <w:pPr>
        <w:pStyle w:val="ListParagraph"/>
        <w:numPr>
          <w:ilvl w:val="2"/>
          <w:numId w:val="38"/>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032959">
      <w:pPr>
        <w:pStyle w:val="ListParagraph"/>
        <w:numPr>
          <w:ilvl w:val="1"/>
          <w:numId w:val="38"/>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032959">
      <w:pPr>
        <w:pStyle w:val="ListParagraph"/>
        <w:numPr>
          <w:ilvl w:val="1"/>
          <w:numId w:val="38"/>
        </w:numPr>
        <w:tabs>
          <w:tab w:val="left" w:pos="720"/>
        </w:tabs>
        <w:spacing w:after="240" w:line="240" w:lineRule="auto"/>
        <w:ind w:left="0" w:firstLine="0"/>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1F2B61D4" w14:textId="16147E8B" w:rsidR="006D0AB0" w:rsidRPr="00B71B2D" w:rsidRDefault="001566DB" w:rsidP="00032959">
      <w:pPr>
        <w:pStyle w:val="Heading1"/>
        <w:numPr>
          <w:ilvl w:val="0"/>
          <w:numId w:val="21"/>
        </w:numPr>
        <w:spacing w:before="0"/>
        <w:ind w:left="720" w:hanging="720"/>
        <w:rPr>
          <w:rFonts w:ascii="Times New Roman" w:eastAsiaTheme="minorEastAsia" w:hAnsi="Times New Roman" w:cs="Times New Roman"/>
          <w:b/>
          <w:bCs/>
          <w:color w:val="002060"/>
        </w:rPr>
      </w:pPr>
      <w:bookmarkStart w:id="43" w:name="_Toc48053179"/>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23E42369" w14:textId="7466A751" w:rsidR="002A5BC8" w:rsidRPr="00CC24BB" w:rsidRDefault="001328D8" w:rsidP="00032959">
      <w:pPr>
        <w:pStyle w:val="ListParagraph"/>
        <w:numPr>
          <w:ilvl w:val="1"/>
          <w:numId w:val="44"/>
        </w:numPr>
        <w:pBdr>
          <w:top w:val="nil"/>
          <w:left w:val="nil"/>
          <w:bottom w:val="nil"/>
          <w:right w:val="nil"/>
          <w:between w:val="nil"/>
        </w:pBdr>
        <w:tabs>
          <w:tab w:val="left" w:pos="720"/>
        </w:tabs>
        <w:spacing w:after="0" w:line="240" w:lineRule="auto"/>
        <w:ind w:left="0" w:firstLine="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perkančioji organizacija gali atmesti pasiūlymus kitais specialiosiose pirkimo sąlygose nurodytais pagrindais.</w:t>
      </w:r>
    </w:p>
    <w:p w14:paraId="557DF927" w14:textId="73E919E5" w:rsidR="006D0AB0" w:rsidRPr="00043693" w:rsidRDefault="00CF2DDC" w:rsidP="00043693">
      <w:pPr>
        <w:pStyle w:val="ListParagraph"/>
        <w:numPr>
          <w:ilvl w:val="1"/>
          <w:numId w:val="44"/>
        </w:numPr>
        <w:pBdr>
          <w:top w:val="nil"/>
          <w:left w:val="nil"/>
          <w:bottom w:val="nil"/>
          <w:right w:val="nil"/>
          <w:between w:val="nil"/>
        </w:pBdr>
        <w:tabs>
          <w:tab w:val="left" w:pos="720"/>
          <w:tab w:val="left" w:pos="1440"/>
        </w:tabs>
        <w:spacing w:after="24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CCC3BE9" w14:textId="197299E2" w:rsidR="006D0AB0" w:rsidRPr="00B71B2D" w:rsidRDefault="001566DB" w:rsidP="005905F5">
      <w:pPr>
        <w:pStyle w:val="Heading1"/>
        <w:numPr>
          <w:ilvl w:val="0"/>
          <w:numId w:val="22"/>
        </w:numPr>
        <w:spacing w:before="0"/>
        <w:ind w:left="720" w:hanging="720"/>
        <w:jc w:val="both"/>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547BCF">
      <w:pPr>
        <w:pStyle w:val="ListParagraph"/>
        <w:numPr>
          <w:ilvl w:val="1"/>
          <w:numId w:val="22"/>
        </w:numPr>
        <w:tabs>
          <w:tab w:val="left" w:pos="720"/>
        </w:tabs>
        <w:spacing w:after="240" w:line="240" w:lineRule="auto"/>
        <w:ind w:left="0" w:firstLine="0"/>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B21A247" w14:textId="7C13D05D" w:rsidR="006D0AB0" w:rsidRPr="00B71B2D" w:rsidRDefault="001566DB" w:rsidP="00547BCF">
      <w:pPr>
        <w:pStyle w:val="Heading1"/>
        <w:numPr>
          <w:ilvl w:val="0"/>
          <w:numId w:val="23"/>
        </w:numPr>
        <w:spacing w:before="0"/>
        <w:rPr>
          <w:rFonts w:ascii="Times New Roman" w:hAnsi="Times New Roman" w:cs="Times New Roman"/>
          <w:b/>
          <w:bCs/>
          <w:color w:val="002060"/>
        </w:rPr>
      </w:pPr>
      <w:bookmarkStart w:id="52" w:name="_Ref40443308"/>
      <w:bookmarkStart w:id="53" w:name="_Toc48053181"/>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547BCF">
      <w:pPr>
        <w:pStyle w:val="ListParagraph"/>
        <w:numPr>
          <w:ilvl w:val="1"/>
          <w:numId w:val="24"/>
        </w:numPr>
        <w:tabs>
          <w:tab w:val="left" w:pos="720"/>
        </w:tabs>
        <w:spacing w:after="240" w:line="240" w:lineRule="auto"/>
        <w:ind w:left="0" w:firstLine="0"/>
        <w:contextualSpacing w:val="0"/>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4B416523" w14:textId="6CFE4845" w:rsidR="006D0AB0" w:rsidRPr="00B71B2D" w:rsidRDefault="001566DB" w:rsidP="00547BCF">
      <w:pPr>
        <w:pStyle w:val="Heading1"/>
        <w:numPr>
          <w:ilvl w:val="0"/>
          <w:numId w:val="24"/>
        </w:numPr>
        <w:spacing w:before="0"/>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547BCF">
      <w:pPr>
        <w:pStyle w:val="ListParagraph"/>
        <w:numPr>
          <w:ilvl w:val="1"/>
          <w:numId w:val="24"/>
        </w:numPr>
        <w:tabs>
          <w:tab w:val="left" w:pos="720"/>
        </w:tabs>
        <w:spacing w:after="0" w:line="240" w:lineRule="auto"/>
        <w:ind w:left="0" w:firstLine="0"/>
        <w:contextualSpacing w:val="0"/>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547BCF">
      <w:pPr>
        <w:pStyle w:val="ListParagraph"/>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547BCF">
      <w:pPr>
        <w:pStyle w:val="ListParagraph"/>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547BCF">
      <w:pPr>
        <w:pStyle w:val="ListParagraph"/>
        <w:numPr>
          <w:ilvl w:val="2"/>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547BCF">
      <w:pPr>
        <w:pStyle w:val="ListParagraph"/>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547BCF">
      <w:pPr>
        <w:pStyle w:val="ListParagraph"/>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547BCF">
      <w:pPr>
        <w:pStyle w:val="ListParagraph"/>
        <w:numPr>
          <w:ilvl w:val="2"/>
          <w:numId w:val="25"/>
        </w:numPr>
        <w:tabs>
          <w:tab w:val="left" w:pos="720"/>
        </w:tabs>
        <w:spacing w:after="120" w:line="240" w:lineRule="auto"/>
        <w:ind w:left="0" w:firstLine="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lastRenderedPageBreak/>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547BCF">
      <w:pPr>
        <w:pStyle w:val="ListParagraph"/>
        <w:numPr>
          <w:ilvl w:val="1"/>
          <w:numId w:val="25"/>
        </w:numPr>
        <w:tabs>
          <w:tab w:val="left" w:pos="720"/>
        </w:tabs>
        <w:spacing w:after="240" w:line="240" w:lineRule="auto"/>
        <w:ind w:left="0" w:firstLine="0"/>
        <w:contextualSpacing w:val="0"/>
        <w:jc w:val="both"/>
        <w:rPr>
          <w:rFonts w:ascii="Times New Roman" w:hAnsi="Times New Roman" w:cs="Times New Roman"/>
        </w:rPr>
      </w:pPr>
      <w:r>
        <w:rPr>
          <w:rFonts w:ascii="Times New Roman" w:hAnsi="Times New Roman" w:cs="Times New Roman"/>
          <w:color w:val="000000"/>
        </w:rPr>
        <w:t>Sutartis užtikrinama joje nurodytomis netesybomis.</w:t>
      </w:r>
    </w:p>
    <w:p w14:paraId="2E9083D0" w14:textId="17B496FE" w:rsidR="006D0AB0" w:rsidRPr="00B71B2D" w:rsidRDefault="00DE1880" w:rsidP="00547BCF">
      <w:pPr>
        <w:pStyle w:val="Heading1"/>
        <w:numPr>
          <w:ilvl w:val="0"/>
          <w:numId w:val="25"/>
        </w:numPr>
        <w:spacing w:before="0"/>
        <w:ind w:left="720" w:hanging="72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6D86263B" w14:textId="77777777" w:rsidR="00DD37B0" w:rsidRDefault="00D83180"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547BCF" w:rsidRDefault="006D0AB0"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p w14:paraId="283AB1FE" w14:textId="2677056E" w:rsidR="00547BCF" w:rsidRPr="00DD37B0" w:rsidRDefault="00547BCF" w:rsidP="00EA033B">
      <w:pPr>
        <w:pStyle w:val="ListParagraph"/>
        <w:tabs>
          <w:tab w:val="left" w:pos="720"/>
        </w:tabs>
        <w:spacing w:after="120" w:line="240" w:lineRule="auto"/>
        <w:ind w:left="0"/>
        <w:jc w:val="center"/>
        <w:rPr>
          <w:rFonts w:ascii="Times New Roman" w:eastAsia="Arial" w:hAnsi="Times New Roman" w:cs="Times New Roman"/>
          <w:color w:val="002060"/>
        </w:rPr>
      </w:pPr>
      <w:r>
        <w:rPr>
          <w:rFonts w:ascii="Times New Roman" w:eastAsia="Arial" w:hAnsi="Times New Roman" w:cs="Times New Roman"/>
        </w:rPr>
        <w:t>______________________________________________</w:t>
      </w:r>
    </w:p>
    <w:sectPr w:rsidR="00547BCF" w:rsidRPr="00DD37B0" w:rsidSect="008243C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450" w:hanging="360"/>
      </w:pPr>
      <w:rPr>
        <w:rFonts w:hint="default"/>
        <w:b w:val="0"/>
        <w:bCs w:val="0"/>
      </w:rPr>
    </w:lvl>
    <w:lvl w:ilvl="1">
      <w:start w:val="1"/>
      <w:numFmt w:val="decimal"/>
      <w:lvlText w:val="%1.%2."/>
      <w:lvlJc w:val="left"/>
      <w:pPr>
        <w:ind w:left="450" w:hanging="360"/>
      </w:pPr>
      <w:rPr>
        <w:rFonts w:hint="default"/>
        <w:b w:val="0"/>
        <w:bCs w:val="0"/>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6DD0"/>
    <w:rsid w:val="000273AA"/>
    <w:rsid w:val="00027BB8"/>
    <w:rsid w:val="00027DF1"/>
    <w:rsid w:val="00030C02"/>
    <w:rsid w:val="00030F90"/>
    <w:rsid w:val="000315EB"/>
    <w:rsid w:val="000317E3"/>
    <w:rsid w:val="00031A62"/>
    <w:rsid w:val="00031DD5"/>
    <w:rsid w:val="000321E6"/>
    <w:rsid w:val="00032959"/>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693"/>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93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C63"/>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45A"/>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03D"/>
    <w:rsid w:val="0041685F"/>
    <w:rsid w:val="00416C27"/>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47BCF"/>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39D"/>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5F5"/>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3C3"/>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D99"/>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6C3"/>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A4C"/>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221"/>
    <w:rsid w:val="00E92919"/>
    <w:rsid w:val="00E93148"/>
    <w:rsid w:val="00E934C8"/>
    <w:rsid w:val="00E93534"/>
    <w:rsid w:val="00E93719"/>
    <w:rsid w:val="00E9431B"/>
    <w:rsid w:val="00E9470E"/>
    <w:rsid w:val="00E95436"/>
    <w:rsid w:val="00E966CD"/>
    <w:rsid w:val="00E96E22"/>
    <w:rsid w:val="00E97C7F"/>
    <w:rsid w:val="00EA001C"/>
    <w:rsid w:val="00EA033B"/>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DD0"/>
    <w:rsid w:val="00044427"/>
    <w:rsid w:val="000566BF"/>
    <w:rsid w:val="00097590"/>
    <w:rsid w:val="000C62A1"/>
    <w:rsid w:val="00107375"/>
    <w:rsid w:val="0019685B"/>
    <w:rsid w:val="001A2650"/>
    <w:rsid w:val="001B2FA3"/>
    <w:rsid w:val="002A3887"/>
    <w:rsid w:val="003A1E59"/>
    <w:rsid w:val="0040445A"/>
    <w:rsid w:val="0041603D"/>
    <w:rsid w:val="004674D2"/>
    <w:rsid w:val="00475F4D"/>
    <w:rsid w:val="00485E2C"/>
    <w:rsid w:val="00574E40"/>
    <w:rsid w:val="00594ABB"/>
    <w:rsid w:val="005F2398"/>
    <w:rsid w:val="006A23CE"/>
    <w:rsid w:val="006B5500"/>
    <w:rsid w:val="007A1051"/>
    <w:rsid w:val="00813ACE"/>
    <w:rsid w:val="008824DD"/>
    <w:rsid w:val="008B4466"/>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7817</Words>
  <Characters>44559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61</cp:revision>
  <dcterms:created xsi:type="dcterms:W3CDTF">2024-06-28T10:03:00Z</dcterms:created>
  <dcterms:modified xsi:type="dcterms:W3CDTF">2025-09-24T10:49:00Z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