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1347EA5D"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271035" w:rsidRPr="00900EEE">
        <w:rPr>
          <w:rFonts w:ascii="Times New Roman" w:hAnsi="Times New Roman" w:cs="Times New Roman"/>
          <w:b/>
          <w:bCs/>
          <w:caps/>
          <w:color w:val="000000"/>
        </w:rPr>
        <w:t xml:space="preserve">SaUGUMO OPERACIJŲ CENTRO </w:t>
      </w:r>
      <w:r w:rsidR="00EA69B2" w:rsidRPr="00EA69B2">
        <w:rPr>
          <w:rFonts w:ascii="Times New Roman" w:hAnsi="Times New Roman" w:cs="Times New Roman"/>
          <w:b/>
          <w:bCs/>
        </w:rPr>
        <w:t>PASLAUGOS</w:t>
      </w:r>
      <w:r>
        <w:rPr>
          <w:rFonts w:ascii="Times New Roman" w:eastAsia="Times New Roman" w:hAnsi="Times New Roman" w:cs="Times New Roman"/>
          <w:b/>
          <w:bCs/>
          <w:iCs/>
          <w:lang w:eastAsia="en-US"/>
        </w:rPr>
        <w:t>“</w:t>
      </w:r>
    </w:p>
    <w:tbl>
      <w:tblPr>
        <w:tblStyle w:val="Lentelstinklelis"/>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Lentelstinklelis"/>
        <w:tblW w:w="0" w:type="auto"/>
        <w:tblLook w:val="04A0" w:firstRow="1" w:lastRow="0" w:firstColumn="1" w:lastColumn="0" w:noHBand="0" w:noVBand="1"/>
      </w:tblPr>
      <w:tblGrid>
        <w:gridCol w:w="637"/>
        <w:gridCol w:w="3915"/>
        <w:gridCol w:w="303"/>
        <w:gridCol w:w="532"/>
        <w:gridCol w:w="1374"/>
        <w:gridCol w:w="1376"/>
        <w:gridCol w:w="1213"/>
      </w:tblGrid>
      <w:tr w:rsidR="00E20B61" w:rsidRPr="00E20B61" w14:paraId="53E6E923" w14:textId="77777777" w:rsidTr="008A5A18">
        <w:tc>
          <w:tcPr>
            <w:tcW w:w="637" w:type="dxa"/>
            <w:tcBorders>
              <w:top w:val="single" w:sz="4" w:space="0" w:color="auto"/>
              <w:left w:val="single" w:sz="4" w:space="0" w:color="auto"/>
              <w:bottom w:val="single" w:sz="4" w:space="0" w:color="auto"/>
              <w:right w:val="single" w:sz="4" w:space="0" w:color="auto"/>
            </w:tcBorders>
            <w:hideMark/>
          </w:tcPr>
          <w:p w14:paraId="3A1907FD"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Eil. Nr.</w:t>
            </w:r>
          </w:p>
        </w:tc>
        <w:tc>
          <w:tcPr>
            <w:tcW w:w="3915" w:type="dxa"/>
            <w:tcBorders>
              <w:top w:val="single" w:sz="4" w:space="0" w:color="auto"/>
              <w:left w:val="single" w:sz="4" w:space="0" w:color="auto"/>
              <w:bottom w:val="single" w:sz="4" w:space="0" w:color="auto"/>
              <w:right w:val="single" w:sz="4" w:space="0" w:color="auto"/>
            </w:tcBorders>
            <w:hideMark/>
          </w:tcPr>
          <w:p w14:paraId="6D544CB9"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Pirkimo objektas</w:t>
            </w:r>
          </w:p>
        </w:tc>
        <w:tc>
          <w:tcPr>
            <w:tcW w:w="835" w:type="dxa"/>
            <w:gridSpan w:val="2"/>
            <w:tcBorders>
              <w:top w:val="single" w:sz="4" w:space="0" w:color="auto"/>
              <w:left w:val="single" w:sz="4" w:space="0" w:color="auto"/>
              <w:bottom w:val="single" w:sz="4" w:space="0" w:color="auto"/>
              <w:right w:val="single" w:sz="4" w:space="0" w:color="auto"/>
            </w:tcBorders>
            <w:hideMark/>
          </w:tcPr>
          <w:p w14:paraId="561050EA"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Mato vnt.</w:t>
            </w:r>
          </w:p>
        </w:tc>
        <w:tc>
          <w:tcPr>
            <w:tcW w:w="1374" w:type="dxa"/>
            <w:tcBorders>
              <w:top w:val="single" w:sz="4" w:space="0" w:color="auto"/>
              <w:left w:val="single" w:sz="4" w:space="0" w:color="auto"/>
              <w:bottom w:val="single" w:sz="4" w:space="0" w:color="auto"/>
              <w:right w:val="single" w:sz="4" w:space="0" w:color="auto"/>
            </w:tcBorders>
            <w:hideMark/>
          </w:tcPr>
          <w:p w14:paraId="4AFCF6A7" w14:textId="77777777" w:rsidR="00E20B61" w:rsidRPr="00E20B61" w:rsidRDefault="00E20B61" w:rsidP="00E20B61">
            <w:pPr>
              <w:suppressAutoHyphens/>
              <w:spacing w:after="0" w:line="240" w:lineRule="auto"/>
              <w:jc w:val="both"/>
              <w:rPr>
                <w:rFonts w:eastAsia="Times New Roman"/>
                <w:b/>
                <w:bCs/>
                <w:lang w:eastAsia="en-US" w:bidi="lt-LT"/>
              </w:rPr>
            </w:pPr>
            <w:r w:rsidRPr="00E20B61">
              <w:rPr>
                <w:rFonts w:eastAsia="Times New Roman"/>
                <w:b/>
                <w:bCs/>
                <w:lang w:eastAsia="en-US" w:bidi="lt-LT"/>
              </w:rPr>
              <w:t>Preliminarus</w:t>
            </w:r>
          </w:p>
          <w:p w14:paraId="658F2FBF"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bCs/>
                <w:lang w:eastAsia="en-US" w:bidi="lt-LT"/>
              </w:rPr>
              <w:t>kiekis per metus</w:t>
            </w:r>
          </w:p>
        </w:tc>
        <w:tc>
          <w:tcPr>
            <w:tcW w:w="1376" w:type="dxa"/>
            <w:tcBorders>
              <w:top w:val="single" w:sz="4" w:space="0" w:color="auto"/>
              <w:left w:val="single" w:sz="4" w:space="0" w:color="auto"/>
              <w:bottom w:val="single" w:sz="4" w:space="0" w:color="auto"/>
              <w:right w:val="single" w:sz="4" w:space="0" w:color="auto"/>
            </w:tcBorders>
            <w:hideMark/>
          </w:tcPr>
          <w:p w14:paraId="41278C60"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Siūlomas 1 mėn. įkainis Eur be PVM</w:t>
            </w:r>
          </w:p>
        </w:tc>
        <w:tc>
          <w:tcPr>
            <w:tcW w:w="1213" w:type="dxa"/>
            <w:tcBorders>
              <w:top w:val="single" w:sz="4" w:space="0" w:color="auto"/>
              <w:left w:val="single" w:sz="4" w:space="0" w:color="auto"/>
              <w:bottom w:val="single" w:sz="4" w:space="0" w:color="auto"/>
              <w:right w:val="single" w:sz="4" w:space="0" w:color="auto"/>
            </w:tcBorders>
            <w:hideMark/>
          </w:tcPr>
          <w:p w14:paraId="25411E7C"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Kaina Eur be PVM</w:t>
            </w:r>
          </w:p>
          <w:p w14:paraId="4E3B4C32" w14:textId="77777777" w:rsidR="00E20B61" w:rsidRPr="00E20B61" w:rsidRDefault="00E20B61" w:rsidP="00E20B61">
            <w:pPr>
              <w:suppressAutoHyphens/>
              <w:spacing w:after="0" w:line="240" w:lineRule="auto"/>
              <w:jc w:val="both"/>
              <w:rPr>
                <w:rFonts w:eastAsia="Times New Roman"/>
                <w:b/>
                <w:bCs/>
                <w:lang w:val="en-US" w:eastAsia="en-US"/>
              </w:rPr>
            </w:pPr>
            <w:r w:rsidRPr="00E20B61">
              <w:rPr>
                <w:rFonts w:eastAsia="Times New Roman"/>
                <w:b/>
                <w:bCs/>
                <w:lang w:eastAsia="en-US"/>
              </w:rPr>
              <w:t>6=4x5</w:t>
            </w:r>
          </w:p>
        </w:tc>
      </w:tr>
      <w:tr w:rsidR="00E20B61" w:rsidRPr="00E20B61" w14:paraId="26CD8EA4" w14:textId="77777777" w:rsidTr="00E20B61">
        <w:tc>
          <w:tcPr>
            <w:tcW w:w="637" w:type="dxa"/>
            <w:tcBorders>
              <w:top w:val="single" w:sz="4" w:space="0" w:color="auto"/>
              <w:left w:val="single" w:sz="4" w:space="0" w:color="auto"/>
              <w:bottom w:val="single" w:sz="4" w:space="0" w:color="auto"/>
              <w:right w:val="single" w:sz="4" w:space="0" w:color="auto"/>
            </w:tcBorders>
            <w:hideMark/>
          </w:tcPr>
          <w:p w14:paraId="5C8ACEC9"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1</w:t>
            </w:r>
          </w:p>
        </w:tc>
        <w:tc>
          <w:tcPr>
            <w:tcW w:w="3915" w:type="dxa"/>
            <w:tcBorders>
              <w:top w:val="single" w:sz="4" w:space="0" w:color="auto"/>
              <w:left w:val="single" w:sz="4" w:space="0" w:color="auto"/>
              <w:bottom w:val="single" w:sz="4" w:space="0" w:color="auto"/>
              <w:right w:val="single" w:sz="4" w:space="0" w:color="auto"/>
            </w:tcBorders>
            <w:hideMark/>
          </w:tcPr>
          <w:p w14:paraId="542BE483"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2</w:t>
            </w:r>
          </w:p>
        </w:tc>
        <w:tc>
          <w:tcPr>
            <w:tcW w:w="835" w:type="dxa"/>
            <w:gridSpan w:val="2"/>
            <w:tcBorders>
              <w:top w:val="single" w:sz="4" w:space="0" w:color="auto"/>
              <w:left w:val="single" w:sz="4" w:space="0" w:color="auto"/>
              <w:bottom w:val="single" w:sz="4" w:space="0" w:color="auto"/>
              <w:right w:val="single" w:sz="4" w:space="0" w:color="auto"/>
            </w:tcBorders>
            <w:hideMark/>
          </w:tcPr>
          <w:p w14:paraId="32EA5A38"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3</w:t>
            </w:r>
          </w:p>
        </w:tc>
        <w:tc>
          <w:tcPr>
            <w:tcW w:w="1374" w:type="dxa"/>
            <w:tcBorders>
              <w:top w:val="single" w:sz="4" w:space="0" w:color="auto"/>
              <w:left w:val="single" w:sz="4" w:space="0" w:color="auto"/>
              <w:bottom w:val="single" w:sz="4" w:space="0" w:color="auto"/>
              <w:right w:val="single" w:sz="4" w:space="0" w:color="auto"/>
            </w:tcBorders>
            <w:hideMark/>
          </w:tcPr>
          <w:p w14:paraId="6393EE02"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4</w:t>
            </w:r>
          </w:p>
        </w:tc>
        <w:tc>
          <w:tcPr>
            <w:tcW w:w="1376" w:type="dxa"/>
            <w:tcBorders>
              <w:top w:val="single" w:sz="4" w:space="0" w:color="auto"/>
              <w:left w:val="single" w:sz="4" w:space="0" w:color="auto"/>
              <w:bottom w:val="single" w:sz="4" w:space="0" w:color="auto"/>
              <w:right w:val="single" w:sz="4" w:space="0" w:color="auto"/>
            </w:tcBorders>
            <w:hideMark/>
          </w:tcPr>
          <w:p w14:paraId="3D1EB07F"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5</w:t>
            </w:r>
          </w:p>
        </w:tc>
        <w:tc>
          <w:tcPr>
            <w:tcW w:w="1213" w:type="dxa"/>
            <w:tcBorders>
              <w:top w:val="single" w:sz="4" w:space="0" w:color="auto"/>
              <w:left w:val="single" w:sz="4" w:space="0" w:color="auto"/>
              <w:bottom w:val="single" w:sz="4" w:space="0" w:color="auto"/>
              <w:right w:val="single" w:sz="4" w:space="0" w:color="auto"/>
            </w:tcBorders>
            <w:hideMark/>
          </w:tcPr>
          <w:p w14:paraId="5D65D5F2"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6</w:t>
            </w:r>
          </w:p>
        </w:tc>
      </w:tr>
      <w:tr w:rsidR="00E20B61" w:rsidRPr="00E20B61" w14:paraId="656455EF" w14:textId="77777777" w:rsidTr="00E20B61">
        <w:tc>
          <w:tcPr>
            <w:tcW w:w="637" w:type="dxa"/>
            <w:tcBorders>
              <w:top w:val="single" w:sz="4" w:space="0" w:color="auto"/>
              <w:left w:val="single" w:sz="4" w:space="0" w:color="auto"/>
              <w:bottom w:val="single" w:sz="4" w:space="0" w:color="auto"/>
              <w:right w:val="single" w:sz="4" w:space="0" w:color="auto"/>
            </w:tcBorders>
            <w:hideMark/>
          </w:tcPr>
          <w:p w14:paraId="36E5E85E"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lang w:eastAsia="en-US"/>
              </w:rPr>
              <w:t>1.</w:t>
            </w:r>
          </w:p>
        </w:tc>
        <w:tc>
          <w:tcPr>
            <w:tcW w:w="3915" w:type="dxa"/>
            <w:tcBorders>
              <w:top w:val="single" w:sz="4" w:space="0" w:color="auto"/>
              <w:left w:val="single" w:sz="4" w:space="0" w:color="auto"/>
              <w:bottom w:val="single" w:sz="4" w:space="0" w:color="auto"/>
              <w:right w:val="single" w:sz="4" w:space="0" w:color="auto"/>
            </w:tcBorders>
            <w:hideMark/>
          </w:tcPr>
          <w:p w14:paraId="2D10403B"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lang w:eastAsia="en-US"/>
              </w:rPr>
              <w:t>Saugumo operacijų centro paslaugos 1 mėnesio įkainis</w:t>
            </w: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7CE85B"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lang w:eastAsia="en-US"/>
              </w:rPr>
              <w:t>mėn.</w:t>
            </w:r>
          </w:p>
        </w:tc>
        <w:tc>
          <w:tcPr>
            <w:tcW w:w="1374" w:type="dxa"/>
            <w:tcBorders>
              <w:top w:val="single" w:sz="4" w:space="0" w:color="auto"/>
              <w:left w:val="single" w:sz="4" w:space="0" w:color="auto"/>
              <w:bottom w:val="single" w:sz="4" w:space="0" w:color="auto"/>
              <w:right w:val="single" w:sz="4" w:space="0" w:color="auto"/>
            </w:tcBorders>
            <w:hideMark/>
          </w:tcPr>
          <w:p w14:paraId="49EACB7E" w14:textId="760B878A" w:rsidR="00E20B61" w:rsidRPr="00E20B61" w:rsidRDefault="00E7517C" w:rsidP="00E20B61">
            <w:pPr>
              <w:suppressAutoHyphens/>
              <w:spacing w:after="0" w:line="240" w:lineRule="auto"/>
              <w:jc w:val="both"/>
              <w:rPr>
                <w:rFonts w:eastAsia="Times New Roman"/>
                <w:lang w:eastAsia="en-US"/>
              </w:rPr>
            </w:pPr>
            <w:r>
              <w:rPr>
                <w:rFonts w:eastAsia="Times New Roman"/>
                <w:lang w:eastAsia="en-US"/>
              </w:rPr>
              <w:t>12</w:t>
            </w:r>
          </w:p>
        </w:tc>
        <w:tc>
          <w:tcPr>
            <w:tcW w:w="1376" w:type="dxa"/>
            <w:tcBorders>
              <w:top w:val="single" w:sz="4" w:space="0" w:color="auto"/>
              <w:left w:val="single" w:sz="4" w:space="0" w:color="auto"/>
              <w:bottom w:val="single" w:sz="4" w:space="0" w:color="auto"/>
              <w:right w:val="single" w:sz="4" w:space="0" w:color="auto"/>
            </w:tcBorders>
          </w:tcPr>
          <w:p w14:paraId="4F8D71D8" w14:textId="3140E26B" w:rsidR="00E20B61" w:rsidRPr="00E20B61" w:rsidRDefault="00FB2A7D"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c>
          <w:tcPr>
            <w:tcW w:w="1213" w:type="dxa"/>
            <w:tcBorders>
              <w:top w:val="single" w:sz="4" w:space="0" w:color="auto"/>
              <w:left w:val="single" w:sz="4" w:space="0" w:color="auto"/>
              <w:bottom w:val="single" w:sz="4" w:space="0" w:color="auto"/>
              <w:right w:val="single" w:sz="4" w:space="0" w:color="auto"/>
            </w:tcBorders>
          </w:tcPr>
          <w:p w14:paraId="005559D8" w14:textId="213AFA77" w:rsidR="00E20B61" w:rsidRPr="00E20B61" w:rsidRDefault="00FB2A7D"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615DA6E2"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365E0C2B"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bCs/>
                <w:lang w:eastAsia="en-US"/>
              </w:rPr>
              <w:t>Palyginamoji pasiūlymo kaina, Eur be PVM:</w:t>
            </w:r>
          </w:p>
        </w:tc>
        <w:tc>
          <w:tcPr>
            <w:tcW w:w="4495" w:type="dxa"/>
            <w:gridSpan w:val="4"/>
            <w:tcBorders>
              <w:top w:val="single" w:sz="4" w:space="0" w:color="auto"/>
              <w:left w:val="single" w:sz="4" w:space="0" w:color="auto"/>
              <w:bottom w:val="single" w:sz="4" w:space="0" w:color="auto"/>
              <w:right w:val="single" w:sz="4" w:space="0" w:color="auto"/>
            </w:tcBorders>
          </w:tcPr>
          <w:p w14:paraId="5105AA28" w14:textId="17ACC63C"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34B0C952"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60D80A96"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lang w:eastAsia="en-US"/>
              </w:rPr>
              <w:t xml:space="preserve">PVM </w:t>
            </w:r>
            <w:r w:rsidRPr="00E20B61">
              <w:rPr>
                <w:rFonts w:eastAsia="Times New Roman"/>
                <w:i/>
                <w:lang w:eastAsia="en-US"/>
              </w:rPr>
              <w:t>(pildoma, jei taikoma)</w:t>
            </w:r>
          </w:p>
        </w:tc>
        <w:tc>
          <w:tcPr>
            <w:tcW w:w="4495" w:type="dxa"/>
            <w:gridSpan w:val="4"/>
            <w:tcBorders>
              <w:top w:val="single" w:sz="4" w:space="0" w:color="auto"/>
              <w:left w:val="single" w:sz="4" w:space="0" w:color="auto"/>
              <w:bottom w:val="single" w:sz="4" w:space="0" w:color="auto"/>
              <w:right w:val="single" w:sz="4" w:space="0" w:color="auto"/>
            </w:tcBorders>
          </w:tcPr>
          <w:p w14:paraId="5B1AF834" w14:textId="1AF31F58"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6D48A564"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7D280DE0"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lang w:eastAsia="en-US"/>
              </w:rPr>
              <w:t xml:space="preserve">Palyginamoji pasiūlymo kaina </w:t>
            </w:r>
            <w:r w:rsidRPr="00E20B61">
              <w:rPr>
                <w:rFonts w:eastAsia="Times New Roman"/>
                <w:b/>
                <w:iCs/>
                <w:lang w:eastAsia="en-US"/>
              </w:rPr>
              <w:t>EUR</w:t>
            </w:r>
            <w:r w:rsidRPr="00E20B61">
              <w:rPr>
                <w:rFonts w:eastAsia="Times New Roman"/>
                <w:b/>
                <w:lang w:eastAsia="en-US"/>
              </w:rPr>
              <w:t xml:space="preserve"> su PVM</w:t>
            </w:r>
            <w:r w:rsidRPr="00E20B61">
              <w:rPr>
                <w:rFonts w:eastAsia="Times New Roman"/>
                <w:b/>
                <w:vertAlign w:val="superscript"/>
                <w:lang w:eastAsia="en-US"/>
              </w:rPr>
              <w:footnoteReference w:id="1"/>
            </w:r>
          </w:p>
        </w:tc>
        <w:tc>
          <w:tcPr>
            <w:tcW w:w="4495" w:type="dxa"/>
            <w:gridSpan w:val="4"/>
            <w:tcBorders>
              <w:top w:val="single" w:sz="4" w:space="0" w:color="auto"/>
              <w:left w:val="single" w:sz="4" w:space="0" w:color="auto"/>
              <w:bottom w:val="single" w:sz="4" w:space="0" w:color="auto"/>
              <w:right w:val="single" w:sz="4" w:space="0" w:color="auto"/>
            </w:tcBorders>
          </w:tcPr>
          <w:p w14:paraId="04A94855" w14:textId="09675A4B"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 skaičiais ir žodžiais]</w:t>
            </w:r>
          </w:p>
        </w:tc>
      </w:tr>
    </w:tbl>
    <w:p w14:paraId="73A526DE" w14:textId="6E2ADB15" w:rsidR="001D6751" w:rsidRDefault="00E668CA"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Pr="00E668CA">
        <w:rPr>
          <w:rFonts w:ascii="Times New Roman" w:eastAsia="Times New Roman" w:hAnsi="Times New Roman" w:cs="Times New Roman"/>
          <w:lang w:eastAsia="en-US"/>
        </w:rPr>
        <w:t>Kaina nurodoma ne daugiau kaip 2 skaitmenų po kablelio tikslumu</w:t>
      </w:r>
      <w:r w:rsidR="00271035">
        <w:rPr>
          <w:rFonts w:ascii="Times New Roman" w:eastAsia="Times New Roman" w:hAnsi="Times New Roman" w:cs="Times New Roman"/>
          <w:lang w:eastAsia="en-US"/>
        </w:rPr>
        <w:t>.</w:t>
      </w:r>
    </w:p>
    <w:p w14:paraId="2B344640" w14:textId="6629FB93"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F098CDC" w14:textId="1D04BE5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lastRenderedPageBreak/>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3D68C32B" w:rsidR="0099502F" w:rsidRPr="00E90C4B" w:rsidRDefault="0099502F" w:rsidP="000060DA">
            <w:pPr>
              <w:spacing w:after="0" w:line="240" w:lineRule="auto"/>
              <w:jc w:val="both"/>
              <w:rPr>
                <w:sz w:val="22"/>
                <w:szCs w:val="22"/>
                <w:lang w:eastAsia="en-US"/>
              </w:rPr>
            </w:pP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77142F58" w:rsidR="0099502F" w:rsidRPr="00E90C4B" w:rsidRDefault="0099502F" w:rsidP="000060DA">
            <w:pPr>
              <w:spacing w:after="0" w:line="240" w:lineRule="auto"/>
              <w:jc w:val="both"/>
              <w:rPr>
                <w:sz w:val="22"/>
                <w:szCs w:val="22"/>
                <w:lang w:eastAsia="en-US"/>
              </w:rPr>
            </w:pP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Puslapioinaosnuoroda"/>
                <w:rFonts w:ascii="Times New Roman" w:eastAsia="Times New Roman" w:hAnsi="Times New Roman"/>
                <w:b/>
                <w:bCs/>
                <w:lang w:eastAsia="en-US"/>
              </w:rPr>
              <w:footnoteReference w:id="2"/>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E395126" w14:textId="2E54BB55" w:rsidR="0083521E" w:rsidRPr="0083521E" w:rsidRDefault="00AC0AAD" w:rsidP="00513022">
      <w:pPr>
        <w:suppressAutoHyphens/>
        <w:spacing w:after="120" w:line="240" w:lineRule="auto"/>
        <w:ind w:firstLine="562"/>
        <w:jc w:val="both"/>
        <w:rPr>
          <w:rFonts w:ascii="Times New Roman" w:eastAsiaTheme="majorEastAsia" w:hAnsi="Times New Roman" w:cs="Times New Roman"/>
          <w:lang w:eastAsia="lt-LT"/>
        </w:rPr>
      </w:pPr>
      <w:r>
        <w:rPr>
          <w:rFonts w:ascii="Times New Roman" w:eastAsiaTheme="majorEastAsia" w:hAnsi="Times New Roman" w:cs="Times New Roman"/>
          <w:lang w:eastAsia="lt-LT"/>
        </w:rPr>
        <w:t>D</w:t>
      </w:r>
      <w:r w:rsidR="0083521E" w:rsidRPr="0083521E">
        <w:rPr>
          <w:rFonts w:ascii="Times New Roman" w:eastAsiaTheme="majorEastAsia" w:hAnsi="Times New Roman" w:cs="Times New Roman"/>
          <w:lang w:eastAsia="lt-LT"/>
        </w:rPr>
        <w:t>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w:t>
      </w:r>
      <w:r w:rsidR="00687684">
        <w:rPr>
          <w:rFonts w:ascii="Times New Roman" w:eastAsiaTheme="majorEastAsia" w:hAnsi="Times New Roman" w:cs="Times New Roman"/>
          <w:lang w:eastAsia="lt-LT"/>
        </w:rPr>
        <w:t xml:space="preserve"> </w:t>
      </w:r>
      <w:r w:rsidR="0083521E" w:rsidRPr="0083521E">
        <w:rPr>
          <w:rFonts w:ascii="Times New Roman" w:eastAsiaTheme="majorEastAsia" w:hAnsi="Times New Roman" w:cs="Times New Roman"/>
          <w:lang w:eastAsia="lt-LT"/>
        </w:rPr>
        <w:t xml:space="preserve"> </w:t>
      </w:r>
      <w:r w:rsidR="008838A4">
        <w:rPr>
          <w:rFonts w:ascii="Times New Roman" w:eastAsiaTheme="majorEastAsia" w:hAnsi="Times New Roman" w:cs="Times New Roman"/>
          <w:lang w:eastAsia="lt-LT"/>
        </w:rPr>
        <w:t>1 priede</w:t>
      </w:r>
      <w:r w:rsidR="0083521E" w:rsidRPr="0083521E">
        <w:rPr>
          <w:rFonts w:ascii="Times New Roman" w:eastAsiaTheme="majorEastAsia" w:hAnsi="Times New Roman" w:cs="Times New Roman"/>
          <w:lang w:eastAsia="lt-LT"/>
        </w:rPr>
        <w:t xml:space="preserve"> nurodytų pašalinimo pagrindų nebuvimo</w:t>
      </w:r>
      <w:r w:rsidR="00C92057">
        <w:rPr>
          <w:rFonts w:ascii="Times New Roman" w:eastAsiaTheme="majorEastAsia" w:hAnsi="Times New Roman" w:cs="Times New Roman"/>
          <w:lang w:eastAsia="lt-LT"/>
        </w:rPr>
        <w:t xml:space="preserve"> ir specialiųjų sąlygų 3 skyriuje nurodytus </w:t>
      </w:r>
      <w:r w:rsidR="0083521E" w:rsidRPr="0083521E">
        <w:rPr>
          <w:rFonts w:ascii="Times New Roman" w:eastAsiaTheme="majorEastAsia" w:hAnsi="Times New Roman" w:cs="Times New Roman"/>
          <w:lang w:eastAsia="lt-LT"/>
        </w:rPr>
        <w:t>kvalifikacijos ir kitų reikalavimų atitiktį pagrindžiančius dokumentus.</w:t>
      </w:r>
    </w:p>
    <w:p w14:paraId="2E2D08B5" w14:textId="7968F76B" w:rsidR="0099502F" w:rsidRPr="00513022"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D29D" w14:textId="77777777" w:rsidR="000D43BF" w:rsidRDefault="000D43BF" w:rsidP="0099502F">
      <w:pPr>
        <w:spacing w:after="0" w:line="240" w:lineRule="auto"/>
      </w:pPr>
      <w:r>
        <w:separator/>
      </w:r>
    </w:p>
  </w:endnote>
  <w:endnote w:type="continuationSeparator" w:id="0">
    <w:p w14:paraId="61FAA7D7" w14:textId="77777777" w:rsidR="000D43BF" w:rsidRDefault="000D43BF"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D43D" w14:textId="77777777" w:rsidR="000D43BF" w:rsidRDefault="000D43BF" w:rsidP="0099502F">
      <w:pPr>
        <w:spacing w:after="0" w:line="240" w:lineRule="auto"/>
      </w:pPr>
      <w:r>
        <w:separator/>
      </w:r>
    </w:p>
  </w:footnote>
  <w:footnote w:type="continuationSeparator" w:id="0">
    <w:p w14:paraId="77C657D3" w14:textId="77777777" w:rsidR="000D43BF" w:rsidRDefault="000D43BF" w:rsidP="0099502F">
      <w:pPr>
        <w:spacing w:after="0" w:line="240" w:lineRule="auto"/>
      </w:pPr>
      <w:r>
        <w:continuationSeparator/>
      </w:r>
    </w:p>
  </w:footnote>
  <w:footnote w:id="1">
    <w:p w14:paraId="16FDD63B" w14:textId="77777777" w:rsidR="00E20B61" w:rsidRDefault="00E20B61" w:rsidP="00E20B61">
      <w:pPr>
        <w:pStyle w:val="Puslapioinaostekstas"/>
        <w:jc w:val="both"/>
        <w:rPr>
          <w:rFonts w:ascii="Times New Roman" w:eastAsia="Times New Roman" w:hAnsi="Times New Roman" w:cs="Times New Roman"/>
          <w:lang w:eastAsia="en-US"/>
        </w:rPr>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2">
    <w:p w14:paraId="3E65E035" w14:textId="77777777" w:rsidR="0099502F" w:rsidRPr="00C45DE1" w:rsidRDefault="0099502F" w:rsidP="0099502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4C1F"/>
    <w:rsid w:val="000060DA"/>
    <w:rsid w:val="00007104"/>
    <w:rsid w:val="00026DD0"/>
    <w:rsid w:val="00036303"/>
    <w:rsid w:val="00045D3F"/>
    <w:rsid w:val="00046943"/>
    <w:rsid w:val="0006556E"/>
    <w:rsid w:val="0006579B"/>
    <w:rsid w:val="000A29C8"/>
    <w:rsid w:val="000D13D4"/>
    <w:rsid w:val="000D43BF"/>
    <w:rsid w:val="000D453E"/>
    <w:rsid w:val="000E1A48"/>
    <w:rsid w:val="000F0F79"/>
    <w:rsid w:val="00107375"/>
    <w:rsid w:val="00126752"/>
    <w:rsid w:val="00136279"/>
    <w:rsid w:val="00141B2B"/>
    <w:rsid w:val="00157424"/>
    <w:rsid w:val="0016314C"/>
    <w:rsid w:val="00197DF9"/>
    <w:rsid w:val="001C079D"/>
    <w:rsid w:val="001C5DE2"/>
    <w:rsid w:val="001D6751"/>
    <w:rsid w:val="001E0D77"/>
    <w:rsid w:val="001F021A"/>
    <w:rsid w:val="001F733F"/>
    <w:rsid w:val="00204E71"/>
    <w:rsid w:val="00271035"/>
    <w:rsid w:val="002B68D9"/>
    <w:rsid w:val="002D2D2B"/>
    <w:rsid w:val="002D2F3E"/>
    <w:rsid w:val="0030766A"/>
    <w:rsid w:val="00373ECA"/>
    <w:rsid w:val="003A0726"/>
    <w:rsid w:val="003B7AAA"/>
    <w:rsid w:val="003C3B14"/>
    <w:rsid w:val="0041603D"/>
    <w:rsid w:val="00416EB7"/>
    <w:rsid w:val="004270AB"/>
    <w:rsid w:val="00432296"/>
    <w:rsid w:val="004A758D"/>
    <w:rsid w:val="004E3CAD"/>
    <w:rsid w:val="00513022"/>
    <w:rsid w:val="00515096"/>
    <w:rsid w:val="00522CC3"/>
    <w:rsid w:val="0057297B"/>
    <w:rsid w:val="005C37D1"/>
    <w:rsid w:val="005D1EBE"/>
    <w:rsid w:val="005D3340"/>
    <w:rsid w:val="005F2F9D"/>
    <w:rsid w:val="00616702"/>
    <w:rsid w:val="00630C3C"/>
    <w:rsid w:val="00634008"/>
    <w:rsid w:val="00652916"/>
    <w:rsid w:val="00655CB9"/>
    <w:rsid w:val="00662C01"/>
    <w:rsid w:val="00665CEA"/>
    <w:rsid w:val="006749E6"/>
    <w:rsid w:val="00687684"/>
    <w:rsid w:val="00695E06"/>
    <w:rsid w:val="006A0430"/>
    <w:rsid w:val="006A0F23"/>
    <w:rsid w:val="006A552E"/>
    <w:rsid w:val="006C0BA1"/>
    <w:rsid w:val="0070704E"/>
    <w:rsid w:val="007103D5"/>
    <w:rsid w:val="00724A9D"/>
    <w:rsid w:val="007265AB"/>
    <w:rsid w:val="00734330"/>
    <w:rsid w:val="00735C10"/>
    <w:rsid w:val="00736506"/>
    <w:rsid w:val="00764B2A"/>
    <w:rsid w:val="007746B8"/>
    <w:rsid w:val="00781E15"/>
    <w:rsid w:val="007849F5"/>
    <w:rsid w:val="007A450D"/>
    <w:rsid w:val="007B0E0D"/>
    <w:rsid w:val="007C388A"/>
    <w:rsid w:val="007C711F"/>
    <w:rsid w:val="007E06E0"/>
    <w:rsid w:val="0083387E"/>
    <w:rsid w:val="0083521E"/>
    <w:rsid w:val="00866255"/>
    <w:rsid w:val="008838A4"/>
    <w:rsid w:val="00887311"/>
    <w:rsid w:val="00893F44"/>
    <w:rsid w:val="008A5A18"/>
    <w:rsid w:val="008D4564"/>
    <w:rsid w:val="008E57C2"/>
    <w:rsid w:val="008E63C9"/>
    <w:rsid w:val="009165A6"/>
    <w:rsid w:val="00927922"/>
    <w:rsid w:val="00963211"/>
    <w:rsid w:val="00965316"/>
    <w:rsid w:val="00977477"/>
    <w:rsid w:val="009818DD"/>
    <w:rsid w:val="009912DD"/>
    <w:rsid w:val="009938A2"/>
    <w:rsid w:val="0099502F"/>
    <w:rsid w:val="009D275C"/>
    <w:rsid w:val="009F215D"/>
    <w:rsid w:val="00A038F1"/>
    <w:rsid w:val="00A2462B"/>
    <w:rsid w:val="00A46612"/>
    <w:rsid w:val="00AA3619"/>
    <w:rsid w:val="00AC0AAD"/>
    <w:rsid w:val="00AC125A"/>
    <w:rsid w:val="00AC1450"/>
    <w:rsid w:val="00AC4288"/>
    <w:rsid w:val="00AE4867"/>
    <w:rsid w:val="00AF5C97"/>
    <w:rsid w:val="00AF6300"/>
    <w:rsid w:val="00B207D6"/>
    <w:rsid w:val="00B216A5"/>
    <w:rsid w:val="00B4062D"/>
    <w:rsid w:val="00B95720"/>
    <w:rsid w:val="00BA1CA4"/>
    <w:rsid w:val="00BA331D"/>
    <w:rsid w:val="00C42030"/>
    <w:rsid w:val="00C92057"/>
    <w:rsid w:val="00CF00CE"/>
    <w:rsid w:val="00CF12E3"/>
    <w:rsid w:val="00D10594"/>
    <w:rsid w:val="00D46C04"/>
    <w:rsid w:val="00DA68C9"/>
    <w:rsid w:val="00DB31C8"/>
    <w:rsid w:val="00DD3303"/>
    <w:rsid w:val="00E003DA"/>
    <w:rsid w:val="00E018FD"/>
    <w:rsid w:val="00E20B61"/>
    <w:rsid w:val="00E4499D"/>
    <w:rsid w:val="00E60157"/>
    <w:rsid w:val="00E65DB7"/>
    <w:rsid w:val="00E668CA"/>
    <w:rsid w:val="00E7517C"/>
    <w:rsid w:val="00E90C4B"/>
    <w:rsid w:val="00EA69B2"/>
    <w:rsid w:val="00EB788F"/>
    <w:rsid w:val="00EC69DB"/>
    <w:rsid w:val="00ED204C"/>
    <w:rsid w:val="00ED3275"/>
    <w:rsid w:val="00EE55BB"/>
    <w:rsid w:val="00F23B99"/>
    <w:rsid w:val="00F51442"/>
    <w:rsid w:val="00F6573E"/>
    <w:rsid w:val="00F8586A"/>
    <w:rsid w:val="00F973F9"/>
    <w:rsid w:val="00FA3E91"/>
    <w:rsid w:val="00FB2A7D"/>
    <w:rsid w:val="00FC146F"/>
    <w:rsid w:val="00FE3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2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9502F"/>
    <w:rPr>
      <w:i/>
      <w:iCs/>
      <w:color w:val="404040" w:themeColor="text1" w:themeTint="BF"/>
    </w:rPr>
  </w:style>
  <w:style w:type="paragraph" w:styleId="Sraopastraipa">
    <w:name w:val="List Paragraph"/>
    <w:basedOn w:val="prastasis"/>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99502F"/>
    <w:rPr>
      <w:i/>
      <w:iCs/>
      <w:color w:val="0F4761" w:themeColor="accent1" w:themeShade="BF"/>
    </w:rPr>
  </w:style>
  <w:style w:type="paragraph" w:styleId="Iskirtacitata">
    <w:name w:val="Intense Quote"/>
    <w:basedOn w:val="prastasis"/>
    <w:next w:val="prastasis"/>
    <w:link w:val="IskirtacitataDiagrama"/>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9502F"/>
    <w:rPr>
      <w:i/>
      <w:iCs/>
      <w:color w:val="0F4761" w:themeColor="accent1" w:themeShade="BF"/>
    </w:rPr>
  </w:style>
  <w:style w:type="character" w:styleId="Rykinuoroda">
    <w:name w:val="Intense Reference"/>
    <w:basedOn w:val="Numatytasispastraiposriftas"/>
    <w:uiPriority w:val="32"/>
    <w:qFormat/>
    <w:rsid w:val="0099502F"/>
    <w:rPr>
      <w:b/>
      <w:bCs/>
      <w:smallCaps/>
      <w:color w:val="0F4761" w:themeColor="accent1" w:themeShade="BF"/>
      <w:spacing w:val="5"/>
    </w:rPr>
  </w:style>
  <w:style w:type="table" w:styleId="Lentelstinklelis">
    <w:name w:val="Table Grid"/>
    <w:basedOn w:val="prastojilente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9502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950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02F"/>
    <w:rPr>
      <w:rFonts w:eastAsiaTheme="minorEastAsia"/>
      <w:kern w:val="0"/>
      <w:sz w:val="20"/>
      <w:szCs w:val="20"/>
      <w:lang w:eastAsia="zh-CN"/>
      <w14:ligatures w14:val="none"/>
    </w:rPr>
  </w:style>
  <w:style w:type="paragraph" w:customStyle="1" w:styleId="paragraph">
    <w:name w:val="paragraph"/>
    <w:basedOn w:val="prastasis"/>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65A6"/>
  </w:style>
  <w:style w:type="character" w:customStyle="1" w:styleId="eop">
    <w:name w:val="eop"/>
    <w:basedOn w:val="Numatytasispastraiposriftas"/>
    <w:rsid w:val="009165A6"/>
  </w:style>
  <w:style w:type="character" w:styleId="Grietas">
    <w:name w:val="Strong"/>
    <w:basedOn w:val="Numatytasispastraiposriftas"/>
    <w:uiPriority w:val="22"/>
    <w:qFormat/>
    <w:rsid w:val="001C0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2426</Words>
  <Characters>1384</Characters>
  <Application>Microsoft Office Word</Application>
  <DocSecurity>0</DocSecurity>
  <Lines>11</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132</cp:revision>
  <dcterms:created xsi:type="dcterms:W3CDTF">2024-05-22T09:54:00Z</dcterms:created>
  <dcterms:modified xsi:type="dcterms:W3CDTF">2025-10-08T10:20:00Z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