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30FF8" w14:textId="6E53D296" w:rsidR="00850907" w:rsidRPr="002D7A94" w:rsidRDefault="00542B73" w:rsidP="00EA333D">
      <w:pPr>
        <w:pStyle w:val="Heading"/>
        <w:pBdr>
          <w:top w:val="nil"/>
          <w:left w:val="nil"/>
          <w:bottom w:val="nil"/>
          <w:right w:val="nil"/>
          <w:between w:val="nil"/>
          <w:bar w:val="nil"/>
        </w:pBdr>
        <w:spacing w:line="276" w:lineRule="auto"/>
        <w:jc w:val="center"/>
        <w:rPr>
          <w:rFonts w:cs="Times New Roman"/>
          <w:color w:val="auto"/>
          <w:bdr w:val="nil"/>
          <w:lang w:val="lt-LT" w:eastAsia="lt-LT"/>
        </w:rPr>
      </w:pPr>
      <w:bookmarkStart w:id="0" w:name="_GoBack"/>
      <w:bookmarkEnd w:id="0"/>
      <w:r w:rsidRPr="002D7A94">
        <w:rPr>
          <w:rFonts w:cs="Times New Roman"/>
          <w:color w:val="auto"/>
          <w:bdr w:val="nil"/>
          <w:lang w:val="lt-LT" w:eastAsia="lt-LT"/>
        </w:rPr>
        <w:t>Smulkių kaulų kompresorius - distraktorius</w:t>
      </w:r>
      <w:r w:rsidR="0036089C" w:rsidRPr="002D7A94">
        <w:rPr>
          <w:rFonts w:cs="Times New Roman"/>
          <w:color w:val="auto"/>
          <w:bdr w:val="nil"/>
          <w:lang w:val="lt-LT" w:eastAsia="lt-LT"/>
        </w:rPr>
        <w:t xml:space="preserve"> </w:t>
      </w:r>
      <w:r w:rsidR="00850907" w:rsidRPr="002D7A94">
        <w:rPr>
          <w:rFonts w:cs="Times New Roman"/>
          <w:color w:val="auto"/>
          <w:bdr w:val="nil"/>
          <w:lang w:val="lt-LT" w:eastAsia="lt-LT"/>
        </w:rPr>
        <w:t xml:space="preserve">– 1 </w:t>
      </w:r>
      <w:r w:rsidR="00491914" w:rsidRPr="002D7A94">
        <w:rPr>
          <w:rFonts w:cs="Times New Roman"/>
          <w:color w:val="auto"/>
          <w:bdr w:val="nil"/>
          <w:lang w:val="lt-LT" w:eastAsia="lt-LT"/>
        </w:rPr>
        <w:t>vnt</w:t>
      </w:r>
      <w:r w:rsidR="00850907" w:rsidRPr="002D7A94">
        <w:rPr>
          <w:rFonts w:cs="Times New Roman"/>
          <w:color w:val="auto"/>
          <w:bdr w:val="nil"/>
          <w:lang w:val="lt-LT" w:eastAsia="lt-LT"/>
        </w:rPr>
        <w:t>.</w:t>
      </w:r>
    </w:p>
    <w:p w14:paraId="410FA8AC" w14:textId="77777777" w:rsidR="00EA333D" w:rsidRPr="002D7A94" w:rsidRDefault="00EA333D" w:rsidP="00EA333D"/>
    <w:p w14:paraId="71D35C96" w14:textId="0D25271D" w:rsidR="00EA333D" w:rsidRPr="002D7A94" w:rsidRDefault="004F15DB" w:rsidP="00EA333D">
      <w:pPr>
        <w:spacing w:after="0" w:line="240" w:lineRule="auto"/>
        <w:ind w:left="-851" w:firstLine="851"/>
        <w:jc w:val="both"/>
        <w:rPr>
          <w:rFonts w:ascii="Times New Roman" w:hAnsi="Times New Roman" w:cs="Times New Roman"/>
          <w:color w:val="auto"/>
          <w:sz w:val="24"/>
          <w:lang w:eastAsia="en-US"/>
        </w:rPr>
      </w:pPr>
      <w:r w:rsidRPr="002D7A94">
        <w:rPr>
          <w:rFonts w:ascii="Times New Roman" w:hAnsi="Times New Roman" w:cs="Times New Roman"/>
          <w:color w:val="auto"/>
          <w:sz w:val="24"/>
          <w:lang w:eastAsia="en-US"/>
        </w:rPr>
        <w:t>S</w:t>
      </w:r>
      <w:r w:rsidR="00840565" w:rsidRPr="002D7A94">
        <w:rPr>
          <w:rFonts w:ascii="Times New Roman" w:hAnsi="Times New Roman" w:cs="Times New Roman"/>
          <w:color w:val="auto"/>
          <w:sz w:val="24"/>
          <w:lang w:eastAsia="en-US"/>
        </w:rPr>
        <w:t>PECIALIEJI</w:t>
      </w:r>
      <w:r w:rsidR="00EA333D" w:rsidRPr="002D7A94">
        <w:rPr>
          <w:rFonts w:ascii="Times New Roman" w:hAnsi="Times New Roman" w:cs="Times New Roman"/>
          <w:color w:val="auto"/>
          <w:sz w:val="24"/>
          <w:lang w:eastAsia="en-US"/>
        </w:rPr>
        <w:t xml:space="preserve"> REIKALAVIMAI:</w:t>
      </w:r>
    </w:p>
    <w:p w14:paraId="5493E6B2" w14:textId="43C029CB" w:rsidR="00EA333D" w:rsidRPr="002D7A94" w:rsidRDefault="00CA1518" w:rsidP="00EA333D">
      <w:pPr>
        <w:pStyle w:val="Body2"/>
        <w:numPr>
          <w:ilvl w:val="0"/>
          <w:numId w:val="6"/>
        </w:numPr>
        <w:pBdr>
          <w:top w:val="nil"/>
          <w:left w:val="nil"/>
          <w:bottom w:val="nil"/>
          <w:right w:val="nil"/>
          <w:between w:val="nil"/>
          <w:bar w:val="nil"/>
        </w:pBdr>
        <w:rPr>
          <w:lang w:val="lt-LT"/>
        </w:rPr>
      </w:pPr>
      <w:r w:rsidRPr="002D7A94">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su vertimu į lietuvių kalbą (jei gamintojo kataloge neišsamiai atsispindi siūlomos prekės atitikimas techninės specifikacijos reikalavimams) (pdf formatu). </w:t>
      </w:r>
      <w:r w:rsidR="00EA333D" w:rsidRPr="002D7A94">
        <w:rPr>
          <w:lang w:val="lt-LT"/>
        </w:rPr>
        <w:t xml:space="preserve">Šiuose dokumentuose tiekėjas </w:t>
      </w:r>
      <w:r w:rsidR="00EA333D" w:rsidRPr="002D7A94">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EA333D" w:rsidRPr="002D7A94">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9060C69" w14:textId="15D72D03" w:rsidR="00EA333D" w:rsidRPr="002D7A94" w:rsidRDefault="00840565" w:rsidP="00EA333D">
      <w:pPr>
        <w:pStyle w:val="Body2"/>
        <w:numPr>
          <w:ilvl w:val="0"/>
          <w:numId w:val="6"/>
        </w:numPr>
        <w:pBdr>
          <w:top w:val="nil"/>
          <w:left w:val="nil"/>
          <w:bottom w:val="nil"/>
          <w:right w:val="nil"/>
          <w:between w:val="nil"/>
          <w:bar w:val="nil"/>
        </w:pBdr>
        <w:rPr>
          <w:lang w:val="lt-LT"/>
        </w:rPr>
      </w:pPr>
      <w:r w:rsidRPr="002D7A94">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816F882" w14:textId="77777777" w:rsidR="00EA333D" w:rsidRPr="002D7A94" w:rsidRDefault="00EA333D" w:rsidP="00EA333D">
      <w:pPr>
        <w:pStyle w:val="Body2"/>
        <w:numPr>
          <w:ilvl w:val="0"/>
          <w:numId w:val="6"/>
        </w:numPr>
        <w:pBdr>
          <w:top w:val="nil"/>
          <w:left w:val="nil"/>
          <w:bottom w:val="nil"/>
          <w:right w:val="nil"/>
          <w:between w:val="nil"/>
          <w:bar w:val="nil"/>
        </w:pBdr>
        <w:rPr>
          <w:lang w:val="lt-LT"/>
        </w:rPr>
      </w:pPr>
      <w:r w:rsidRPr="002D7A94">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1719439" w14:textId="77777777" w:rsidR="00EA333D" w:rsidRPr="002D7A94" w:rsidRDefault="00EA333D" w:rsidP="00EA333D">
      <w:pPr>
        <w:pStyle w:val="Body2"/>
        <w:numPr>
          <w:ilvl w:val="0"/>
          <w:numId w:val="6"/>
        </w:numPr>
        <w:pBdr>
          <w:top w:val="nil"/>
          <w:left w:val="nil"/>
          <w:bottom w:val="nil"/>
          <w:right w:val="nil"/>
          <w:between w:val="nil"/>
          <w:bar w:val="nil"/>
        </w:pBdr>
        <w:rPr>
          <w:lang w:val="lt-LT"/>
        </w:rPr>
      </w:pPr>
      <w:r w:rsidRPr="002D7A94">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D50172A" w14:textId="77777777" w:rsidR="00EA333D" w:rsidRPr="002D7A94" w:rsidRDefault="00EA333D" w:rsidP="00EA333D">
      <w:pPr>
        <w:pStyle w:val="Body2"/>
        <w:numPr>
          <w:ilvl w:val="0"/>
          <w:numId w:val="6"/>
        </w:numPr>
        <w:pBdr>
          <w:top w:val="nil"/>
          <w:left w:val="nil"/>
          <w:bottom w:val="nil"/>
          <w:right w:val="nil"/>
          <w:between w:val="nil"/>
          <w:bar w:val="nil"/>
        </w:pBdr>
        <w:rPr>
          <w:lang w:val="lt-LT"/>
        </w:rPr>
      </w:pPr>
      <w:r w:rsidRPr="002D7A94">
        <w:rPr>
          <w:lang w:val="lt-LT"/>
        </w:rPr>
        <w:t>Garantinis laikotarpis:</w:t>
      </w:r>
    </w:p>
    <w:p w14:paraId="4457C829" w14:textId="20304A2B" w:rsidR="00EA333D" w:rsidRPr="002D7A94" w:rsidRDefault="00EA333D" w:rsidP="00C10BE2">
      <w:pPr>
        <w:pStyle w:val="Body2"/>
        <w:numPr>
          <w:ilvl w:val="1"/>
          <w:numId w:val="6"/>
        </w:numPr>
        <w:rPr>
          <w:lang w:val="lt-LT"/>
        </w:rPr>
      </w:pPr>
      <w:r w:rsidRPr="002D7A94">
        <w:rPr>
          <w:lang w:val="lt-LT"/>
        </w:rPr>
        <w:t>Ne mažiau nei 24 mėn.</w:t>
      </w:r>
    </w:p>
    <w:p w14:paraId="28B76F29" w14:textId="171CE475" w:rsidR="00C10BE2" w:rsidRPr="002D7A94" w:rsidRDefault="00C10BE2" w:rsidP="00C10BE2">
      <w:pPr>
        <w:pStyle w:val="Body2"/>
        <w:ind w:left="360"/>
        <w:rPr>
          <w:lang w:val="lt-LT"/>
        </w:rPr>
      </w:pPr>
      <w:r w:rsidRPr="002D7A94">
        <w:rPr>
          <w:lang w:val="lt-LT"/>
        </w:rPr>
        <w:t>5.2. Į garantiją įskaičiuotas nemokamai atliekamas įrangos remontas, įskaitant remontui atlikti reikalingas detales bei medžiagas. Reikalavimai netaikomi garantijos sąlygų neatitinkančių gedimų atvejams, kai įranga sugenda dėl vartotojo kaltės.</w:t>
      </w:r>
    </w:p>
    <w:p w14:paraId="081B487F" w14:textId="77777777" w:rsidR="00EA333D" w:rsidRPr="009A1244" w:rsidRDefault="00EA333D" w:rsidP="00EA333D">
      <w:pPr>
        <w:pStyle w:val="Body2"/>
        <w:numPr>
          <w:ilvl w:val="0"/>
          <w:numId w:val="6"/>
        </w:numPr>
        <w:pBdr>
          <w:top w:val="nil"/>
          <w:left w:val="nil"/>
          <w:bottom w:val="nil"/>
          <w:right w:val="nil"/>
          <w:between w:val="nil"/>
          <w:bar w:val="nil"/>
        </w:pBdr>
        <w:rPr>
          <w:lang w:val="lt-LT"/>
        </w:rPr>
      </w:pPr>
      <w:r w:rsidRPr="009A1244">
        <w:rPr>
          <w:lang w:val="lt-LT"/>
        </w:rPr>
        <w:t>Siūlomos prekės turi būti naujos, nenaudotos, neatnaujintos (net ir gamykliniu būdu).</w:t>
      </w:r>
    </w:p>
    <w:p w14:paraId="7ED2E6C6" w14:textId="1886E3AE" w:rsidR="00EA333D" w:rsidRPr="009A1244"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9A1244">
        <w:rPr>
          <w:rFonts w:ascii="Times New Roman" w:eastAsia="Arial Unicode MS" w:hAnsi="Times New Roman" w:cs="Arial Unicode MS"/>
          <w:lang w:eastAsia="en-US"/>
        </w:rPr>
        <w:t>Perkančiajai organizacijai paprašius, tiekėjas pateiks prašomų instrumentų pavyzdžius.</w:t>
      </w:r>
      <w:r w:rsidRPr="009A1244">
        <w:rPr>
          <w:rFonts w:ascii="Times New Roman" w:eastAsia="Arial Unicode MS" w:hAnsi="Times New Roman" w:cs="Arial Unicode MS"/>
          <w:noProof/>
          <w:lang w:eastAsia="en-US"/>
        </w:rPr>
        <w:drawing>
          <wp:inline distT="0" distB="0" distL="0" distR="0" wp14:anchorId="7BEC45F8" wp14:editId="324527AA">
            <wp:extent cx="4568" cy="4569"/>
            <wp:effectExtent l="0" t="0" r="0" b="0"/>
            <wp:docPr id="465162854" name="Picture 465162854"/>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8"/>
                    <a:stretch>
                      <a:fillRect/>
                    </a:stretch>
                  </pic:blipFill>
                  <pic:spPr>
                    <a:xfrm>
                      <a:off x="0" y="0"/>
                      <a:ext cx="4568" cy="4569"/>
                    </a:xfrm>
                    <a:prstGeom prst="rect">
                      <a:avLst/>
                    </a:prstGeom>
                  </pic:spPr>
                </pic:pic>
              </a:graphicData>
            </a:graphic>
          </wp:inline>
        </w:drawing>
      </w:r>
    </w:p>
    <w:p w14:paraId="329FCE60" w14:textId="433325A7" w:rsidR="00EA333D" w:rsidRPr="009A1244"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9A1244">
        <w:rPr>
          <w:rFonts w:ascii="Times New Roman" w:eastAsia="Arial Unicode MS" w:hAnsi="Times New Roman" w:cs="Arial Unicode MS"/>
          <w:lang w:eastAsia="en-US"/>
        </w:rPr>
        <w:t xml:space="preserve">Instrumentai turi būti </w:t>
      </w:r>
      <w:r w:rsidR="0057470D" w:rsidRPr="009A1244">
        <w:rPr>
          <w:rFonts w:ascii="Times New Roman" w:eastAsia="Arial Unicode MS" w:hAnsi="Times New Roman" w:cs="Arial Unicode MS"/>
          <w:lang w:eastAsia="en-US"/>
        </w:rPr>
        <w:t xml:space="preserve">iš nerūdijančio plieno ir </w:t>
      </w:r>
      <w:r w:rsidRPr="009A1244">
        <w:rPr>
          <w:rFonts w:ascii="Times New Roman" w:eastAsia="Arial Unicode MS" w:hAnsi="Times New Roman" w:cs="Arial Unicode MS"/>
          <w:lang w:eastAsia="en-US"/>
        </w:rPr>
        <w:t>iki galo apdirbti (be aštrių ar vizualiai matomų neapdirbtų instrumento dalių).</w:t>
      </w:r>
    </w:p>
    <w:p w14:paraId="4FF5C680" w14:textId="77777777" w:rsidR="00EA333D" w:rsidRPr="009A1244"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9A1244">
        <w:rPr>
          <w:rFonts w:ascii="Times New Roman" w:eastAsia="Arial Unicode MS" w:hAnsi="Times New Roman" w:cs="Arial Unicode MS"/>
          <w:lang w:eastAsia="en-US"/>
        </w:rPr>
        <w:t>Instrumentų paviršiai turi būti neblizgūs (matiniai), bet neturi būti dengti matine plėvele, ar kitu dangalu, kuris gali nusilupti.</w:t>
      </w:r>
    </w:p>
    <w:p w14:paraId="37257F3E" w14:textId="2D94FE90" w:rsidR="00D51033" w:rsidRPr="009A1244" w:rsidRDefault="00D51033" w:rsidP="00EA333D">
      <w:pPr>
        <w:pStyle w:val="ListParagraph"/>
        <w:numPr>
          <w:ilvl w:val="0"/>
          <w:numId w:val="6"/>
        </w:numPr>
        <w:spacing w:after="5" w:line="267" w:lineRule="auto"/>
        <w:rPr>
          <w:rFonts w:ascii="Times New Roman" w:eastAsia="Arial Unicode MS" w:hAnsi="Times New Roman" w:cs="Arial Unicode MS"/>
          <w:lang w:eastAsia="en-US"/>
        </w:rPr>
      </w:pPr>
      <w:r w:rsidRPr="009A1244">
        <w:rPr>
          <w:rFonts w:ascii="Times New Roman" w:eastAsia="Arial Unicode MS" w:hAnsi="Times New Roman" w:cs="Arial Unicode MS"/>
          <w:lang w:eastAsia="en-US"/>
        </w:rPr>
        <w:t>Būtinas siūlomų instrumentų žymėjimas CE ženklu ilgalaikio žymėjimo būdu - lazeriniu išgraviravimu.</w:t>
      </w:r>
    </w:p>
    <w:p w14:paraId="49CF8BC5" w14:textId="1D15580A" w:rsidR="00EC03C9" w:rsidRPr="002D1BC9" w:rsidRDefault="00EA333D" w:rsidP="00243DCD">
      <w:pPr>
        <w:pStyle w:val="ListParagraph"/>
        <w:numPr>
          <w:ilvl w:val="0"/>
          <w:numId w:val="6"/>
        </w:numPr>
        <w:spacing w:after="5" w:line="267" w:lineRule="auto"/>
        <w:rPr>
          <w:rFonts w:ascii="Times New Roman" w:eastAsia="Arial Unicode MS" w:hAnsi="Times New Roman" w:cs="Arial Unicode MS"/>
          <w:lang w:eastAsia="en-US"/>
        </w:rPr>
      </w:pPr>
      <w:r w:rsidRPr="009A1244">
        <w:rPr>
          <w:rFonts w:ascii="Times New Roman" w:eastAsia="Arial Unicode MS" w:hAnsi="Times New Roman" w:cs="Arial Unicode MS"/>
          <w:lang w:eastAsia="en-US"/>
        </w:rPr>
        <w:t>Instrumentai turi būti skirti daugkartiniam naudojimui, tinkami plovimui automatinėse instrumentų</w:t>
      </w:r>
      <w:r w:rsidRPr="002D1BC9">
        <w:rPr>
          <w:rFonts w:ascii="Times New Roman" w:eastAsia="Arial Unicode MS" w:hAnsi="Times New Roman" w:cs="Arial Unicode MS"/>
          <w:lang w:eastAsia="en-US"/>
        </w:rPr>
        <w:t xml:space="preserve"> plovimo-dezinfekavimo mašinose ir sterilizavimui</w:t>
      </w:r>
    </w:p>
    <w:tbl>
      <w:tblPr>
        <w:tblStyle w:val="TableGrid0"/>
        <w:tblW w:w="10201" w:type="dxa"/>
        <w:tblLook w:val="04A0" w:firstRow="1" w:lastRow="0" w:firstColumn="1" w:lastColumn="0" w:noHBand="0" w:noVBand="1"/>
      </w:tblPr>
      <w:tblGrid>
        <w:gridCol w:w="673"/>
        <w:gridCol w:w="1892"/>
        <w:gridCol w:w="3871"/>
        <w:gridCol w:w="2348"/>
        <w:gridCol w:w="1417"/>
      </w:tblGrid>
      <w:tr w:rsidR="00491914" w:rsidRPr="002D7A94" w14:paraId="4B036178" w14:textId="77777777" w:rsidTr="00491914">
        <w:tc>
          <w:tcPr>
            <w:tcW w:w="673" w:type="dxa"/>
          </w:tcPr>
          <w:p w14:paraId="1FC8C5C6" w14:textId="0227D69E" w:rsidR="00491914" w:rsidRPr="002D7A94" w:rsidRDefault="00491914" w:rsidP="0057470D">
            <w:pPr>
              <w:jc w:val="center"/>
              <w:rPr>
                <w:rFonts w:ascii="Times New Roman" w:hAnsi="Times New Roman" w:cs="Times New Roman"/>
                <w:b/>
                <w:bCs/>
              </w:rPr>
            </w:pPr>
            <w:r w:rsidRPr="002D7A94">
              <w:rPr>
                <w:rFonts w:ascii="Times New Roman" w:eastAsia="Times New Roman" w:hAnsi="Times New Roman" w:cs="Times New Roman"/>
                <w:b/>
                <w:bCs/>
              </w:rPr>
              <w:t>Eil.</w:t>
            </w:r>
            <w:r w:rsidRPr="002D7A94">
              <w:rPr>
                <w:rFonts w:ascii="Times New Roman" w:hAnsi="Times New Roman" w:cs="Times New Roman"/>
                <w:b/>
                <w:bCs/>
              </w:rPr>
              <w:t xml:space="preserve"> </w:t>
            </w:r>
            <w:r w:rsidRPr="002D7A94">
              <w:rPr>
                <w:rFonts w:ascii="Times New Roman" w:eastAsia="Times New Roman" w:hAnsi="Times New Roman" w:cs="Times New Roman"/>
                <w:b/>
                <w:bCs/>
              </w:rPr>
              <w:t>Nr.</w:t>
            </w:r>
          </w:p>
        </w:tc>
        <w:tc>
          <w:tcPr>
            <w:tcW w:w="1892" w:type="dxa"/>
          </w:tcPr>
          <w:p w14:paraId="7458078E" w14:textId="4AF8BDDC" w:rsidR="00491914" w:rsidRPr="002D7A94" w:rsidRDefault="00491914" w:rsidP="00EC03C9">
            <w:pPr>
              <w:jc w:val="center"/>
              <w:rPr>
                <w:rFonts w:ascii="Times New Roman" w:eastAsia="Times New Roman" w:hAnsi="Times New Roman" w:cs="Times New Roman"/>
              </w:rPr>
            </w:pPr>
            <w:r w:rsidRPr="002D7A94">
              <w:rPr>
                <w:rFonts w:ascii="Times New Roman" w:eastAsia="Times New Roman" w:hAnsi="Times New Roman" w:cs="Times New Roman"/>
                <w:b/>
                <w:bCs/>
              </w:rPr>
              <w:t>Pavadinimas</w:t>
            </w:r>
          </w:p>
        </w:tc>
        <w:tc>
          <w:tcPr>
            <w:tcW w:w="3871" w:type="dxa"/>
          </w:tcPr>
          <w:p w14:paraId="7026CF7D" w14:textId="003B3F21" w:rsidR="00491914" w:rsidRPr="002D7A94" w:rsidRDefault="00491914" w:rsidP="00EC03C9">
            <w:pPr>
              <w:jc w:val="center"/>
              <w:rPr>
                <w:rFonts w:ascii="Times New Roman" w:eastAsia="Times New Roman" w:hAnsi="Times New Roman" w:cs="Times New Roman"/>
              </w:rPr>
            </w:pPr>
            <w:r w:rsidRPr="002D7A94">
              <w:rPr>
                <w:rFonts w:ascii="Times New Roman" w:hAnsi="Times New Roman" w:cs="Times New Roman"/>
                <w:b/>
                <w:bCs/>
              </w:rPr>
              <w:t>Techniniai parametrai</w:t>
            </w:r>
          </w:p>
        </w:tc>
        <w:tc>
          <w:tcPr>
            <w:tcW w:w="2348" w:type="dxa"/>
          </w:tcPr>
          <w:p w14:paraId="508DDC3B" w14:textId="39BFED86" w:rsidR="00491914" w:rsidRPr="002D7A94" w:rsidRDefault="00491914" w:rsidP="00EC03C9">
            <w:pPr>
              <w:jc w:val="center"/>
              <w:rPr>
                <w:rFonts w:ascii="Times New Roman" w:eastAsia="Times New Roman" w:hAnsi="Times New Roman" w:cs="Times New Roman"/>
              </w:rPr>
            </w:pPr>
            <w:r w:rsidRPr="002D7A94">
              <w:rPr>
                <w:rFonts w:ascii="Times New Roman" w:eastAsia="Times New Roman" w:hAnsi="Times New Roman" w:cs="Times New Roman"/>
                <w:b/>
                <w:bCs/>
              </w:rPr>
              <w:t>Siūloma parametro reikšmė</w:t>
            </w:r>
          </w:p>
        </w:tc>
        <w:tc>
          <w:tcPr>
            <w:tcW w:w="1417" w:type="dxa"/>
          </w:tcPr>
          <w:p w14:paraId="6D46AA62" w14:textId="4D611E93" w:rsidR="00491914" w:rsidRPr="002D7A94" w:rsidRDefault="00491914" w:rsidP="00EC03C9">
            <w:pPr>
              <w:jc w:val="center"/>
              <w:rPr>
                <w:rFonts w:ascii="Times New Roman" w:eastAsia="Times New Roman" w:hAnsi="Times New Roman" w:cs="Times New Roman"/>
              </w:rPr>
            </w:pPr>
            <w:r w:rsidRPr="002D7A94">
              <w:rPr>
                <w:rFonts w:ascii="Times New Roman" w:eastAsia="Times New Roman" w:hAnsi="Times New Roman" w:cs="Times New Roman"/>
                <w:b/>
                <w:bCs/>
              </w:rPr>
              <w:t>Kodas</w:t>
            </w:r>
          </w:p>
        </w:tc>
      </w:tr>
      <w:tr w:rsidR="00491914" w:rsidRPr="002D7A94" w14:paraId="14A0FB2F" w14:textId="77777777" w:rsidTr="00491914">
        <w:tc>
          <w:tcPr>
            <w:tcW w:w="673" w:type="dxa"/>
          </w:tcPr>
          <w:p w14:paraId="04465FBD" w14:textId="77777777" w:rsidR="00491914" w:rsidRPr="002D7A94" w:rsidRDefault="00491914" w:rsidP="0064610D">
            <w:pPr>
              <w:pStyle w:val="ListParagraph"/>
              <w:numPr>
                <w:ilvl w:val="0"/>
                <w:numId w:val="10"/>
              </w:numPr>
              <w:ind w:left="360"/>
              <w:jc w:val="center"/>
              <w:rPr>
                <w:rFonts w:ascii="Times New Roman" w:hAnsi="Times New Roman" w:cs="Times New Roman"/>
              </w:rPr>
            </w:pPr>
          </w:p>
        </w:tc>
        <w:tc>
          <w:tcPr>
            <w:tcW w:w="1892" w:type="dxa"/>
          </w:tcPr>
          <w:p w14:paraId="1AD39221" w14:textId="1CA7607B" w:rsidR="00491914" w:rsidRPr="002D7A94" w:rsidRDefault="00491914" w:rsidP="00243DCD">
            <w:pPr>
              <w:rPr>
                <w:rFonts w:ascii="Times New Roman" w:hAnsi="Times New Roman" w:cs="Times New Roman"/>
              </w:rPr>
            </w:pPr>
            <w:r w:rsidRPr="002D7A94">
              <w:rPr>
                <w:rFonts w:ascii="Times New Roman" w:hAnsi="Times New Roman" w:cs="Times New Roman"/>
              </w:rPr>
              <w:t>Vienkartinės osteotomo geležtės (ašmenys), suderinamos su universalia osteotomo rankena</w:t>
            </w:r>
          </w:p>
        </w:tc>
        <w:tc>
          <w:tcPr>
            <w:tcW w:w="3871" w:type="dxa"/>
          </w:tcPr>
          <w:p w14:paraId="4199C5DE" w14:textId="2A0CCA26" w:rsidR="00491914" w:rsidRPr="002D7A94" w:rsidRDefault="00491914" w:rsidP="0064610D">
            <w:pPr>
              <w:rPr>
                <w:rFonts w:ascii="Times New Roman" w:hAnsi="Times New Roman" w:cs="Times New Roman"/>
              </w:rPr>
            </w:pPr>
            <w:r w:rsidRPr="002D7A94">
              <w:rPr>
                <w:rFonts w:ascii="Times New Roman" w:hAnsi="Times New Roman" w:cs="Times New Roman"/>
              </w:rPr>
              <w:t>Būtina</w:t>
            </w:r>
          </w:p>
        </w:tc>
        <w:tc>
          <w:tcPr>
            <w:tcW w:w="2348" w:type="dxa"/>
            <w:vAlign w:val="bottom"/>
          </w:tcPr>
          <w:p w14:paraId="5710D99D" w14:textId="77777777" w:rsidR="00491914" w:rsidRPr="002D7A94" w:rsidRDefault="00491914" w:rsidP="0057470D">
            <w:pPr>
              <w:rPr>
                <w:rFonts w:ascii="Times New Roman" w:eastAsia="Times New Roman" w:hAnsi="Times New Roman" w:cs="Times New Roman"/>
              </w:rPr>
            </w:pPr>
          </w:p>
        </w:tc>
        <w:tc>
          <w:tcPr>
            <w:tcW w:w="1417" w:type="dxa"/>
            <w:vAlign w:val="bottom"/>
          </w:tcPr>
          <w:p w14:paraId="3C794D8D" w14:textId="77777777" w:rsidR="00491914" w:rsidRPr="002D7A94" w:rsidRDefault="00491914" w:rsidP="0057470D">
            <w:pPr>
              <w:rPr>
                <w:rFonts w:ascii="Times New Roman" w:eastAsia="Times New Roman" w:hAnsi="Times New Roman" w:cs="Times New Roman"/>
              </w:rPr>
            </w:pPr>
          </w:p>
        </w:tc>
      </w:tr>
      <w:tr w:rsidR="00491914" w:rsidRPr="002D7A94" w14:paraId="23B08D98" w14:textId="77777777" w:rsidTr="00491914">
        <w:tc>
          <w:tcPr>
            <w:tcW w:w="673" w:type="dxa"/>
          </w:tcPr>
          <w:p w14:paraId="29464E6A" w14:textId="77777777" w:rsidR="00491914" w:rsidRPr="002D7A94" w:rsidRDefault="00491914" w:rsidP="0064610D">
            <w:pPr>
              <w:pStyle w:val="ListParagraph"/>
              <w:numPr>
                <w:ilvl w:val="0"/>
                <w:numId w:val="10"/>
              </w:numPr>
              <w:ind w:left="360"/>
              <w:jc w:val="center"/>
              <w:rPr>
                <w:rFonts w:ascii="Times New Roman" w:hAnsi="Times New Roman" w:cs="Times New Roman"/>
              </w:rPr>
            </w:pPr>
          </w:p>
        </w:tc>
        <w:tc>
          <w:tcPr>
            <w:tcW w:w="1892" w:type="dxa"/>
          </w:tcPr>
          <w:p w14:paraId="093B0949" w14:textId="01BDE4C9" w:rsidR="00491914" w:rsidRPr="002D7A94" w:rsidRDefault="00491914" w:rsidP="0064610D">
            <w:pPr>
              <w:ind w:left="46"/>
              <w:rPr>
                <w:rFonts w:ascii="Times New Roman" w:hAnsi="Times New Roman" w:cs="Times New Roman"/>
              </w:rPr>
            </w:pPr>
            <w:r w:rsidRPr="002D7A94">
              <w:rPr>
                <w:rFonts w:ascii="Times New Roman" w:hAnsi="Times New Roman"/>
              </w:rPr>
              <w:t>Instrumento ilgis</w:t>
            </w:r>
          </w:p>
        </w:tc>
        <w:tc>
          <w:tcPr>
            <w:tcW w:w="3871" w:type="dxa"/>
          </w:tcPr>
          <w:p w14:paraId="38DFE1A7" w14:textId="0E613456" w:rsidR="00491914" w:rsidRPr="002D7A94" w:rsidRDefault="00491914" w:rsidP="0064610D">
            <w:pPr>
              <w:rPr>
                <w:rFonts w:ascii="Times New Roman" w:hAnsi="Times New Roman" w:cs="Times New Roman"/>
              </w:rPr>
            </w:pPr>
            <w:r w:rsidRPr="002D7A94">
              <w:rPr>
                <w:rFonts w:ascii="Times New Roman" w:hAnsi="Times New Roman"/>
              </w:rPr>
              <w:t>22 cm (±0,5 cm)</w:t>
            </w:r>
          </w:p>
        </w:tc>
        <w:tc>
          <w:tcPr>
            <w:tcW w:w="2348" w:type="dxa"/>
            <w:vAlign w:val="bottom"/>
          </w:tcPr>
          <w:p w14:paraId="66F336CD" w14:textId="77777777" w:rsidR="00491914" w:rsidRPr="002D7A94" w:rsidRDefault="00491914" w:rsidP="0057470D">
            <w:pPr>
              <w:rPr>
                <w:rFonts w:ascii="Times New Roman" w:eastAsia="Times New Roman" w:hAnsi="Times New Roman" w:cs="Times New Roman"/>
              </w:rPr>
            </w:pPr>
          </w:p>
        </w:tc>
        <w:tc>
          <w:tcPr>
            <w:tcW w:w="1417" w:type="dxa"/>
            <w:vAlign w:val="bottom"/>
          </w:tcPr>
          <w:p w14:paraId="1B8A4CC9" w14:textId="77777777" w:rsidR="00491914" w:rsidRPr="002D7A94" w:rsidRDefault="00491914" w:rsidP="0057470D">
            <w:pPr>
              <w:rPr>
                <w:rFonts w:ascii="Times New Roman" w:eastAsia="Times New Roman" w:hAnsi="Times New Roman" w:cs="Times New Roman"/>
              </w:rPr>
            </w:pPr>
          </w:p>
        </w:tc>
      </w:tr>
      <w:tr w:rsidR="00491914" w:rsidRPr="002D7A94" w14:paraId="6BFE5B6B" w14:textId="77777777" w:rsidTr="00491914">
        <w:tc>
          <w:tcPr>
            <w:tcW w:w="673" w:type="dxa"/>
          </w:tcPr>
          <w:p w14:paraId="7E6EA1C7" w14:textId="77777777" w:rsidR="00491914" w:rsidRPr="002D7A94" w:rsidRDefault="00491914" w:rsidP="0064610D">
            <w:pPr>
              <w:pStyle w:val="ListParagraph"/>
              <w:numPr>
                <w:ilvl w:val="0"/>
                <w:numId w:val="10"/>
              </w:numPr>
              <w:ind w:left="360"/>
              <w:jc w:val="center"/>
              <w:rPr>
                <w:rFonts w:ascii="Times New Roman" w:hAnsi="Times New Roman" w:cs="Times New Roman"/>
              </w:rPr>
            </w:pPr>
          </w:p>
        </w:tc>
        <w:tc>
          <w:tcPr>
            <w:tcW w:w="1892" w:type="dxa"/>
          </w:tcPr>
          <w:p w14:paraId="75415A48" w14:textId="635FA880" w:rsidR="00491914" w:rsidRPr="002D7A94" w:rsidRDefault="00491914" w:rsidP="0064610D">
            <w:pPr>
              <w:ind w:left="46"/>
              <w:rPr>
                <w:rFonts w:ascii="Times New Roman" w:hAnsi="Times New Roman" w:cs="Times New Roman"/>
              </w:rPr>
            </w:pPr>
            <w:r w:rsidRPr="002D7A94">
              <w:rPr>
                <w:rFonts w:ascii="Times New Roman" w:hAnsi="Times New Roman"/>
              </w:rPr>
              <w:t>Darbinėje dalyje kiaurymės</w:t>
            </w:r>
          </w:p>
        </w:tc>
        <w:tc>
          <w:tcPr>
            <w:tcW w:w="3871" w:type="dxa"/>
          </w:tcPr>
          <w:p w14:paraId="67317A42" w14:textId="74554DAF" w:rsidR="00491914" w:rsidRPr="002D7A94" w:rsidRDefault="00491914" w:rsidP="00243DCD">
            <w:pPr>
              <w:pStyle w:val="NormalWeb"/>
              <w:spacing w:before="0" w:beforeAutospacing="0" w:after="0" w:afterAutospacing="0"/>
              <w:rPr>
                <w:rFonts w:eastAsia="Calibri"/>
                <w:color w:val="000000"/>
                <w:sz w:val="22"/>
                <w:szCs w:val="22"/>
                <w:lang w:val="lt-LT" w:eastAsia="lt-LT"/>
              </w:rPr>
            </w:pPr>
            <w:r w:rsidRPr="002D7A94">
              <w:rPr>
                <w:lang w:val="lt-LT"/>
              </w:rPr>
              <w:t>1,</w:t>
            </w:r>
            <w:r w:rsidR="00E24AF0">
              <w:rPr>
                <w:lang w:val="lt-LT"/>
              </w:rPr>
              <w:t>5</w:t>
            </w:r>
            <w:r w:rsidRPr="002D7A94">
              <w:rPr>
                <w:lang w:val="lt-LT"/>
              </w:rPr>
              <w:t xml:space="preserve"> mm (±0,</w:t>
            </w:r>
            <w:r w:rsidR="00E24AF0">
              <w:rPr>
                <w:lang w:val="lt-LT"/>
              </w:rPr>
              <w:t>2</w:t>
            </w:r>
            <w:r w:rsidRPr="002D7A94">
              <w:rPr>
                <w:lang w:val="lt-LT"/>
              </w:rPr>
              <w:t xml:space="preserve"> mm) ir 2,5 mm (±0,</w:t>
            </w:r>
            <w:r w:rsidR="00E24AF0">
              <w:rPr>
                <w:lang w:val="lt-LT"/>
              </w:rPr>
              <w:t>2</w:t>
            </w:r>
            <w:r w:rsidRPr="002D7A94">
              <w:rPr>
                <w:lang w:val="lt-LT"/>
              </w:rPr>
              <w:t xml:space="preserve"> mm) diametro Kiršnerio vielų pravedimui</w:t>
            </w:r>
          </w:p>
        </w:tc>
        <w:tc>
          <w:tcPr>
            <w:tcW w:w="2348" w:type="dxa"/>
            <w:vAlign w:val="bottom"/>
          </w:tcPr>
          <w:p w14:paraId="6972680A" w14:textId="77777777" w:rsidR="00491914" w:rsidRPr="002D7A94" w:rsidRDefault="00491914" w:rsidP="0057470D">
            <w:pPr>
              <w:rPr>
                <w:rFonts w:ascii="Times New Roman" w:eastAsia="Times New Roman" w:hAnsi="Times New Roman" w:cs="Times New Roman"/>
              </w:rPr>
            </w:pPr>
          </w:p>
        </w:tc>
        <w:tc>
          <w:tcPr>
            <w:tcW w:w="1417" w:type="dxa"/>
            <w:vAlign w:val="bottom"/>
          </w:tcPr>
          <w:p w14:paraId="650E2DC2" w14:textId="77777777" w:rsidR="00491914" w:rsidRPr="002D7A94" w:rsidRDefault="00491914" w:rsidP="0057470D">
            <w:pPr>
              <w:rPr>
                <w:rFonts w:ascii="Times New Roman" w:eastAsia="Times New Roman" w:hAnsi="Times New Roman" w:cs="Times New Roman"/>
              </w:rPr>
            </w:pPr>
          </w:p>
        </w:tc>
      </w:tr>
      <w:tr w:rsidR="00491914" w:rsidRPr="002D7A94" w14:paraId="3A80252E" w14:textId="77777777" w:rsidTr="00491914">
        <w:tc>
          <w:tcPr>
            <w:tcW w:w="673" w:type="dxa"/>
          </w:tcPr>
          <w:p w14:paraId="16266346" w14:textId="77777777" w:rsidR="00491914" w:rsidRPr="002D7A94" w:rsidRDefault="00491914" w:rsidP="0064610D">
            <w:pPr>
              <w:pStyle w:val="ListParagraph"/>
              <w:numPr>
                <w:ilvl w:val="0"/>
                <w:numId w:val="10"/>
              </w:numPr>
              <w:ind w:left="360"/>
              <w:jc w:val="center"/>
              <w:rPr>
                <w:rFonts w:ascii="Times New Roman" w:hAnsi="Times New Roman" w:cs="Times New Roman"/>
              </w:rPr>
            </w:pPr>
          </w:p>
        </w:tc>
        <w:tc>
          <w:tcPr>
            <w:tcW w:w="1892" w:type="dxa"/>
          </w:tcPr>
          <w:p w14:paraId="59BB42E1" w14:textId="6C2C62E3" w:rsidR="00491914" w:rsidRPr="002D7A94" w:rsidRDefault="00491914" w:rsidP="0064610D">
            <w:pPr>
              <w:ind w:left="46"/>
              <w:rPr>
                <w:rFonts w:ascii="Times New Roman" w:hAnsi="Times New Roman" w:cs="Times New Roman"/>
              </w:rPr>
            </w:pPr>
            <w:r w:rsidRPr="002D7A94">
              <w:rPr>
                <w:rFonts w:ascii="Times New Roman" w:hAnsi="Times New Roman"/>
              </w:rPr>
              <w:t>Distraktoriaus rankenos turi turėti</w:t>
            </w:r>
          </w:p>
        </w:tc>
        <w:tc>
          <w:tcPr>
            <w:tcW w:w="3871" w:type="dxa"/>
          </w:tcPr>
          <w:p w14:paraId="00019266" w14:textId="7FEF590C" w:rsidR="00491914" w:rsidRPr="002D7A94" w:rsidRDefault="00491914" w:rsidP="00E738B6">
            <w:pPr>
              <w:pStyle w:val="NormalWeb"/>
              <w:spacing w:after="0" w:afterAutospacing="0"/>
              <w:rPr>
                <w:rFonts w:eastAsia="Calibri"/>
                <w:color w:val="000000"/>
                <w:sz w:val="22"/>
                <w:szCs w:val="22"/>
                <w:lang w:val="lt-LT" w:eastAsia="lt-LT"/>
              </w:rPr>
            </w:pPr>
            <w:r w:rsidRPr="002D7A94">
              <w:rPr>
                <w:lang w:val="lt-LT"/>
              </w:rPr>
              <w:t>sugraduotą užrakinimo mechanizmą, leidžiantį atlikti norimą tikslią sąnario distrakciją</w:t>
            </w:r>
          </w:p>
        </w:tc>
        <w:tc>
          <w:tcPr>
            <w:tcW w:w="2348" w:type="dxa"/>
            <w:vAlign w:val="bottom"/>
          </w:tcPr>
          <w:p w14:paraId="358B0C21" w14:textId="77777777" w:rsidR="00491914" w:rsidRPr="002D7A94" w:rsidRDefault="00491914" w:rsidP="0057470D">
            <w:pPr>
              <w:rPr>
                <w:rFonts w:ascii="Times New Roman" w:eastAsia="Times New Roman" w:hAnsi="Times New Roman" w:cs="Times New Roman"/>
              </w:rPr>
            </w:pPr>
          </w:p>
        </w:tc>
        <w:tc>
          <w:tcPr>
            <w:tcW w:w="1417" w:type="dxa"/>
            <w:vAlign w:val="bottom"/>
          </w:tcPr>
          <w:p w14:paraId="325D25CE" w14:textId="77777777" w:rsidR="00491914" w:rsidRPr="002D7A94" w:rsidRDefault="00491914" w:rsidP="0057470D">
            <w:pPr>
              <w:rPr>
                <w:rFonts w:ascii="Times New Roman" w:eastAsia="Times New Roman" w:hAnsi="Times New Roman" w:cs="Times New Roman"/>
              </w:rPr>
            </w:pPr>
          </w:p>
        </w:tc>
      </w:tr>
      <w:tr w:rsidR="00491914" w:rsidRPr="002D7A94" w14:paraId="44BA7522" w14:textId="77777777" w:rsidTr="00491914">
        <w:tc>
          <w:tcPr>
            <w:tcW w:w="673" w:type="dxa"/>
          </w:tcPr>
          <w:p w14:paraId="2723744A" w14:textId="77777777" w:rsidR="00491914" w:rsidRPr="002D7A94" w:rsidRDefault="00491914" w:rsidP="0064610D">
            <w:pPr>
              <w:pStyle w:val="ListParagraph"/>
              <w:numPr>
                <w:ilvl w:val="0"/>
                <w:numId w:val="10"/>
              </w:numPr>
              <w:ind w:left="360"/>
              <w:jc w:val="center"/>
              <w:rPr>
                <w:rFonts w:ascii="Times New Roman" w:hAnsi="Times New Roman" w:cs="Times New Roman"/>
              </w:rPr>
            </w:pPr>
          </w:p>
        </w:tc>
        <w:tc>
          <w:tcPr>
            <w:tcW w:w="1892" w:type="dxa"/>
          </w:tcPr>
          <w:p w14:paraId="1630F63B" w14:textId="3C6B67B0" w:rsidR="00491914" w:rsidRPr="002D7A94" w:rsidRDefault="00491914" w:rsidP="0064610D">
            <w:pPr>
              <w:ind w:left="46"/>
              <w:rPr>
                <w:rFonts w:ascii="Times New Roman" w:hAnsi="Times New Roman" w:cs="Times New Roman"/>
              </w:rPr>
            </w:pPr>
            <w:r w:rsidRPr="002D7A94">
              <w:rPr>
                <w:rFonts w:ascii="Times New Roman" w:hAnsi="Times New Roman"/>
              </w:rPr>
              <w:t>Instrumentas turi turėti</w:t>
            </w:r>
          </w:p>
        </w:tc>
        <w:tc>
          <w:tcPr>
            <w:tcW w:w="3871" w:type="dxa"/>
          </w:tcPr>
          <w:p w14:paraId="6F62E383" w14:textId="6C05E194" w:rsidR="00491914" w:rsidRPr="002D7A94" w:rsidRDefault="00491914" w:rsidP="0064610D">
            <w:pPr>
              <w:rPr>
                <w:rFonts w:ascii="Times New Roman" w:hAnsi="Times New Roman" w:cs="Times New Roman"/>
              </w:rPr>
            </w:pPr>
            <w:r w:rsidRPr="002D7A94">
              <w:rPr>
                <w:rFonts w:ascii="Times New Roman" w:hAnsi="Times New Roman"/>
              </w:rPr>
              <w:t>specialią svirtelę instrumento funkcijos perjungimui iš kompresijos į distrakciją ir atvirkščiai</w:t>
            </w:r>
          </w:p>
        </w:tc>
        <w:tc>
          <w:tcPr>
            <w:tcW w:w="2348" w:type="dxa"/>
            <w:vAlign w:val="bottom"/>
          </w:tcPr>
          <w:p w14:paraId="1F7AA8D7" w14:textId="77777777" w:rsidR="00491914" w:rsidRPr="002D7A94" w:rsidRDefault="00491914" w:rsidP="0057470D">
            <w:pPr>
              <w:rPr>
                <w:rFonts w:ascii="Times New Roman" w:eastAsia="Times New Roman" w:hAnsi="Times New Roman" w:cs="Times New Roman"/>
              </w:rPr>
            </w:pPr>
          </w:p>
        </w:tc>
        <w:tc>
          <w:tcPr>
            <w:tcW w:w="1417" w:type="dxa"/>
            <w:vAlign w:val="bottom"/>
          </w:tcPr>
          <w:p w14:paraId="3FAC014B" w14:textId="77777777" w:rsidR="00491914" w:rsidRPr="002D7A94" w:rsidRDefault="00491914" w:rsidP="0057470D">
            <w:pPr>
              <w:rPr>
                <w:rFonts w:ascii="Times New Roman" w:eastAsia="Times New Roman" w:hAnsi="Times New Roman" w:cs="Times New Roman"/>
              </w:rPr>
            </w:pPr>
          </w:p>
        </w:tc>
      </w:tr>
    </w:tbl>
    <w:p w14:paraId="6A0488A4" w14:textId="7868855E" w:rsidR="00EC03C9" w:rsidRPr="002D7A94" w:rsidRDefault="00EC03C9" w:rsidP="00243DCD">
      <w:pPr>
        <w:spacing w:after="0"/>
        <w:rPr>
          <w:rFonts w:ascii="Times New Roman" w:eastAsia="Times New Roman" w:hAnsi="Times New Roman" w:cs="Times New Roman"/>
          <w:sz w:val="24"/>
          <w:szCs w:val="24"/>
        </w:rPr>
      </w:pPr>
    </w:p>
    <w:sectPr w:rsidR="00EC03C9" w:rsidRPr="002D7A94" w:rsidSect="00076FED">
      <w:pgSz w:w="12200" w:h="16800"/>
      <w:pgMar w:top="1134" w:right="112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E68AB" w14:textId="77777777" w:rsidR="00F33DE9" w:rsidRDefault="00F33DE9" w:rsidP="001E5425">
      <w:pPr>
        <w:spacing w:after="0" w:line="240" w:lineRule="auto"/>
      </w:pPr>
      <w:r>
        <w:separator/>
      </w:r>
    </w:p>
  </w:endnote>
  <w:endnote w:type="continuationSeparator" w:id="0">
    <w:p w14:paraId="6EA53318" w14:textId="77777777" w:rsidR="00F33DE9" w:rsidRDefault="00F33DE9" w:rsidP="001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32E6A" w14:textId="77777777" w:rsidR="00F33DE9" w:rsidRDefault="00F33DE9" w:rsidP="001E5425">
      <w:pPr>
        <w:spacing w:after="0" w:line="240" w:lineRule="auto"/>
      </w:pPr>
      <w:r>
        <w:separator/>
      </w:r>
    </w:p>
  </w:footnote>
  <w:footnote w:type="continuationSeparator" w:id="0">
    <w:p w14:paraId="4F3BCC0E" w14:textId="77777777" w:rsidR="00F33DE9" w:rsidRDefault="00F33DE9" w:rsidP="001E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visibility:visible;mso-wrap-style:square" o:bullet="t" filled="t">
        <v:imagedata r:id="rId1" o:title=""/>
        <o:lock v:ext="edit" aspectratio="f"/>
      </v:shape>
    </w:pict>
  </w:numPicBullet>
  <w:abstractNum w:abstractNumId="0"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064E4"/>
    <w:multiLevelType w:val="multilevel"/>
    <w:tmpl w:val="D500F6DC"/>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4735832"/>
    <w:multiLevelType w:val="hybridMultilevel"/>
    <w:tmpl w:val="0AB2D1E0"/>
    <w:lvl w:ilvl="0" w:tplc="FEF23F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BD65E2"/>
    <w:multiLevelType w:val="hybridMultilevel"/>
    <w:tmpl w:val="98B0416A"/>
    <w:lvl w:ilvl="0" w:tplc="B928B6A0">
      <w:start w:val="5"/>
      <w:numFmt w:val="bullet"/>
      <w:lvlText w:val=""/>
      <w:lvlJc w:val="left"/>
      <w:pPr>
        <w:ind w:left="698" w:hanging="360"/>
      </w:pPr>
      <w:rPr>
        <w:rFonts w:ascii="Symbol" w:eastAsia="Times New Roman" w:hAnsi="Symbol" w:cs="Times New Roman"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abstractNum w:abstractNumId="5" w15:restartNumberingAfterBreak="0">
    <w:nsid w:val="5A3C7EC2"/>
    <w:multiLevelType w:val="multilevel"/>
    <w:tmpl w:val="66D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214FC"/>
    <w:multiLevelType w:val="multilevel"/>
    <w:tmpl w:val="65224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1E15A5"/>
    <w:multiLevelType w:val="multilevel"/>
    <w:tmpl w:val="D500F6DC"/>
    <w:lvl w:ilvl="0">
      <w:start w:val="1"/>
      <w:numFmt w:val="decimal"/>
      <w:lvlText w:val="%1."/>
      <w:lvlJc w:val="left"/>
      <w:pPr>
        <w:tabs>
          <w:tab w:val="num" w:pos="644"/>
        </w:tabs>
        <w:ind w:left="644" w:hanging="360"/>
      </w:pPr>
      <w:rPr>
        <w:rFonts w:asciiTheme="minorHAnsi" w:eastAsia="Times New Roman" w:hAnsiTheme="minorHAnsi" w:cs="Times New Roman"/>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69DB4A07"/>
    <w:multiLevelType w:val="multilevel"/>
    <w:tmpl w:val="3F286000"/>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0"/>
  </w:num>
  <w:num w:numId="5">
    <w:abstractNumId w:val="6"/>
  </w:num>
  <w:num w:numId="6">
    <w:abstractNumId w:val="2"/>
  </w:num>
  <w:num w:numId="7">
    <w:abstractNumId w:val="1"/>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7"/>
    <w:rsid w:val="00021CD2"/>
    <w:rsid w:val="00036727"/>
    <w:rsid w:val="00037CA7"/>
    <w:rsid w:val="00043F3E"/>
    <w:rsid w:val="00046F82"/>
    <w:rsid w:val="000744CE"/>
    <w:rsid w:val="00076FED"/>
    <w:rsid w:val="000A7C7B"/>
    <w:rsid w:val="000C3381"/>
    <w:rsid w:val="000C6D7B"/>
    <w:rsid w:val="000D2B3B"/>
    <w:rsid w:val="00114126"/>
    <w:rsid w:val="00124426"/>
    <w:rsid w:val="00173383"/>
    <w:rsid w:val="00173B1E"/>
    <w:rsid w:val="00194FC5"/>
    <w:rsid w:val="001E5425"/>
    <w:rsid w:val="0020692E"/>
    <w:rsid w:val="002126D6"/>
    <w:rsid w:val="00243DCD"/>
    <w:rsid w:val="00281F0B"/>
    <w:rsid w:val="002B23C3"/>
    <w:rsid w:val="002C3E33"/>
    <w:rsid w:val="002D1BC9"/>
    <w:rsid w:val="002D7A94"/>
    <w:rsid w:val="002E3F63"/>
    <w:rsid w:val="00322B27"/>
    <w:rsid w:val="00331245"/>
    <w:rsid w:val="00331870"/>
    <w:rsid w:val="003336AA"/>
    <w:rsid w:val="0036089C"/>
    <w:rsid w:val="00363834"/>
    <w:rsid w:val="0036416B"/>
    <w:rsid w:val="00370BAD"/>
    <w:rsid w:val="0037673C"/>
    <w:rsid w:val="00386167"/>
    <w:rsid w:val="00391852"/>
    <w:rsid w:val="00396A37"/>
    <w:rsid w:val="003A0629"/>
    <w:rsid w:val="003C0CC5"/>
    <w:rsid w:val="003C7094"/>
    <w:rsid w:val="003E1C91"/>
    <w:rsid w:val="003E671D"/>
    <w:rsid w:val="003E771E"/>
    <w:rsid w:val="003F2CC4"/>
    <w:rsid w:val="003F332A"/>
    <w:rsid w:val="004064D5"/>
    <w:rsid w:val="00411DF7"/>
    <w:rsid w:val="00412BAF"/>
    <w:rsid w:val="00415E7D"/>
    <w:rsid w:val="004220D6"/>
    <w:rsid w:val="0043082F"/>
    <w:rsid w:val="00452AF4"/>
    <w:rsid w:val="00461F7A"/>
    <w:rsid w:val="00467C03"/>
    <w:rsid w:val="00480F8D"/>
    <w:rsid w:val="00490CF1"/>
    <w:rsid w:val="00491914"/>
    <w:rsid w:val="004C48A4"/>
    <w:rsid w:val="004D3EF9"/>
    <w:rsid w:val="004D5F1B"/>
    <w:rsid w:val="004E5640"/>
    <w:rsid w:val="004F15DB"/>
    <w:rsid w:val="004F3728"/>
    <w:rsid w:val="0051076E"/>
    <w:rsid w:val="005124C7"/>
    <w:rsid w:val="0052403F"/>
    <w:rsid w:val="00535D01"/>
    <w:rsid w:val="005366DA"/>
    <w:rsid w:val="00542B73"/>
    <w:rsid w:val="00544B01"/>
    <w:rsid w:val="00546C72"/>
    <w:rsid w:val="00557415"/>
    <w:rsid w:val="0055768D"/>
    <w:rsid w:val="00561396"/>
    <w:rsid w:val="00562125"/>
    <w:rsid w:val="00570BF8"/>
    <w:rsid w:val="0057470D"/>
    <w:rsid w:val="00585F50"/>
    <w:rsid w:val="005A7DEE"/>
    <w:rsid w:val="005F098D"/>
    <w:rsid w:val="0062014B"/>
    <w:rsid w:val="0064610D"/>
    <w:rsid w:val="006463A5"/>
    <w:rsid w:val="0065285F"/>
    <w:rsid w:val="006B0341"/>
    <w:rsid w:val="006B199D"/>
    <w:rsid w:val="006B4953"/>
    <w:rsid w:val="006C1E38"/>
    <w:rsid w:val="006F1F57"/>
    <w:rsid w:val="00707384"/>
    <w:rsid w:val="0073180B"/>
    <w:rsid w:val="00737422"/>
    <w:rsid w:val="00737DBF"/>
    <w:rsid w:val="00787C49"/>
    <w:rsid w:val="007A05E7"/>
    <w:rsid w:val="007B30D6"/>
    <w:rsid w:val="007E6096"/>
    <w:rsid w:val="00817B5B"/>
    <w:rsid w:val="00832927"/>
    <w:rsid w:val="00840565"/>
    <w:rsid w:val="0084725B"/>
    <w:rsid w:val="00850907"/>
    <w:rsid w:val="0086793F"/>
    <w:rsid w:val="00867D66"/>
    <w:rsid w:val="008719CD"/>
    <w:rsid w:val="008748C4"/>
    <w:rsid w:val="00876A74"/>
    <w:rsid w:val="00892F03"/>
    <w:rsid w:val="008C48E0"/>
    <w:rsid w:val="008F6774"/>
    <w:rsid w:val="00902A63"/>
    <w:rsid w:val="00927DD6"/>
    <w:rsid w:val="009849A2"/>
    <w:rsid w:val="009A1244"/>
    <w:rsid w:val="009B30F8"/>
    <w:rsid w:val="00A25D7D"/>
    <w:rsid w:val="00A408CF"/>
    <w:rsid w:val="00A45F00"/>
    <w:rsid w:val="00A55292"/>
    <w:rsid w:val="00A63F2B"/>
    <w:rsid w:val="00A87F89"/>
    <w:rsid w:val="00B218BE"/>
    <w:rsid w:val="00B37013"/>
    <w:rsid w:val="00B409C0"/>
    <w:rsid w:val="00B423B8"/>
    <w:rsid w:val="00B44100"/>
    <w:rsid w:val="00B80045"/>
    <w:rsid w:val="00BA7BAA"/>
    <w:rsid w:val="00BD7E5A"/>
    <w:rsid w:val="00BF5FA4"/>
    <w:rsid w:val="00BF7CE4"/>
    <w:rsid w:val="00C10BE2"/>
    <w:rsid w:val="00C3236D"/>
    <w:rsid w:val="00C77F3F"/>
    <w:rsid w:val="00C83C42"/>
    <w:rsid w:val="00C93DCF"/>
    <w:rsid w:val="00CA1518"/>
    <w:rsid w:val="00CC0CAB"/>
    <w:rsid w:val="00CD1A94"/>
    <w:rsid w:val="00CD5DE8"/>
    <w:rsid w:val="00CD61F8"/>
    <w:rsid w:val="00D15070"/>
    <w:rsid w:val="00D24565"/>
    <w:rsid w:val="00D34EA3"/>
    <w:rsid w:val="00D45873"/>
    <w:rsid w:val="00D51033"/>
    <w:rsid w:val="00D5385D"/>
    <w:rsid w:val="00D60198"/>
    <w:rsid w:val="00D7504D"/>
    <w:rsid w:val="00D917F2"/>
    <w:rsid w:val="00DB064E"/>
    <w:rsid w:val="00DC3D4D"/>
    <w:rsid w:val="00DD0EB0"/>
    <w:rsid w:val="00E02F42"/>
    <w:rsid w:val="00E064FC"/>
    <w:rsid w:val="00E13826"/>
    <w:rsid w:val="00E13E55"/>
    <w:rsid w:val="00E24AF0"/>
    <w:rsid w:val="00E3015F"/>
    <w:rsid w:val="00E4496D"/>
    <w:rsid w:val="00E63175"/>
    <w:rsid w:val="00E66407"/>
    <w:rsid w:val="00E738B6"/>
    <w:rsid w:val="00E933D9"/>
    <w:rsid w:val="00E97C73"/>
    <w:rsid w:val="00EA333D"/>
    <w:rsid w:val="00EC03C9"/>
    <w:rsid w:val="00EC0E3E"/>
    <w:rsid w:val="00ED53A7"/>
    <w:rsid w:val="00ED7EB9"/>
    <w:rsid w:val="00EF17CF"/>
    <w:rsid w:val="00EF1A1D"/>
    <w:rsid w:val="00F224B3"/>
    <w:rsid w:val="00F253A8"/>
    <w:rsid w:val="00F33DE9"/>
    <w:rsid w:val="00F55D1E"/>
    <w:rsid w:val="00FB46C7"/>
    <w:rsid w:val="00FD1A9C"/>
    <w:rsid w:val="00FE6283"/>
    <w:rsid w:val="00FF06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99E31"/>
  <w15:docId w15:val="{ADE081F3-CA37-40F7-84AC-25EDA30D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1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91"/>
    <w:rPr>
      <w:rFonts w:ascii="Tahoma" w:eastAsia="Calibri" w:hAnsi="Tahoma" w:cs="Tahoma"/>
      <w:color w:val="000000"/>
      <w:sz w:val="16"/>
      <w:szCs w:val="16"/>
    </w:rPr>
  </w:style>
  <w:style w:type="paragraph" w:styleId="ListParagraph">
    <w:name w:val="List Paragraph"/>
    <w:basedOn w:val="Normal"/>
    <w:uiPriority w:val="34"/>
    <w:qFormat/>
    <w:rsid w:val="001E5425"/>
    <w:pPr>
      <w:ind w:left="720"/>
      <w:contextualSpacing/>
    </w:pPr>
  </w:style>
  <w:style w:type="paragraph" w:styleId="Header">
    <w:name w:val="header"/>
    <w:basedOn w:val="Normal"/>
    <w:link w:val="HeaderChar"/>
    <w:uiPriority w:val="99"/>
    <w:unhideWhenUsed/>
    <w:rsid w:val="00EF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7CF"/>
    <w:rPr>
      <w:rFonts w:ascii="Calibri" w:eastAsia="Calibri" w:hAnsi="Calibri" w:cs="Calibri"/>
      <w:color w:val="000000"/>
    </w:rPr>
  </w:style>
  <w:style w:type="paragraph" w:styleId="Footer">
    <w:name w:val="footer"/>
    <w:basedOn w:val="Normal"/>
    <w:link w:val="FooterChar"/>
    <w:uiPriority w:val="99"/>
    <w:unhideWhenUsed/>
    <w:rsid w:val="00EF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CF"/>
    <w:rPr>
      <w:rFonts w:ascii="Calibri" w:eastAsia="Calibri" w:hAnsi="Calibri" w:cs="Calibri"/>
      <w:color w:val="000000"/>
    </w:rPr>
  </w:style>
  <w:style w:type="paragraph" w:styleId="NoSpacing">
    <w:name w:val="No Spacing"/>
    <w:uiPriority w:val="1"/>
    <w:qFormat/>
    <w:rsid w:val="008719CD"/>
    <w:pPr>
      <w:spacing w:after="0" w:line="240" w:lineRule="auto"/>
    </w:pPr>
    <w:rPr>
      <w:rFonts w:ascii="Calibri" w:eastAsia="Calibri" w:hAnsi="Calibri" w:cs="Calibri"/>
      <w:color w:val="000000"/>
    </w:rPr>
  </w:style>
  <w:style w:type="paragraph" w:customStyle="1" w:styleId="Heading">
    <w:name w:val="Heading"/>
    <w:next w:val="Normal"/>
    <w:qFormat/>
    <w:rsid w:val="00EA333D"/>
    <w:pPr>
      <w:spacing w:after="0" w:line="240" w:lineRule="auto"/>
      <w:outlineLvl w:val="0"/>
    </w:pPr>
    <w:rPr>
      <w:rFonts w:ascii="Times New Roman" w:eastAsia="Arial Unicode MS" w:hAnsi="Times New Roman" w:cs="Arial Unicode MS"/>
      <w:b/>
      <w:bCs/>
      <w:caps/>
      <w:color w:val="434343"/>
      <w:spacing w:val="4"/>
      <w:lang w:val="en-US" w:eastAsia="en-US"/>
    </w:rPr>
  </w:style>
  <w:style w:type="paragraph" w:customStyle="1" w:styleId="Body2">
    <w:name w:val="Body 2"/>
    <w:rsid w:val="00EA333D"/>
    <w:pPr>
      <w:suppressAutoHyphens/>
      <w:spacing w:after="40" w:line="240" w:lineRule="auto"/>
      <w:jc w:val="both"/>
    </w:pPr>
    <w:rPr>
      <w:rFonts w:ascii="Times New Roman" w:eastAsia="Arial Unicode MS" w:hAnsi="Times New Roman" w:cs="Arial Unicode MS"/>
      <w:color w:val="000000"/>
      <w:lang w:val="en-US" w:eastAsia="en-US"/>
    </w:rPr>
  </w:style>
  <w:style w:type="table" w:styleId="TableGrid0">
    <w:name w:val="Table Grid"/>
    <w:basedOn w:val="TableNormal"/>
    <w:uiPriority w:val="39"/>
    <w:rsid w:val="00EC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A7C7B"/>
  </w:style>
  <w:style w:type="character" w:styleId="Strong">
    <w:name w:val="Strong"/>
    <w:basedOn w:val="DefaultParagraphFont"/>
    <w:uiPriority w:val="22"/>
    <w:qFormat/>
    <w:rsid w:val="0064610D"/>
    <w:rPr>
      <w:b/>
      <w:bCs/>
    </w:rPr>
  </w:style>
  <w:style w:type="paragraph" w:styleId="NormalWeb">
    <w:name w:val="Normal (Web)"/>
    <w:basedOn w:val="Normal"/>
    <w:uiPriority w:val="99"/>
    <w:unhideWhenUsed/>
    <w:rsid w:val="0064610D"/>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9514">
      <w:bodyDiv w:val="1"/>
      <w:marLeft w:val="0"/>
      <w:marRight w:val="0"/>
      <w:marTop w:val="0"/>
      <w:marBottom w:val="0"/>
      <w:divBdr>
        <w:top w:val="none" w:sz="0" w:space="0" w:color="auto"/>
        <w:left w:val="none" w:sz="0" w:space="0" w:color="auto"/>
        <w:bottom w:val="none" w:sz="0" w:space="0" w:color="auto"/>
        <w:right w:val="none" w:sz="0" w:space="0" w:color="auto"/>
      </w:divBdr>
    </w:div>
    <w:div w:id="549733891">
      <w:bodyDiv w:val="1"/>
      <w:marLeft w:val="0"/>
      <w:marRight w:val="0"/>
      <w:marTop w:val="0"/>
      <w:marBottom w:val="0"/>
      <w:divBdr>
        <w:top w:val="none" w:sz="0" w:space="0" w:color="auto"/>
        <w:left w:val="none" w:sz="0" w:space="0" w:color="auto"/>
        <w:bottom w:val="none" w:sz="0" w:space="0" w:color="auto"/>
        <w:right w:val="none" w:sz="0" w:space="0" w:color="auto"/>
      </w:divBdr>
    </w:div>
    <w:div w:id="644430495">
      <w:bodyDiv w:val="1"/>
      <w:marLeft w:val="0"/>
      <w:marRight w:val="0"/>
      <w:marTop w:val="0"/>
      <w:marBottom w:val="0"/>
      <w:divBdr>
        <w:top w:val="none" w:sz="0" w:space="0" w:color="auto"/>
        <w:left w:val="none" w:sz="0" w:space="0" w:color="auto"/>
        <w:bottom w:val="none" w:sz="0" w:space="0" w:color="auto"/>
        <w:right w:val="none" w:sz="0" w:space="0" w:color="auto"/>
      </w:divBdr>
    </w:div>
    <w:div w:id="895091695">
      <w:bodyDiv w:val="1"/>
      <w:marLeft w:val="0"/>
      <w:marRight w:val="0"/>
      <w:marTop w:val="0"/>
      <w:marBottom w:val="0"/>
      <w:divBdr>
        <w:top w:val="none" w:sz="0" w:space="0" w:color="auto"/>
        <w:left w:val="none" w:sz="0" w:space="0" w:color="auto"/>
        <w:bottom w:val="none" w:sz="0" w:space="0" w:color="auto"/>
        <w:right w:val="none" w:sz="0" w:space="0" w:color="auto"/>
      </w:divBdr>
      <w:divsChild>
        <w:div w:id="614678490">
          <w:marLeft w:val="0"/>
          <w:marRight w:val="0"/>
          <w:marTop w:val="0"/>
          <w:marBottom w:val="0"/>
          <w:divBdr>
            <w:top w:val="none" w:sz="0" w:space="0" w:color="auto"/>
            <w:left w:val="none" w:sz="0" w:space="0" w:color="auto"/>
            <w:bottom w:val="none" w:sz="0" w:space="0" w:color="auto"/>
            <w:right w:val="none" w:sz="0" w:space="0" w:color="auto"/>
          </w:divBdr>
        </w:div>
      </w:divsChild>
    </w:div>
    <w:div w:id="1547641072">
      <w:bodyDiv w:val="1"/>
      <w:marLeft w:val="0"/>
      <w:marRight w:val="0"/>
      <w:marTop w:val="0"/>
      <w:marBottom w:val="0"/>
      <w:divBdr>
        <w:top w:val="none" w:sz="0" w:space="0" w:color="auto"/>
        <w:left w:val="none" w:sz="0" w:space="0" w:color="auto"/>
        <w:bottom w:val="none" w:sz="0" w:space="0" w:color="auto"/>
        <w:right w:val="none" w:sz="0" w:space="0" w:color="auto"/>
      </w:divBdr>
      <w:divsChild>
        <w:div w:id="1391033595">
          <w:marLeft w:val="0"/>
          <w:marRight w:val="0"/>
          <w:marTop w:val="0"/>
          <w:marBottom w:val="0"/>
          <w:divBdr>
            <w:top w:val="none" w:sz="0" w:space="0" w:color="auto"/>
            <w:left w:val="none" w:sz="0" w:space="0" w:color="auto"/>
            <w:bottom w:val="none" w:sz="0" w:space="0" w:color="auto"/>
            <w:right w:val="none" w:sz="0" w:space="0" w:color="auto"/>
          </w:divBdr>
        </w:div>
      </w:divsChild>
    </w:div>
    <w:div w:id="1706517457">
      <w:bodyDiv w:val="1"/>
      <w:marLeft w:val="0"/>
      <w:marRight w:val="0"/>
      <w:marTop w:val="0"/>
      <w:marBottom w:val="0"/>
      <w:divBdr>
        <w:top w:val="none" w:sz="0" w:space="0" w:color="auto"/>
        <w:left w:val="none" w:sz="0" w:space="0" w:color="auto"/>
        <w:bottom w:val="none" w:sz="0" w:space="0" w:color="auto"/>
        <w:right w:val="none" w:sz="0" w:space="0" w:color="auto"/>
      </w:divBdr>
      <w:divsChild>
        <w:div w:id="13138273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81E1D-D0F6-4556-B405-BB5D82B0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3132</Words>
  <Characters>1786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Šerkšnaitė</dc:creator>
  <cp:lastModifiedBy>Brigita Šerkšnaitė</cp:lastModifiedBy>
  <cp:revision>2</cp:revision>
  <cp:lastPrinted>2023-03-28T17:24:00Z</cp:lastPrinted>
  <dcterms:created xsi:type="dcterms:W3CDTF">2025-10-08T11:33:00Z</dcterms:created>
  <dcterms:modified xsi:type="dcterms:W3CDTF">2025-10-08T11:33:00Z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2023-04-04T07:43:19Z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9cde50fb-cfdd-44b3-9ee6-0a558b0b75bd</vt:lpwstr>
  </property>
  <property fmtid="{D5CDD505-2E9C-101B-9397-08002B2CF9AE}" pid="8" name="MSIP_Label_a8de25a8-ef47-40a7-b7ec-c38f3edc2acf_ContentBits">
    <vt:lpwstr>0</vt:lpwstr>
  </property>
</Properties>
</file>