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30FF8" w14:textId="1E409258" w:rsidR="00850907" w:rsidRPr="0064610D" w:rsidRDefault="0020692E" w:rsidP="00EA333D">
      <w:pPr>
        <w:pStyle w:val="Heading"/>
        <w:pBdr>
          <w:top w:val="nil"/>
          <w:left w:val="nil"/>
          <w:bottom w:val="nil"/>
          <w:right w:val="nil"/>
          <w:between w:val="nil"/>
          <w:bar w:val="nil"/>
        </w:pBdr>
        <w:spacing w:line="276" w:lineRule="auto"/>
        <w:jc w:val="center"/>
        <w:rPr>
          <w:rFonts w:cs="Times New Roman"/>
          <w:color w:val="auto"/>
          <w:bdr w:val="nil"/>
          <w:lang w:val="lt-LT" w:eastAsia="lt-LT"/>
        </w:rPr>
      </w:pPr>
      <w:bookmarkStart w:id="0" w:name="_GoBack"/>
      <w:bookmarkEnd w:id="0"/>
      <w:r w:rsidRPr="0064610D">
        <w:rPr>
          <w:rFonts w:cs="Times New Roman"/>
          <w:color w:val="auto"/>
          <w:bdr w:val="nil"/>
          <w:lang w:val="lt-LT" w:eastAsia="lt-LT"/>
        </w:rPr>
        <w:t>Lankstūs kaltai</w:t>
      </w:r>
      <w:r w:rsidR="0036089C" w:rsidRPr="0064610D">
        <w:rPr>
          <w:rFonts w:cs="Times New Roman"/>
          <w:color w:val="auto"/>
          <w:bdr w:val="nil"/>
          <w:lang w:val="lt-LT" w:eastAsia="lt-LT"/>
        </w:rPr>
        <w:t xml:space="preserve"> </w:t>
      </w:r>
      <w:r w:rsidR="00850907" w:rsidRPr="0064610D">
        <w:rPr>
          <w:rFonts w:cs="Times New Roman"/>
          <w:color w:val="auto"/>
          <w:bdr w:val="nil"/>
          <w:lang w:val="lt-LT" w:eastAsia="lt-LT"/>
        </w:rPr>
        <w:t>– 1 kompl.</w:t>
      </w:r>
    </w:p>
    <w:p w14:paraId="410FA8AC" w14:textId="77777777" w:rsidR="00EA333D" w:rsidRPr="0064610D" w:rsidRDefault="00EA333D" w:rsidP="00EA333D"/>
    <w:p w14:paraId="71D35C96" w14:textId="0D25271D" w:rsidR="00EA333D" w:rsidRPr="0064610D" w:rsidRDefault="004F15DB" w:rsidP="00EA333D">
      <w:pPr>
        <w:spacing w:after="0" w:line="240" w:lineRule="auto"/>
        <w:ind w:left="-851" w:firstLine="851"/>
        <w:jc w:val="both"/>
        <w:rPr>
          <w:rFonts w:ascii="Times New Roman" w:hAnsi="Times New Roman" w:cs="Times New Roman"/>
          <w:color w:val="auto"/>
          <w:sz w:val="24"/>
          <w:lang w:eastAsia="en-US"/>
        </w:rPr>
      </w:pPr>
      <w:r>
        <w:rPr>
          <w:rFonts w:ascii="Times New Roman" w:hAnsi="Times New Roman" w:cs="Times New Roman"/>
          <w:color w:val="auto"/>
          <w:sz w:val="24"/>
          <w:lang w:eastAsia="en-US"/>
        </w:rPr>
        <w:t>S</w:t>
      </w:r>
      <w:r w:rsidR="00840565">
        <w:rPr>
          <w:rFonts w:ascii="Times New Roman" w:hAnsi="Times New Roman" w:cs="Times New Roman"/>
          <w:color w:val="auto"/>
          <w:sz w:val="24"/>
          <w:lang w:eastAsia="en-US"/>
        </w:rPr>
        <w:t>PECIALIEJI</w:t>
      </w:r>
      <w:r w:rsidR="00EA333D" w:rsidRPr="0064610D">
        <w:rPr>
          <w:rFonts w:ascii="Times New Roman" w:hAnsi="Times New Roman" w:cs="Times New Roman"/>
          <w:color w:val="auto"/>
          <w:sz w:val="24"/>
          <w:lang w:eastAsia="en-US"/>
        </w:rPr>
        <w:t xml:space="preserve"> REIKALAVIMAI:</w:t>
      </w:r>
    </w:p>
    <w:p w14:paraId="5493E6B2" w14:textId="1AF31582"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w:t>
      </w:r>
      <w:r w:rsidR="00505BE6">
        <w:rPr>
          <w:lang w:val="lt-LT"/>
        </w:rPr>
        <w:t xml:space="preserve">su vertimu į lietuvių kalbą </w:t>
      </w:r>
      <w:r w:rsidRPr="0064610D">
        <w:rPr>
          <w:lang w:val="lt-LT"/>
        </w:rPr>
        <w:t xml:space="preserve">(jei gamintojo kataloge neišsamiai atsispindi siūlomos prekės atitikimas techninės specifikacijos reikalavimams) (pdf formatu). Šiuose dokumentuose tiekėjas </w:t>
      </w:r>
      <w:r w:rsidRPr="0064610D">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D">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9060C69" w14:textId="15D72D03" w:rsidR="00EA333D" w:rsidRPr="0064610D" w:rsidRDefault="00840565" w:rsidP="00EA333D">
      <w:pPr>
        <w:pStyle w:val="Body2"/>
        <w:numPr>
          <w:ilvl w:val="0"/>
          <w:numId w:val="6"/>
        </w:numPr>
        <w:pBdr>
          <w:top w:val="nil"/>
          <w:left w:val="nil"/>
          <w:bottom w:val="nil"/>
          <w:right w:val="nil"/>
          <w:between w:val="nil"/>
          <w:bar w:val="nil"/>
        </w:pBdr>
        <w:rPr>
          <w:lang w:val="lt-LT"/>
        </w:rPr>
      </w:pPr>
      <w:r w:rsidRPr="00840565">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816F882"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1719439"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D50172A"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Garantinis laikotarpis:</w:t>
      </w:r>
    </w:p>
    <w:p w14:paraId="4457C829" w14:textId="20304A2B" w:rsidR="00EA333D" w:rsidRPr="0064610D" w:rsidRDefault="00EA333D" w:rsidP="00C10BE2">
      <w:pPr>
        <w:pStyle w:val="Body2"/>
        <w:numPr>
          <w:ilvl w:val="1"/>
          <w:numId w:val="6"/>
        </w:numPr>
        <w:rPr>
          <w:lang w:val="lt-LT"/>
        </w:rPr>
      </w:pPr>
      <w:r w:rsidRPr="0064610D">
        <w:rPr>
          <w:lang w:val="lt-LT"/>
        </w:rPr>
        <w:t>Ne mažiau nei 24 mėn.</w:t>
      </w:r>
    </w:p>
    <w:p w14:paraId="28B76F29" w14:textId="171CE475" w:rsidR="00C10BE2" w:rsidRPr="009C26FB" w:rsidRDefault="00C10BE2" w:rsidP="00C10BE2">
      <w:pPr>
        <w:pStyle w:val="Body2"/>
        <w:ind w:left="360"/>
        <w:rPr>
          <w:lang w:val="lt-LT"/>
        </w:rPr>
      </w:pPr>
      <w:r w:rsidRPr="0064610D">
        <w:rPr>
          <w:lang w:val="lt-LT"/>
        </w:rPr>
        <w:t xml:space="preserve">5.2. Į garantiją įskaičiuotas nemokamai atliekamas įrangos remontas, įskaitant remontui atlikti reikalingas detales bei medžiagas. Reikalavimai netaikomi garantijos sąlygų neatitinkančių gedimų atvejams, kai įranga </w:t>
      </w:r>
      <w:r w:rsidRPr="009C26FB">
        <w:rPr>
          <w:lang w:val="lt-LT"/>
        </w:rPr>
        <w:t>sugenda dėl vartotojo kaltės.</w:t>
      </w:r>
    </w:p>
    <w:p w14:paraId="081B487F" w14:textId="77777777" w:rsidR="00EA333D" w:rsidRPr="009C26FB" w:rsidRDefault="00EA333D" w:rsidP="00EA333D">
      <w:pPr>
        <w:pStyle w:val="Body2"/>
        <w:numPr>
          <w:ilvl w:val="0"/>
          <w:numId w:val="6"/>
        </w:numPr>
        <w:pBdr>
          <w:top w:val="nil"/>
          <w:left w:val="nil"/>
          <w:bottom w:val="nil"/>
          <w:right w:val="nil"/>
          <w:between w:val="nil"/>
          <w:bar w:val="nil"/>
        </w:pBdr>
        <w:rPr>
          <w:lang w:val="lt-LT"/>
        </w:rPr>
      </w:pPr>
      <w:r w:rsidRPr="009C26FB">
        <w:rPr>
          <w:lang w:val="lt-LT"/>
        </w:rPr>
        <w:t>Siūlomos prekės turi būti naujos, nenaudotos, neatnaujintos (net ir gamykliniu būdu).</w:t>
      </w:r>
    </w:p>
    <w:p w14:paraId="7ED2E6C6" w14:textId="1886E3AE" w:rsidR="00EA333D" w:rsidRPr="009C26FB"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9C26FB">
        <w:rPr>
          <w:rFonts w:ascii="Times New Roman" w:eastAsia="Arial Unicode MS" w:hAnsi="Times New Roman" w:cs="Arial Unicode MS"/>
          <w:lang w:eastAsia="en-US"/>
        </w:rPr>
        <w:t>Perkančiajai organizacijai paprašius, tiekėjas pateiks prašomų instrumentų pavyzdžius.</w:t>
      </w:r>
      <w:r w:rsidRPr="009C26FB">
        <w:rPr>
          <w:rFonts w:ascii="Times New Roman" w:eastAsia="Arial Unicode MS" w:hAnsi="Times New Roman" w:cs="Arial Unicode MS"/>
          <w:noProof/>
          <w:lang w:eastAsia="en-US"/>
        </w:rPr>
        <w:drawing>
          <wp:inline distT="0" distB="0" distL="0" distR="0" wp14:anchorId="7BEC45F8" wp14:editId="324527AA">
            <wp:extent cx="4568" cy="4569"/>
            <wp:effectExtent l="0" t="0" r="0" b="0"/>
            <wp:docPr id="465162854" name="Picture 465162854"/>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8"/>
                    <a:stretch>
                      <a:fillRect/>
                    </a:stretch>
                  </pic:blipFill>
                  <pic:spPr>
                    <a:xfrm>
                      <a:off x="0" y="0"/>
                      <a:ext cx="4568" cy="4569"/>
                    </a:xfrm>
                    <a:prstGeom prst="rect">
                      <a:avLst/>
                    </a:prstGeom>
                  </pic:spPr>
                </pic:pic>
              </a:graphicData>
            </a:graphic>
          </wp:inline>
        </w:drawing>
      </w:r>
    </w:p>
    <w:p w14:paraId="329FCE60" w14:textId="433325A7" w:rsidR="00EA333D" w:rsidRPr="009C26FB"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9C26FB">
        <w:rPr>
          <w:rFonts w:ascii="Times New Roman" w:eastAsia="Arial Unicode MS" w:hAnsi="Times New Roman" w:cs="Arial Unicode MS"/>
          <w:lang w:eastAsia="en-US"/>
        </w:rPr>
        <w:t xml:space="preserve">Instrumentai turi būti </w:t>
      </w:r>
      <w:r w:rsidR="0057470D" w:rsidRPr="009C26FB">
        <w:rPr>
          <w:rFonts w:ascii="Times New Roman" w:eastAsia="Arial Unicode MS" w:hAnsi="Times New Roman" w:cs="Arial Unicode MS"/>
          <w:lang w:eastAsia="en-US"/>
        </w:rPr>
        <w:t xml:space="preserve">iš nerūdijančio plieno ir </w:t>
      </w:r>
      <w:r w:rsidRPr="009C26FB">
        <w:rPr>
          <w:rFonts w:ascii="Times New Roman" w:eastAsia="Arial Unicode MS" w:hAnsi="Times New Roman" w:cs="Arial Unicode MS"/>
          <w:lang w:eastAsia="en-US"/>
        </w:rPr>
        <w:t>iki galo apdirbti (be aštrių ar vizualiai matomų neapdirbtų instrumento dalių).</w:t>
      </w:r>
    </w:p>
    <w:p w14:paraId="4FF5C680" w14:textId="77777777" w:rsidR="00EA333D" w:rsidRPr="009C26FB"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9C26FB">
        <w:rPr>
          <w:rFonts w:ascii="Times New Roman" w:eastAsia="Arial Unicode MS" w:hAnsi="Times New Roman" w:cs="Arial Unicode MS"/>
          <w:lang w:eastAsia="en-US"/>
        </w:rPr>
        <w:t>Instrumentų paviršiai turi būti neblizgūs (matiniai), bet neturi būti dengti matine plėvele, ar kitu dangalu, kuris gali nusilupti.</w:t>
      </w:r>
    </w:p>
    <w:p w14:paraId="37257F3E" w14:textId="2D94FE90" w:rsidR="00D51033" w:rsidRPr="009C26FB" w:rsidRDefault="00D51033" w:rsidP="00EA333D">
      <w:pPr>
        <w:pStyle w:val="ListParagraph"/>
        <w:numPr>
          <w:ilvl w:val="0"/>
          <w:numId w:val="6"/>
        </w:numPr>
        <w:spacing w:after="5" w:line="267" w:lineRule="auto"/>
        <w:rPr>
          <w:rFonts w:ascii="Times New Roman" w:eastAsia="Arial Unicode MS" w:hAnsi="Times New Roman" w:cs="Arial Unicode MS"/>
          <w:lang w:eastAsia="en-US"/>
        </w:rPr>
      </w:pPr>
      <w:r w:rsidRPr="009C26FB">
        <w:rPr>
          <w:rFonts w:ascii="Times New Roman" w:eastAsia="Arial Unicode MS" w:hAnsi="Times New Roman" w:cs="Arial Unicode MS"/>
          <w:lang w:eastAsia="en-US"/>
        </w:rPr>
        <w:t>Būtinas siūlomų instrumentų žymėjimas CE ženklu ilgalaikio žymėjimo būdu - lazeriniu išgraviravimu.</w:t>
      </w:r>
    </w:p>
    <w:p w14:paraId="1F1BF39A" w14:textId="77777777" w:rsidR="00EA333D" w:rsidRPr="009C26FB"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9C26FB">
        <w:rPr>
          <w:rFonts w:ascii="Times New Roman" w:eastAsia="Arial Unicode MS" w:hAnsi="Times New Roman" w:cs="Arial Unicode MS"/>
          <w:lang w:eastAsia="en-US"/>
        </w:rPr>
        <w:t>Instrumentai turi būti skirti daugkartiniam naudojimui, tinkami plovimui automatinėse instrumentų plovimo-dezinfekavimo mašinose ir sterilizavimui. Privaloma pateikti gamintojo cheminės pasyvacijos sertifikatus ar gamintojo deklaraciją.</w:t>
      </w:r>
    </w:p>
    <w:p w14:paraId="560CB746" w14:textId="77777777" w:rsidR="00EA333D" w:rsidRPr="0064610D" w:rsidRDefault="00EA333D" w:rsidP="00EA333D">
      <w:pPr>
        <w:pStyle w:val="Body2"/>
        <w:pBdr>
          <w:top w:val="nil"/>
          <w:left w:val="nil"/>
          <w:bottom w:val="nil"/>
          <w:right w:val="nil"/>
          <w:between w:val="nil"/>
          <w:bar w:val="nil"/>
        </w:pBdr>
        <w:ind w:left="360"/>
        <w:rPr>
          <w:highlight w:val="red"/>
          <w:lang w:val="lt-LT"/>
        </w:rPr>
      </w:pPr>
    </w:p>
    <w:p w14:paraId="44CE37D3" w14:textId="77777777" w:rsidR="00EA333D" w:rsidRPr="0064610D" w:rsidRDefault="00EA333D" w:rsidP="00EA333D">
      <w:pPr>
        <w:rPr>
          <w:highlight w:val="red"/>
        </w:rPr>
      </w:pPr>
    </w:p>
    <w:p w14:paraId="172E92E8" w14:textId="77777777" w:rsidR="002E3F63" w:rsidRPr="0064610D" w:rsidRDefault="002E3F63" w:rsidP="001E5425">
      <w:pPr>
        <w:spacing w:after="133"/>
        <w:ind w:right="-269"/>
        <w:jc w:val="center"/>
        <w:rPr>
          <w:rFonts w:ascii="Times New Roman" w:eastAsia="Times New Roman" w:hAnsi="Times New Roman" w:cs="Times New Roman"/>
          <w:b/>
          <w:bCs/>
          <w:sz w:val="24"/>
          <w:szCs w:val="24"/>
          <w:highlight w:val="red"/>
        </w:rPr>
      </w:pPr>
    </w:p>
    <w:p w14:paraId="5256EECE" w14:textId="77777777" w:rsidR="00EA333D" w:rsidRPr="0064610D" w:rsidRDefault="00EA333D" w:rsidP="001E5425">
      <w:pPr>
        <w:spacing w:after="133"/>
        <w:ind w:right="-269"/>
        <w:jc w:val="center"/>
        <w:rPr>
          <w:rFonts w:ascii="Times New Roman" w:eastAsia="Times New Roman" w:hAnsi="Times New Roman" w:cs="Times New Roman"/>
          <w:b/>
          <w:bCs/>
          <w:sz w:val="24"/>
          <w:szCs w:val="24"/>
          <w:highlight w:val="red"/>
        </w:rPr>
      </w:pPr>
    </w:p>
    <w:p w14:paraId="5F211F91" w14:textId="77777777" w:rsidR="00EA333D" w:rsidRPr="0064610D" w:rsidRDefault="00EA333D" w:rsidP="001E5425">
      <w:pPr>
        <w:spacing w:after="133"/>
        <w:ind w:right="-269"/>
        <w:jc w:val="center"/>
        <w:rPr>
          <w:rFonts w:ascii="Times New Roman" w:eastAsia="Times New Roman" w:hAnsi="Times New Roman" w:cs="Times New Roman"/>
          <w:b/>
          <w:bCs/>
          <w:sz w:val="24"/>
          <w:szCs w:val="24"/>
          <w:highlight w:val="red"/>
        </w:rPr>
      </w:pPr>
    </w:p>
    <w:p w14:paraId="273666D0" w14:textId="77777777" w:rsidR="004E5640" w:rsidRPr="0064610D" w:rsidRDefault="004E5640" w:rsidP="004E5640">
      <w:pPr>
        <w:spacing w:after="0"/>
        <w:rPr>
          <w:rFonts w:ascii="Times New Roman" w:eastAsia="Times New Roman" w:hAnsi="Times New Roman" w:cs="Times New Roman"/>
          <w:sz w:val="24"/>
          <w:szCs w:val="24"/>
        </w:rPr>
      </w:pPr>
    </w:p>
    <w:p w14:paraId="570641B2" w14:textId="77777777" w:rsidR="00EC03C9" w:rsidRPr="0064610D" w:rsidRDefault="00EC03C9" w:rsidP="004E5640">
      <w:pPr>
        <w:spacing w:after="0"/>
        <w:rPr>
          <w:rFonts w:ascii="Times New Roman" w:eastAsia="Times New Roman" w:hAnsi="Times New Roman" w:cs="Times New Roman"/>
          <w:sz w:val="24"/>
          <w:szCs w:val="24"/>
        </w:rPr>
      </w:pPr>
    </w:p>
    <w:p w14:paraId="49CF8BC5" w14:textId="77777777" w:rsidR="00EC03C9" w:rsidRPr="0064610D" w:rsidRDefault="00EC03C9" w:rsidP="004E5640">
      <w:pPr>
        <w:spacing w:after="0"/>
        <w:rPr>
          <w:rFonts w:ascii="Times New Roman" w:eastAsia="Times New Roman" w:hAnsi="Times New Roman" w:cs="Times New Roman"/>
          <w:sz w:val="24"/>
          <w:szCs w:val="24"/>
        </w:rPr>
      </w:pPr>
    </w:p>
    <w:tbl>
      <w:tblPr>
        <w:tblStyle w:val="TableGrid0"/>
        <w:tblW w:w="10060" w:type="dxa"/>
        <w:tblLook w:val="04A0" w:firstRow="1" w:lastRow="0" w:firstColumn="1" w:lastColumn="0" w:noHBand="0" w:noVBand="1"/>
      </w:tblPr>
      <w:tblGrid>
        <w:gridCol w:w="673"/>
        <w:gridCol w:w="1892"/>
        <w:gridCol w:w="3871"/>
        <w:gridCol w:w="2631"/>
        <w:gridCol w:w="993"/>
      </w:tblGrid>
      <w:tr w:rsidR="008C58A4" w:rsidRPr="0064610D" w14:paraId="4B036178" w14:textId="77777777" w:rsidTr="008C58A4">
        <w:tc>
          <w:tcPr>
            <w:tcW w:w="673" w:type="dxa"/>
          </w:tcPr>
          <w:p w14:paraId="1FC8C5C6" w14:textId="0227D69E" w:rsidR="008C58A4" w:rsidRPr="0064610D" w:rsidRDefault="008C58A4" w:rsidP="0057470D">
            <w:pPr>
              <w:jc w:val="center"/>
              <w:rPr>
                <w:rFonts w:ascii="Times New Roman" w:hAnsi="Times New Roman" w:cs="Times New Roman"/>
                <w:b/>
                <w:bCs/>
              </w:rPr>
            </w:pPr>
            <w:r w:rsidRPr="0064610D">
              <w:rPr>
                <w:rFonts w:ascii="Times New Roman" w:eastAsia="Times New Roman" w:hAnsi="Times New Roman" w:cs="Times New Roman"/>
                <w:b/>
                <w:bCs/>
              </w:rPr>
              <w:t>Eil.</w:t>
            </w:r>
            <w:r w:rsidRPr="0064610D">
              <w:rPr>
                <w:rFonts w:ascii="Times New Roman" w:hAnsi="Times New Roman" w:cs="Times New Roman"/>
                <w:b/>
                <w:bCs/>
              </w:rPr>
              <w:t xml:space="preserve"> </w:t>
            </w:r>
            <w:r w:rsidRPr="0064610D">
              <w:rPr>
                <w:rFonts w:ascii="Times New Roman" w:eastAsia="Times New Roman" w:hAnsi="Times New Roman" w:cs="Times New Roman"/>
                <w:b/>
                <w:bCs/>
              </w:rPr>
              <w:t>Nr.</w:t>
            </w:r>
          </w:p>
        </w:tc>
        <w:tc>
          <w:tcPr>
            <w:tcW w:w="1892" w:type="dxa"/>
          </w:tcPr>
          <w:p w14:paraId="7458078E" w14:textId="4AF8BDDC" w:rsidR="008C58A4" w:rsidRPr="0064610D" w:rsidRDefault="008C58A4"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Pavadinimas</w:t>
            </w:r>
          </w:p>
        </w:tc>
        <w:tc>
          <w:tcPr>
            <w:tcW w:w="3871" w:type="dxa"/>
          </w:tcPr>
          <w:p w14:paraId="7026CF7D" w14:textId="003B3F21" w:rsidR="008C58A4" w:rsidRPr="0064610D" w:rsidRDefault="008C58A4" w:rsidP="00EC03C9">
            <w:pPr>
              <w:jc w:val="center"/>
              <w:rPr>
                <w:rFonts w:ascii="Times New Roman" w:eastAsia="Times New Roman" w:hAnsi="Times New Roman" w:cs="Times New Roman"/>
              </w:rPr>
            </w:pPr>
            <w:r w:rsidRPr="0064610D">
              <w:rPr>
                <w:rFonts w:ascii="Times New Roman" w:hAnsi="Times New Roman" w:cs="Times New Roman"/>
                <w:b/>
                <w:bCs/>
              </w:rPr>
              <w:t>Techniniai parametrai</w:t>
            </w:r>
          </w:p>
        </w:tc>
        <w:tc>
          <w:tcPr>
            <w:tcW w:w="2631" w:type="dxa"/>
          </w:tcPr>
          <w:p w14:paraId="508DDC3B" w14:textId="39BFED86" w:rsidR="008C58A4" w:rsidRPr="0064610D" w:rsidRDefault="008C58A4"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Siūloma parametro reikšmė</w:t>
            </w:r>
          </w:p>
        </w:tc>
        <w:tc>
          <w:tcPr>
            <w:tcW w:w="993" w:type="dxa"/>
          </w:tcPr>
          <w:p w14:paraId="6D46AA62" w14:textId="4D611E93" w:rsidR="008C58A4" w:rsidRPr="0064610D" w:rsidRDefault="008C58A4"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Kodas</w:t>
            </w:r>
          </w:p>
        </w:tc>
      </w:tr>
      <w:tr w:rsidR="008C58A4" w:rsidRPr="0064610D" w14:paraId="14A0FB2F" w14:textId="77777777" w:rsidTr="008C58A4">
        <w:tc>
          <w:tcPr>
            <w:tcW w:w="673" w:type="dxa"/>
          </w:tcPr>
          <w:p w14:paraId="04465FBD" w14:textId="77777777" w:rsidR="008C58A4" w:rsidRPr="0064610D" w:rsidRDefault="008C58A4" w:rsidP="0064610D">
            <w:pPr>
              <w:pStyle w:val="ListParagraph"/>
              <w:numPr>
                <w:ilvl w:val="0"/>
                <w:numId w:val="10"/>
              </w:numPr>
              <w:ind w:left="360"/>
              <w:jc w:val="center"/>
              <w:rPr>
                <w:rFonts w:ascii="Times New Roman" w:hAnsi="Times New Roman" w:cs="Times New Roman"/>
              </w:rPr>
            </w:pPr>
          </w:p>
        </w:tc>
        <w:tc>
          <w:tcPr>
            <w:tcW w:w="1892" w:type="dxa"/>
          </w:tcPr>
          <w:p w14:paraId="1AD39221" w14:textId="1CA7607B" w:rsidR="008C58A4" w:rsidRPr="0064610D" w:rsidRDefault="008C58A4" w:rsidP="0064610D">
            <w:pPr>
              <w:ind w:left="46"/>
              <w:rPr>
                <w:rFonts w:ascii="Times New Roman" w:hAnsi="Times New Roman" w:cs="Times New Roman"/>
              </w:rPr>
            </w:pPr>
            <w:r w:rsidRPr="0064610D">
              <w:rPr>
                <w:rFonts w:ascii="Times New Roman" w:hAnsi="Times New Roman" w:cs="Times New Roman"/>
              </w:rPr>
              <w:t>Vienkartinės osteotomo geležtės (ašmenys), suderinamos su universalia osteotomo rankena</w:t>
            </w:r>
          </w:p>
        </w:tc>
        <w:tc>
          <w:tcPr>
            <w:tcW w:w="3871" w:type="dxa"/>
          </w:tcPr>
          <w:p w14:paraId="4199C5DE" w14:textId="2A0CCA26" w:rsidR="008C58A4" w:rsidRPr="0064610D" w:rsidRDefault="008C58A4" w:rsidP="0064610D">
            <w:pPr>
              <w:rPr>
                <w:rFonts w:ascii="Times New Roman" w:hAnsi="Times New Roman" w:cs="Times New Roman"/>
              </w:rPr>
            </w:pPr>
            <w:r w:rsidRPr="0064610D">
              <w:rPr>
                <w:rFonts w:ascii="Times New Roman" w:hAnsi="Times New Roman" w:cs="Times New Roman"/>
              </w:rPr>
              <w:t>Būtina</w:t>
            </w:r>
          </w:p>
        </w:tc>
        <w:tc>
          <w:tcPr>
            <w:tcW w:w="2631" w:type="dxa"/>
            <w:vAlign w:val="bottom"/>
          </w:tcPr>
          <w:p w14:paraId="5710D99D" w14:textId="77777777" w:rsidR="008C58A4" w:rsidRPr="0064610D" w:rsidRDefault="008C58A4" w:rsidP="0057470D">
            <w:pPr>
              <w:rPr>
                <w:rFonts w:ascii="Times New Roman" w:eastAsia="Times New Roman" w:hAnsi="Times New Roman" w:cs="Times New Roman"/>
              </w:rPr>
            </w:pPr>
          </w:p>
        </w:tc>
        <w:tc>
          <w:tcPr>
            <w:tcW w:w="993" w:type="dxa"/>
            <w:vAlign w:val="bottom"/>
          </w:tcPr>
          <w:p w14:paraId="3C794D8D" w14:textId="77777777" w:rsidR="008C58A4" w:rsidRPr="0064610D" w:rsidRDefault="008C58A4" w:rsidP="0057470D">
            <w:pPr>
              <w:rPr>
                <w:rFonts w:ascii="Times New Roman" w:eastAsia="Times New Roman" w:hAnsi="Times New Roman" w:cs="Times New Roman"/>
              </w:rPr>
            </w:pPr>
          </w:p>
        </w:tc>
      </w:tr>
      <w:tr w:rsidR="008C58A4" w:rsidRPr="0064610D" w14:paraId="23B08D98" w14:textId="77777777" w:rsidTr="008C58A4">
        <w:tc>
          <w:tcPr>
            <w:tcW w:w="673" w:type="dxa"/>
          </w:tcPr>
          <w:p w14:paraId="29464E6A" w14:textId="77777777" w:rsidR="008C58A4" w:rsidRPr="0064610D" w:rsidRDefault="008C58A4" w:rsidP="0064610D">
            <w:pPr>
              <w:pStyle w:val="ListParagraph"/>
              <w:numPr>
                <w:ilvl w:val="0"/>
                <w:numId w:val="10"/>
              </w:numPr>
              <w:ind w:left="360"/>
              <w:jc w:val="center"/>
              <w:rPr>
                <w:rFonts w:ascii="Times New Roman" w:hAnsi="Times New Roman" w:cs="Times New Roman"/>
              </w:rPr>
            </w:pPr>
          </w:p>
        </w:tc>
        <w:tc>
          <w:tcPr>
            <w:tcW w:w="1892" w:type="dxa"/>
          </w:tcPr>
          <w:p w14:paraId="093B0949" w14:textId="10163802" w:rsidR="008C58A4" w:rsidRPr="0064610D" w:rsidRDefault="008C58A4" w:rsidP="0064610D">
            <w:pPr>
              <w:ind w:left="46"/>
              <w:rPr>
                <w:rFonts w:ascii="Times New Roman" w:hAnsi="Times New Roman" w:cs="Times New Roman"/>
              </w:rPr>
            </w:pPr>
            <w:r w:rsidRPr="0064610D">
              <w:rPr>
                <w:rFonts w:ascii="Times New Roman" w:hAnsi="Times New Roman" w:cs="Times New Roman"/>
              </w:rPr>
              <w:t>Paskirtis</w:t>
            </w:r>
          </w:p>
        </w:tc>
        <w:tc>
          <w:tcPr>
            <w:tcW w:w="3871" w:type="dxa"/>
          </w:tcPr>
          <w:p w14:paraId="38DFE1A7" w14:textId="1CC375D7" w:rsidR="008C58A4" w:rsidRPr="0064610D" w:rsidRDefault="008C58A4" w:rsidP="0064610D">
            <w:pPr>
              <w:rPr>
                <w:rFonts w:ascii="Times New Roman" w:hAnsi="Times New Roman" w:cs="Times New Roman"/>
              </w:rPr>
            </w:pPr>
            <w:r w:rsidRPr="0064610D">
              <w:rPr>
                <w:rFonts w:ascii="Times New Roman" w:hAnsi="Times New Roman" w:cs="Times New Roman"/>
              </w:rPr>
              <w:t>Naudojamos ortopedinėse operacijose implantų atlaisvinimui nuo cemento ar kaulo. Ašmenys skirti naudoti su jau turima universalia osteotomo rankena.</w:t>
            </w:r>
          </w:p>
        </w:tc>
        <w:tc>
          <w:tcPr>
            <w:tcW w:w="2631" w:type="dxa"/>
            <w:vAlign w:val="bottom"/>
          </w:tcPr>
          <w:p w14:paraId="66F336CD" w14:textId="77777777" w:rsidR="008C58A4" w:rsidRPr="0064610D" w:rsidRDefault="008C58A4" w:rsidP="0057470D">
            <w:pPr>
              <w:rPr>
                <w:rFonts w:ascii="Times New Roman" w:eastAsia="Times New Roman" w:hAnsi="Times New Roman" w:cs="Times New Roman"/>
              </w:rPr>
            </w:pPr>
          </w:p>
        </w:tc>
        <w:tc>
          <w:tcPr>
            <w:tcW w:w="993" w:type="dxa"/>
            <w:vAlign w:val="bottom"/>
          </w:tcPr>
          <w:p w14:paraId="1B8A4CC9" w14:textId="77777777" w:rsidR="008C58A4" w:rsidRPr="0064610D" w:rsidRDefault="008C58A4" w:rsidP="0057470D">
            <w:pPr>
              <w:rPr>
                <w:rFonts w:ascii="Times New Roman" w:eastAsia="Times New Roman" w:hAnsi="Times New Roman" w:cs="Times New Roman"/>
              </w:rPr>
            </w:pPr>
          </w:p>
        </w:tc>
      </w:tr>
      <w:tr w:rsidR="008C58A4" w:rsidRPr="0064610D" w14:paraId="6BFE5B6B" w14:textId="77777777" w:rsidTr="008C58A4">
        <w:tc>
          <w:tcPr>
            <w:tcW w:w="673" w:type="dxa"/>
          </w:tcPr>
          <w:p w14:paraId="7E6EA1C7" w14:textId="77777777" w:rsidR="008C58A4" w:rsidRPr="0064610D" w:rsidRDefault="008C58A4" w:rsidP="0064610D">
            <w:pPr>
              <w:pStyle w:val="ListParagraph"/>
              <w:numPr>
                <w:ilvl w:val="0"/>
                <w:numId w:val="10"/>
              </w:numPr>
              <w:ind w:left="360"/>
              <w:jc w:val="center"/>
              <w:rPr>
                <w:rFonts w:ascii="Times New Roman" w:hAnsi="Times New Roman" w:cs="Times New Roman"/>
              </w:rPr>
            </w:pPr>
          </w:p>
        </w:tc>
        <w:tc>
          <w:tcPr>
            <w:tcW w:w="1892" w:type="dxa"/>
          </w:tcPr>
          <w:p w14:paraId="75415A48" w14:textId="0245B7EA" w:rsidR="008C58A4" w:rsidRPr="0064610D" w:rsidRDefault="008C58A4" w:rsidP="0064610D">
            <w:pPr>
              <w:ind w:left="46"/>
              <w:rPr>
                <w:rFonts w:ascii="Times New Roman" w:hAnsi="Times New Roman" w:cs="Times New Roman"/>
              </w:rPr>
            </w:pPr>
            <w:r w:rsidRPr="0064610D">
              <w:rPr>
                <w:rFonts w:ascii="Times New Roman" w:hAnsi="Times New Roman" w:cs="Times New Roman"/>
              </w:rPr>
              <w:t>Rankena</w:t>
            </w:r>
          </w:p>
        </w:tc>
        <w:tc>
          <w:tcPr>
            <w:tcW w:w="3871" w:type="dxa"/>
          </w:tcPr>
          <w:p w14:paraId="2C3824F1" w14:textId="344A9D15" w:rsidR="008C58A4" w:rsidRPr="0064610D" w:rsidRDefault="008C58A4" w:rsidP="0064610D">
            <w:pPr>
              <w:pStyle w:val="NormalWeb"/>
              <w:numPr>
                <w:ilvl w:val="0"/>
                <w:numId w:val="7"/>
              </w:numPr>
              <w:ind w:left="360"/>
              <w:rPr>
                <w:rFonts w:eastAsia="Calibri"/>
                <w:color w:val="000000"/>
                <w:sz w:val="22"/>
                <w:szCs w:val="22"/>
                <w:lang w:val="lt-LT" w:eastAsia="lt-LT"/>
              </w:rPr>
            </w:pPr>
            <w:r w:rsidRPr="0064610D">
              <w:rPr>
                <w:rFonts w:eastAsia="Calibri"/>
                <w:color w:val="000000"/>
                <w:sz w:val="22"/>
                <w:szCs w:val="22"/>
                <w:lang w:val="lt-LT" w:eastAsia="lt-LT"/>
              </w:rPr>
              <w:t>Rankenos tipas: Modulinė rankena su mygtuku (greito fiksavimo/atleidimo mechanizmu)</w:t>
            </w:r>
          </w:p>
          <w:p w14:paraId="00EDF31E" w14:textId="77777777" w:rsidR="008C58A4" w:rsidRPr="0064610D" w:rsidRDefault="008C58A4" w:rsidP="0064610D">
            <w:pPr>
              <w:pStyle w:val="NormalWeb"/>
              <w:numPr>
                <w:ilvl w:val="0"/>
                <w:numId w:val="7"/>
              </w:numPr>
              <w:ind w:left="360"/>
              <w:rPr>
                <w:rFonts w:eastAsia="Calibri"/>
                <w:color w:val="000000"/>
                <w:sz w:val="22"/>
                <w:szCs w:val="22"/>
                <w:lang w:val="lt-LT" w:eastAsia="lt-LT"/>
              </w:rPr>
            </w:pPr>
            <w:r w:rsidRPr="0064610D">
              <w:rPr>
                <w:rFonts w:eastAsia="Calibri"/>
                <w:color w:val="000000"/>
                <w:sz w:val="22"/>
                <w:szCs w:val="22"/>
                <w:lang w:val="lt-LT" w:eastAsia="lt-LT"/>
              </w:rPr>
              <w:t>Paviršius: Grublėtas, neslystantis, ergonomiškas.</w:t>
            </w:r>
          </w:p>
          <w:p w14:paraId="439476E7" w14:textId="77777777" w:rsidR="008C58A4" w:rsidRPr="0064610D" w:rsidRDefault="008C58A4" w:rsidP="0064610D">
            <w:pPr>
              <w:pStyle w:val="NormalWeb"/>
              <w:numPr>
                <w:ilvl w:val="0"/>
                <w:numId w:val="7"/>
              </w:numPr>
              <w:ind w:left="360"/>
              <w:rPr>
                <w:rFonts w:eastAsia="Calibri"/>
                <w:color w:val="000000"/>
                <w:sz w:val="22"/>
                <w:szCs w:val="22"/>
                <w:lang w:val="lt-LT" w:eastAsia="lt-LT"/>
              </w:rPr>
            </w:pPr>
            <w:r w:rsidRPr="0064610D">
              <w:rPr>
                <w:rFonts w:eastAsia="Calibri"/>
                <w:color w:val="000000"/>
                <w:sz w:val="22"/>
                <w:szCs w:val="22"/>
                <w:lang w:val="lt-LT" w:eastAsia="lt-LT"/>
              </w:rPr>
              <w:t>Fiksavimo mechanizmas: Greito sujungimo / atleidimo ("quick-coupling positive-locking") su mygtuku – leidžia greitai ir saugiai keisti osteotomo geležtes</w:t>
            </w:r>
          </w:p>
          <w:p w14:paraId="67317A42" w14:textId="623347C7" w:rsidR="008C58A4" w:rsidRPr="0064610D" w:rsidRDefault="008C58A4" w:rsidP="00B37013">
            <w:pPr>
              <w:pStyle w:val="NormalWeb"/>
              <w:numPr>
                <w:ilvl w:val="0"/>
                <w:numId w:val="7"/>
              </w:numPr>
              <w:spacing w:before="0" w:beforeAutospacing="0" w:after="0" w:afterAutospacing="0"/>
              <w:ind w:left="360"/>
              <w:rPr>
                <w:rFonts w:eastAsia="Calibri"/>
                <w:color w:val="000000"/>
                <w:sz w:val="22"/>
                <w:szCs w:val="22"/>
                <w:lang w:val="lt-LT" w:eastAsia="lt-LT"/>
              </w:rPr>
            </w:pPr>
            <w:r w:rsidRPr="0064610D">
              <w:rPr>
                <w:rFonts w:eastAsia="Calibri"/>
                <w:color w:val="000000"/>
                <w:sz w:val="22"/>
                <w:szCs w:val="22"/>
                <w:lang w:val="lt-LT" w:eastAsia="lt-LT"/>
              </w:rPr>
              <w:t>Suderinama su slap-hammer (atatrankiniu plaktuku): rankenos galas yra srieginis, pritaikytas atatrankos įrankio prisukimui.</w:t>
            </w:r>
          </w:p>
        </w:tc>
        <w:tc>
          <w:tcPr>
            <w:tcW w:w="2631" w:type="dxa"/>
            <w:vAlign w:val="bottom"/>
          </w:tcPr>
          <w:p w14:paraId="6972680A" w14:textId="77777777" w:rsidR="008C58A4" w:rsidRPr="0064610D" w:rsidRDefault="008C58A4" w:rsidP="0057470D">
            <w:pPr>
              <w:rPr>
                <w:rFonts w:ascii="Times New Roman" w:eastAsia="Times New Roman" w:hAnsi="Times New Roman" w:cs="Times New Roman"/>
              </w:rPr>
            </w:pPr>
          </w:p>
        </w:tc>
        <w:tc>
          <w:tcPr>
            <w:tcW w:w="993" w:type="dxa"/>
            <w:vAlign w:val="bottom"/>
          </w:tcPr>
          <w:p w14:paraId="650E2DC2" w14:textId="77777777" w:rsidR="008C58A4" w:rsidRPr="0064610D" w:rsidRDefault="008C58A4" w:rsidP="0057470D">
            <w:pPr>
              <w:rPr>
                <w:rFonts w:ascii="Times New Roman" w:eastAsia="Times New Roman" w:hAnsi="Times New Roman" w:cs="Times New Roman"/>
              </w:rPr>
            </w:pPr>
          </w:p>
        </w:tc>
      </w:tr>
      <w:tr w:rsidR="008C58A4" w:rsidRPr="0064610D" w14:paraId="3A80252E" w14:textId="77777777" w:rsidTr="008C58A4">
        <w:tc>
          <w:tcPr>
            <w:tcW w:w="673" w:type="dxa"/>
          </w:tcPr>
          <w:p w14:paraId="16266346" w14:textId="77777777" w:rsidR="008C58A4" w:rsidRPr="0064610D" w:rsidRDefault="008C58A4" w:rsidP="0064610D">
            <w:pPr>
              <w:pStyle w:val="ListParagraph"/>
              <w:numPr>
                <w:ilvl w:val="0"/>
                <w:numId w:val="10"/>
              </w:numPr>
              <w:ind w:left="360"/>
              <w:jc w:val="center"/>
              <w:rPr>
                <w:rFonts w:ascii="Times New Roman" w:hAnsi="Times New Roman" w:cs="Times New Roman"/>
              </w:rPr>
            </w:pPr>
          </w:p>
        </w:tc>
        <w:tc>
          <w:tcPr>
            <w:tcW w:w="1892" w:type="dxa"/>
          </w:tcPr>
          <w:p w14:paraId="59BB42E1" w14:textId="50F5DC50" w:rsidR="008C58A4" w:rsidRPr="004C48A4" w:rsidRDefault="008C58A4" w:rsidP="0064610D">
            <w:pPr>
              <w:ind w:left="46"/>
              <w:rPr>
                <w:rFonts w:ascii="Times New Roman" w:hAnsi="Times New Roman" w:cs="Times New Roman"/>
              </w:rPr>
            </w:pPr>
            <w:r w:rsidRPr="004C48A4">
              <w:rPr>
                <w:rFonts w:ascii="Times New Roman" w:hAnsi="Times New Roman" w:cs="Times New Roman"/>
              </w:rPr>
              <w:t>Reikalavimai geležtėms</w:t>
            </w:r>
          </w:p>
        </w:tc>
        <w:tc>
          <w:tcPr>
            <w:tcW w:w="3871" w:type="dxa"/>
          </w:tcPr>
          <w:p w14:paraId="7F7BDDBC" w14:textId="74511E11" w:rsidR="008C58A4" w:rsidRPr="00E02F42" w:rsidRDefault="008C58A4" w:rsidP="004C48A4">
            <w:pPr>
              <w:pStyle w:val="NormalWeb"/>
              <w:numPr>
                <w:ilvl w:val="0"/>
                <w:numId w:val="8"/>
              </w:numPr>
              <w:ind w:left="360"/>
              <w:rPr>
                <w:rFonts w:eastAsia="Calibri"/>
                <w:color w:val="000000"/>
                <w:sz w:val="22"/>
                <w:szCs w:val="22"/>
                <w:lang w:val="lt-LT" w:eastAsia="lt-LT"/>
              </w:rPr>
            </w:pPr>
            <w:r w:rsidRPr="0064610D">
              <w:rPr>
                <w:rFonts w:eastAsia="Calibri"/>
                <w:color w:val="000000"/>
                <w:sz w:val="22"/>
                <w:szCs w:val="22"/>
                <w:lang w:val="lt-LT" w:eastAsia="lt-LT"/>
              </w:rPr>
              <w:t>Turi būti</w:t>
            </w:r>
            <w:r w:rsidRPr="0064610D">
              <w:rPr>
                <w:rFonts w:eastAsia="Calibri"/>
                <w:sz w:val="22"/>
                <w:szCs w:val="22"/>
                <w:lang w:val="lt-LT" w:eastAsia="lt-LT"/>
              </w:rPr>
              <w:t> </w:t>
            </w:r>
            <w:r w:rsidRPr="00E02F42">
              <w:rPr>
                <w:rFonts w:eastAsia="Calibri"/>
                <w:sz w:val="22"/>
                <w:szCs w:val="22"/>
                <w:lang w:val="lt-LT" w:eastAsia="lt-LT"/>
              </w:rPr>
              <w:t>vienkartinės, sterilios</w:t>
            </w:r>
            <w:r w:rsidRPr="00E02F42">
              <w:rPr>
                <w:rFonts w:eastAsia="Calibri"/>
                <w:color w:val="000000"/>
                <w:sz w:val="22"/>
                <w:szCs w:val="22"/>
                <w:lang w:val="lt-LT" w:eastAsia="lt-LT"/>
              </w:rPr>
              <w:t>, paruoštos naudojimui.</w:t>
            </w:r>
          </w:p>
          <w:p w14:paraId="4DF661F6" w14:textId="77777777" w:rsidR="008C58A4" w:rsidRPr="00E02F42" w:rsidRDefault="008C58A4" w:rsidP="004C48A4">
            <w:pPr>
              <w:pStyle w:val="NormalWeb"/>
              <w:numPr>
                <w:ilvl w:val="0"/>
                <w:numId w:val="8"/>
              </w:numPr>
              <w:ind w:left="360"/>
              <w:rPr>
                <w:rFonts w:eastAsia="Calibri"/>
                <w:color w:val="000000"/>
                <w:sz w:val="22"/>
                <w:szCs w:val="22"/>
                <w:lang w:val="lt-LT" w:eastAsia="lt-LT"/>
              </w:rPr>
            </w:pPr>
            <w:r w:rsidRPr="00E02F42">
              <w:rPr>
                <w:rFonts w:eastAsia="Calibri"/>
                <w:color w:val="000000"/>
                <w:sz w:val="22"/>
                <w:szCs w:val="22"/>
                <w:lang w:val="lt-LT" w:eastAsia="lt-LT"/>
              </w:rPr>
              <w:t>Geležtės turi būti</w:t>
            </w:r>
            <w:r w:rsidRPr="00E02F42">
              <w:rPr>
                <w:rFonts w:eastAsia="Calibri"/>
                <w:sz w:val="22"/>
                <w:szCs w:val="22"/>
                <w:lang w:val="lt-LT" w:eastAsia="lt-LT"/>
              </w:rPr>
              <w:t> aštrios, lanksčios</w:t>
            </w:r>
            <w:r w:rsidRPr="00E02F42">
              <w:rPr>
                <w:rFonts w:eastAsia="Calibri"/>
                <w:color w:val="000000"/>
                <w:sz w:val="22"/>
                <w:szCs w:val="22"/>
                <w:lang w:val="lt-LT" w:eastAsia="lt-LT"/>
              </w:rPr>
              <w:t>, tinkamos implantų atskyrimui nuo cemento ar priaugusio kaulo</w:t>
            </w:r>
          </w:p>
          <w:p w14:paraId="0018FAF4" w14:textId="77777777" w:rsidR="008C58A4" w:rsidRPr="0064610D" w:rsidRDefault="008C58A4" w:rsidP="004C48A4">
            <w:pPr>
              <w:pStyle w:val="NormalWeb"/>
              <w:numPr>
                <w:ilvl w:val="0"/>
                <w:numId w:val="8"/>
              </w:numPr>
              <w:ind w:left="360"/>
              <w:rPr>
                <w:rFonts w:eastAsia="Calibri"/>
                <w:color w:val="000000"/>
                <w:sz w:val="22"/>
                <w:szCs w:val="22"/>
                <w:lang w:val="lt-LT" w:eastAsia="lt-LT"/>
              </w:rPr>
            </w:pPr>
            <w:r w:rsidRPr="00E02F42">
              <w:rPr>
                <w:rFonts w:eastAsia="Calibri"/>
                <w:color w:val="000000"/>
                <w:sz w:val="22"/>
                <w:szCs w:val="22"/>
                <w:lang w:val="lt-LT" w:eastAsia="lt-LT"/>
              </w:rPr>
              <w:t>Geležtės turi būti</w:t>
            </w:r>
            <w:r w:rsidRPr="00E02F42">
              <w:rPr>
                <w:rFonts w:eastAsia="Calibri"/>
                <w:sz w:val="22"/>
                <w:szCs w:val="22"/>
                <w:lang w:val="lt-LT" w:eastAsia="lt-LT"/>
              </w:rPr>
              <w:t> suderinamos su moduline rankena</w:t>
            </w:r>
            <w:r w:rsidRPr="00E02F42">
              <w:rPr>
                <w:rFonts w:eastAsia="Calibri"/>
                <w:color w:val="000000"/>
                <w:sz w:val="22"/>
                <w:szCs w:val="22"/>
                <w:lang w:val="lt-LT" w:eastAsia="lt-LT"/>
              </w:rPr>
              <w:t>, turinčia</w:t>
            </w:r>
            <w:r w:rsidRPr="00E02F42">
              <w:rPr>
                <w:rFonts w:eastAsia="Calibri"/>
                <w:sz w:val="22"/>
                <w:szCs w:val="22"/>
                <w:lang w:val="lt-LT" w:eastAsia="lt-LT"/>
              </w:rPr>
              <w:t> greito sujungimo fiksavimo mechanizmą </w:t>
            </w:r>
            <w:r w:rsidRPr="00E02F42">
              <w:rPr>
                <w:rFonts w:eastAsia="Calibri"/>
                <w:color w:val="000000"/>
                <w:sz w:val="22"/>
                <w:szCs w:val="22"/>
                <w:lang w:val="lt-LT" w:eastAsia="lt-LT"/>
              </w:rPr>
              <w:t>(quick</w:t>
            </w:r>
            <w:r w:rsidRPr="0064610D">
              <w:rPr>
                <w:rFonts w:eastAsia="Calibri"/>
                <w:color w:val="000000"/>
                <w:sz w:val="22"/>
                <w:szCs w:val="22"/>
                <w:lang w:val="lt-LT" w:eastAsia="lt-LT"/>
              </w:rPr>
              <w:t>-coupling positive-locking)</w:t>
            </w:r>
          </w:p>
          <w:p w14:paraId="59601B49" w14:textId="4E220E8A" w:rsidR="008C58A4" w:rsidRPr="00FE6283" w:rsidRDefault="008C58A4" w:rsidP="00FE6283">
            <w:pPr>
              <w:pStyle w:val="NormalWeb"/>
              <w:numPr>
                <w:ilvl w:val="0"/>
                <w:numId w:val="8"/>
              </w:numPr>
              <w:ind w:left="360"/>
              <w:rPr>
                <w:rFonts w:eastAsia="Calibri"/>
                <w:color w:val="000000"/>
                <w:sz w:val="22"/>
                <w:szCs w:val="22"/>
                <w:lang w:val="lt-LT" w:eastAsia="lt-LT"/>
              </w:rPr>
            </w:pPr>
            <w:r w:rsidRPr="00FE6283">
              <w:rPr>
                <w:rFonts w:eastAsia="Calibri"/>
                <w:sz w:val="22"/>
                <w:szCs w:val="22"/>
                <w:lang w:val="lt-LT" w:eastAsia="lt-LT"/>
              </w:rPr>
              <w:t>Jungties forma: Dviguba šakutė </w:t>
            </w:r>
            <w:r w:rsidRPr="00FE6283">
              <w:rPr>
                <w:rFonts w:eastAsia="Calibri"/>
                <w:color w:val="000000"/>
                <w:sz w:val="22"/>
                <w:szCs w:val="22"/>
                <w:lang w:val="lt-LT" w:eastAsia="lt-LT"/>
              </w:rPr>
              <w:t>su</w:t>
            </w:r>
            <w:r w:rsidRPr="00FE6283">
              <w:rPr>
                <w:rFonts w:eastAsia="Calibri"/>
                <w:sz w:val="22"/>
                <w:szCs w:val="22"/>
                <w:lang w:val="lt-LT" w:eastAsia="lt-LT"/>
              </w:rPr>
              <w:t> pusapvaliu centriniu įpjovimu</w:t>
            </w:r>
            <w:r w:rsidRPr="00FE6283">
              <w:rPr>
                <w:rFonts w:eastAsia="Calibri"/>
                <w:color w:val="000000"/>
                <w:sz w:val="22"/>
                <w:szCs w:val="22"/>
                <w:lang w:val="lt-LT" w:eastAsia="lt-LT"/>
              </w:rPr>
              <w:t>. Abi šakutės (liežuvėliai) yra</w:t>
            </w:r>
            <w:r w:rsidRPr="00FE6283">
              <w:rPr>
                <w:rFonts w:eastAsia="Calibri"/>
                <w:sz w:val="22"/>
                <w:szCs w:val="22"/>
                <w:lang w:val="lt-LT" w:eastAsia="lt-LT"/>
              </w:rPr>
              <w:t> stačiakampio formos </w:t>
            </w:r>
            <w:r w:rsidRPr="00FE6283">
              <w:rPr>
                <w:rFonts w:eastAsia="Calibri"/>
                <w:color w:val="000000"/>
                <w:sz w:val="22"/>
                <w:szCs w:val="22"/>
                <w:lang w:val="lt-LT" w:eastAsia="lt-LT"/>
              </w:rPr>
              <w:t>su užapvalintais galais. Centrinėje dalyje tarp šakučių –</w:t>
            </w:r>
            <w:r w:rsidRPr="00FE6283">
              <w:rPr>
                <w:rFonts w:eastAsia="Calibri"/>
                <w:sz w:val="22"/>
                <w:szCs w:val="22"/>
                <w:lang w:val="lt-LT" w:eastAsia="lt-LT"/>
              </w:rPr>
              <w:t> pusapvalė skylė / griovelis</w:t>
            </w:r>
            <w:r w:rsidRPr="00FE6283">
              <w:rPr>
                <w:rFonts w:eastAsia="Calibri"/>
                <w:color w:val="000000"/>
                <w:sz w:val="22"/>
                <w:szCs w:val="22"/>
                <w:lang w:val="lt-LT" w:eastAsia="lt-LT"/>
              </w:rPr>
              <w:t>, skirta fiksavimo mechanizmo įstatymui ir užrakinimu</w:t>
            </w:r>
          </w:p>
          <w:p w14:paraId="00019266" w14:textId="7F8AAB0C" w:rsidR="008C58A4" w:rsidRPr="00FE6283" w:rsidRDefault="008C58A4" w:rsidP="00FE6283">
            <w:pPr>
              <w:pStyle w:val="NormalWeb"/>
              <w:numPr>
                <w:ilvl w:val="0"/>
                <w:numId w:val="8"/>
              </w:numPr>
              <w:spacing w:after="0" w:afterAutospacing="0"/>
              <w:ind w:left="360"/>
              <w:rPr>
                <w:rFonts w:eastAsia="Calibri"/>
                <w:color w:val="000000"/>
                <w:sz w:val="22"/>
                <w:szCs w:val="22"/>
                <w:lang w:val="lt-LT" w:eastAsia="lt-LT"/>
              </w:rPr>
            </w:pPr>
            <w:r w:rsidRPr="00FE6283">
              <w:rPr>
                <w:rFonts w:eastAsia="Calibri"/>
                <w:color w:val="000000"/>
                <w:sz w:val="22"/>
                <w:szCs w:val="22"/>
                <w:lang w:val="lt-LT" w:eastAsia="lt-LT"/>
              </w:rPr>
              <w:lastRenderedPageBreak/>
              <w:t>Ant kiekvienos geležtės turi būti pažymėta REF kodas ir geležtės plotis</w:t>
            </w:r>
            <w:r>
              <w:rPr>
                <w:rFonts w:eastAsia="Calibri"/>
                <w:color w:val="000000"/>
                <w:sz w:val="22"/>
                <w:szCs w:val="22"/>
                <w:lang w:val="lt-LT" w:eastAsia="lt-LT"/>
              </w:rPr>
              <w:t>.</w:t>
            </w:r>
          </w:p>
        </w:tc>
        <w:tc>
          <w:tcPr>
            <w:tcW w:w="2631" w:type="dxa"/>
            <w:vAlign w:val="bottom"/>
          </w:tcPr>
          <w:p w14:paraId="358B0C21" w14:textId="77777777" w:rsidR="008C58A4" w:rsidRPr="0064610D" w:rsidRDefault="008C58A4" w:rsidP="0057470D">
            <w:pPr>
              <w:rPr>
                <w:rFonts w:ascii="Times New Roman" w:eastAsia="Times New Roman" w:hAnsi="Times New Roman" w:cs="Times New Roman"/>
              </w:rPr>
            </w:pPr>
          </w:p>
        </w:tc>
        <w:tc>
          <w:tcPr>
            <w:tcW w:w="993" w:type="dxa"/>
            <w:vAlign w:val="bottom"/>
          </w:tcPr>
          <w:p w14:paraId="325D25CE" w14:textId="77777777" w:rsidR="008C58A4" w:rsidRPr="0064610D" w:rsidRDefault="008C58A4" w:rsidP="0057470D">
            <w:pPr>
              <w:rPr>
                <w:rFonts w:ascii="Times New Roman" w:eastAsia="Times New Roman" w:hAnsi="Times New Roman" w:cs="Times New Roman"/>
              </w:rPr>
            </w:pPr>
          </w:p>
        </w:tc>
      </w:tr>
      <w:tr w:rsidR="008C58A4" w:rsidRPr="0064610D" w14:paraId="44BA7522" w14:textId="77777777" w:rsidTr="008C58A4">
        <w:tc>
          <w:tcPr>
            <w:tcW w:w="673" w:type="dxa"/>
          </w:tcPr>
          <w:p w14:paraId="2723744A" w14:textId="77777777" w:rsidR="008C58A4" w:rsidRPr="0064610D" w:rsidRDefault="008C58A4" w:rsidP="0064610D">
            <w:pPr>
              <w:pStyle w:val="ListParagraph"/>
              <w:numPr>
                <w:ilvl w:val="0"/>
                <w:numId w:val="10"/>
              </w:numPr>
              <w:ind w:left="360"/>
              <w:jc w:val="center"/>
              <w:rPr>
                <w:rFonts w:ascii="Times New Roman" w:hAnsi="Times New Roman" w:cs="Times New Roman"/>
              </w:rPr>
            </w:pPr>
          </w:p>
        </w:tc>
        <w:tc>
          <w:tcPr>
            <w:tcW w:w="1892" w:type="dxa"/>
          </w:tcPr>
          <w:p w14:paraId="0B523B37" w14:textId="77777777" w:rsidR="008C58A4" w:rsidRDefault="008C58A4" w:rsidP="0064610D">
            <w:pPr>
              <w:ind w:left="46"/>
              <w:rPr>
                <w:rFonts w:ascii="Times New Roman" w:hAnsi="Times New Roman" w:cs="Times New Roman"/>
              </w:rPr>
            </w:pPr>
            <w:r w:rsidRPr="00927DD6">
              <w:rPr>
                <w:rFonts w:ascii="Times New Roman" w:hAnsi="Times New Roman" w:cs="Times New Roman"/>
              </w:rPr>
              <w:t>Reikalaujamos geležčių matmenys:</w:t>
            </w:r>
          </w:p>
          <w:p w14:paraId="1630F63B" w14:textId="1C8E7F4A" w:rsidR="008C58A4" w:rsidRPr="00927DD6" w:rsidRDefault="008C58A4" w:rsidP="0064610D">
            <w:pPr>
              <w:ind w:left="46"/>
              <w:rPr>
                <w:rFonts w:ascii="Times New Roman" w:hAnsi="Times New Roman" w:cs="Times New Roman"/>
              </w:rPr>
            </w:pPr>
            <w:r>
              <w:rPr>
                <w:rFonts w:ascii="Times New Roman" w:hAnsi="Times New Roman" w:cs="Times New Roman"/>
              </w:rPr>
              <w:t xml:space="preserve">Kiekvienos pozicijos po 3 vnt. </w:t>
            </w:r>
          </w:p>
        </w:tc>
        <w:tc>
          <w:tcPr>
            <w:tcW w:w="3871" w:type="dxa"/>
          </w:tcPr>
          <w:p w14:paraId="6F62E383" w14:textId="0224C445" w:rsidR="008C58A4" w:rsidRPr="0064610D" w:rsidRDefault="008C58A4" w:rsidP="0064610D">
            <w:pPr>
              <w:rPr>
                <w:rFonts w:ascii="Times New Roman" w:hAnsi="Times New Roman" w:cs="Times New Roman"/>
              </w:rPr>
            </w:pPr>
            <w:r w:rsidRPr="0064610D">
              <w:rPr>
                <w:rFonts w:ascii="Times New Roman" w:hAnsi="Times New Roman" w:cs="Times New Roman"/>
              </w:rPr>
              <w:t>1. Plonos (Thin), 4 dydžių - 8 mm, 10 mm, 12 mm ir 20 mm pločio.</w:t>
            </w:r>
            <w:r w:rsidRPr="0064610D">
              <w:rPr>
                <w:rFonts w:ascii="Times New Roman" w:hAnsi="Times New Roman" w:cs="Times New Roman"/>
              </w:rPr>
              <w:br/>
              <w:t>2. Lenktos, dviejų dydžių - 12 mm ir 20 mm.</w:t>
            </w:r>
            <w:r w:rsidRPr="0064610D">
              <w:rPr>
                <w:rFonts w:ascii="Times New Roman" w:hAnsi="Times New Roman" w:cs="Times New Roman"/>
              </w:rPr>
              <w:br/>
              <w:t>3. Ilgos, dviejų dydžių - 8 mm ir 10 mm.</w:t>
            </w:r>
          </w:p>
        </w:tc>
        <w:tc>
          <w:tcPr>
            <w:tcW w:w="2631" w:type="dxa"/>
            <w:vAlign w:val="bottom"/>
          </w:tcPr>
          <w:p w14:paraId="1F7AA8D7" w14:textId="77777777" w:rsidR="008C58A4" w:rsidRPr="0064610D" w:rsidRDefault="008C58A4" w:rsidP="0057470D">
            <w:pPr>
              <w:rPr>
                <w:rFonts w:ascii="Times New Roman" w:eastAsia="Times New Roman" w:hAnsi="Times New Roman" w:cs="Times New Roman"/>
              </w:rPr>
            </w:pPr>
          </w:p>
        </w:tc>
        <w:tc>
          <w:tcPr>
            <w:tcW w:w="993" w:type="dxa"/>
            <w:vAlign w:val="bottom"/>
          </w:tcPr>
          <w:p w14:paraId="3FAC014B" w14:textId="77777777" w:rsidR="008C58A4" w:rsidRPr="0064610D" w:rsidRDefault="008C58A4" w:rsidP="0057470D">
            <w:pPr>
              <w:rPr>
                <w:rFonts w:ascii="Times New Roman" w:eastAsia="Times New Roman" w:hAnsi="Times New Roman" w:cs="Times New Roman"/>
              </w:rPr>
            </w:pPr>
          </w:p>
        </w:tc>
      </w:tr>
      <w:tr w:rsidR="008C58A4" w:rsidRPr="0064610D" w14:paraId="0831EA11" w14:textId="77777777" w:rsidTr="008C58A4">
        <w:tc>
          <w:tcPr>
            <w:tcW w:w="673" w:type="dxa"/>
          </w:tcPr>
          <w:p w14:paraId="0A27BEF6" w14:textId="77777777" w:rsidR="008C58A4" w:rsidRPr="0064610D" w:rsidRDefault="008C58A4" w:rsidP="0064610D">
            <w:pPr>
              <w:pStyle w:val="ListParagraph"/>
              <w:numPr>
                <w:ilvl w:val="0"/>
                <w:numId w:val="10"/>
              </w:numPr>
              <w:ind w:left="360"/>
              <w:jc w:val="center"/>
              <w:rPr>
                <w:rFonts w:ascii="Times New Roman" w:hAnsi="Times New Roman" w:cs="Times New Roman"/>
              </w:rPr>
            </w:pPr>
          </w:p>
        </w:tc>
        <w:tc>
          <w:tcPr>
            <w:tcW w:w="1892" w:type="dxa"/>
          </w:tcPr>
          <w:p w14:paraId="60852E84" w14:textId="77777777" w:rsidR="008C58A4" w:rsidRPr="0064610D" w:rsidRDefault="008C58A4" w:rsidP="0064610D">
            <w:pPr>
              <w:ind w:left="46"/>
              <w:rPr>
                <w:rFonts w:ascii="Times New Roman" w:hAnsi="Times New Roman" w:cs="Times New Roman"/>
              </w:rPr>
            </w:pPr>
            <w:r w:rsidRPr="0064610D">
              <w:rPr>
                <w:rFonts w:ascii="Times New Roman" w:hAnsi="Times New Roman" w:cs="Times New Roman"/>
              </w:rPr>
              <w:t>Galimybė rinktis dydžius pagal poreikį.</w:t>
            </w:r>
          </w:p>
          <w:p w14:paraId="31D5878F" w14:textId="77777777" w:rsidR="008C58A4" w:rsidRPr="0064610D" w:rsidRDefault="008C58A4" w:rsidP="0064610D">
            <w:pPr>
              <w:ind w:left="46"/>
              <w:rPr>
                <w:rFonts w:ascii="Times New Roman" w:hAnsi="Times New Roman" w:cs="Times New Roman"/>
                <w:b/>
                <w:bCs/>
              </w:rPr>
            </w:pPr>
          </w:p>
        </w:tc>
        <w:tc>
          <w:tcPr>
            <w:tcW w:w="3871" w:type="dxa"/>
          </w:tcPr>
          <w:p w14:paraId="67BE4885" w14:textId="434FDCE5" w:rsidR="008C58A4" w:rsidRPr="0064610D" w:rsidRDefault="008C58A4" w:rsidP="0064610D">
            <w:pPr>
              <w:ind w:left="46"/>
              <w:rPr>
                <w:rFonts w:ascii="Times New Roman" w:hAnsi="Times New Roman" w:cs="Times New Roman"/>
              </w:rPr>
            </w:pPr>
            <w:r>
              <w:rPr>
                <w:rFonts w:ascii="Times New Roman" w:hAnsi="Times New Roman" w:cs="Times New Roman"/>
              </w:rPr>
              <w:t>Būtina</w:t>
            </w:r>
          </w:p>
        </w:tc>
        <w:tc>
          <w:tcPr>
            <w:tcW w:w="2631" w:type="dxa"/>
            <w:vAlign w:val="bottom"/>
          </w:tcPr>
          <w:p w14:paraId="006A0475" w14:textId="77777777" w:rsidR="008C58A4" w:rsidRPr="0064610D" w:rsidRDefault="008C58A4" w:rsidP="0057470D">
            <w:pPr>
              <w:rPr>
                <w:rFonts w:ascii="Times New Roman" w:eastAsia="Times New Roman" w:hAnsi="Times New Roman" w:cs="Times New Roman"/>
              </w:rPr>
            </w:pPr>
          </w:p>
        </w:tc>
        <w:tc>
          <w:tcPr>
            <w:tcW w:w="993" w:type="dxa"/>
            <w:vAlign w:val="bottom"/>
          </w:tcPr>
          <w:p w14:paraId="7E39BDC3" w14:textId="77777777" w:rsidR="008C58A4" w:rsidRPr="0064610D" w:rsidRDefault="008C58A4" w:rsidP="0057470D">
            <w:pPr>
              <w:rPr>
                <w:rFonts w:ascii="Times New Roman" w:eastAsia="Times New Roman" w:hAnsi="Times New Roman" w:cs="Times New Roman"/>
              </w:rPr>
            </w:pPr>
          </w:p>
        </w:tc>
      </w:tr>
    </w:tbl>
    <w:p w14:paraId="6A0488A4" w14:textId="77777777" w:rsidR="00EC03C9" w:rsidRPr="0064610D" w:rsidRDefault="00EC03C9" w:rsidP="004E5640">
      <w:pPr>
        <w:spacing w:after="0"/>
        <w:rPr>
          <w:rFonts w:ascii="Times New Roman" w:eastAsia="Times New Roman" w:hAnsi="Times New Roman" w:cs="Times New Roman"/>
          <w:sz w:val="24"/>
          <w:szCs w:val="24"/>
        </w:rPr>
      </w:pPr>
    </w:p>
    <w:sectPr w:rsidR="00EC03C9" w:rsidRPr="0064610D" w:rsidSect="00076FED">
      <w:pgSz w:w="12200" w:h="16800"/>
      <w:pgMar w:top="1134" w:right="112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A2A4C" w14:textId="77777777" w:rsidR="0000507D" w:rsidRDefault="0000507D" w:rsidP="001E5425">
      <w:pPr>
        <w:spacing w:after="0" w:line="240" w:lineRule="auto"/>
      </w:pPr>
      <w:r>
        <w:separator/>
      </w:r>
    </w:p>
  </w:endnote>
  <w:endnote w:type="continuationSeparator" w:id="0">
    <w:p w14:paraId="13614B5A" w14:textId="77777777" w:rsidR="0000507D" w:rsidRDefault="0000507D" w:rsidP="001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9CB24" w14:textId="77777777" w:rsidR="0000507D" w:rsidRDefault="0000507D" w:rsidP="001E5425">
      <w:pPr>
        <w:spacing w:after="0" w:line="240" w:lineRule="auto"/>
      </w:pPr>
      <w:r>
        <w:separator/>
      </w:r>
    </w:p>
  </w:footnote>
  <w:footnote w:type="continuationSeparator" w:id="0">
    <w:p w14:paraId="3392AE92" w14:textId="77777777" w:rsidR="0000507D" w:rsidRDefault="0000507D" w:rsidP="001E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filled="t">
        <v:imagedata r:id="rId1" o:title=""/>
        <o:lock v:ext="edit" aspectratio="f"/>
      </v:shape>
    </w:pict>
  </w:numPicBullet>
  <w:abstractNum w:abstractNumId="0"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064E4"/>
    <w:multiLevelType w:val="multilevel"/>
    <w:tmpl w:val="D500F6DC"/>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4735832"/>
    <w:multiLevelType w:val="hybridMultilevel"/>
    <w:tmpl w:val="0AB2D1E0"/>
    <w:lvl w:ilvl="0" w:tplc="FEF23F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BD65E2"/>
    <w:multiLevelType w:val="hybridMultilevel"/>
    <w:tmpl w:val="98B0416A"/>
    <w:lvl w:ilvl="0" w:tplc="B928B6A0">
      <w:start w:val="5"/>
      <w:numFmt w:val="bullet"/>
      <w:lvlText w:val=""/>
      <w:lvlJc w:val="left"/>
      <w:pPr>
        <w:ind w:left="698" w:hanging="360"/>
      </w:pPr>
      <w:rPr>
        <w:rFonts w:ascii="Symbol" w:eastAsia="Times New Roman" w:hAnsi="Symbol" w:cs="Times New Roman"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abstractNum w:abstractNumId="5" w15:restartNumberingAfterBreak="0">
    <w:nsid w:val="5A3C7EC2"/>
    <w:multiLevelType w:val="multilevel"/>
    <w:tmpl w:val="66D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214FC"/>
    <w:multiLevelType w:val="multilevel"/>
    <w:tmpl w:val="65224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1E15A5"/>
    <w:multiLevelType w:val="multilevel"/>
    <w:tmpl w:val="D500F6DC"/>
    <w:lvl w:ilvl="0">
      <w:start w:val="1"/>
      <w:numFmt w:val="decimal"/>
      <w:lvlText w:val="%1."/>
      <w:lvlJc w:val="left"/>
      <w:pPr>
        <w:tabs>
          <w:tab w:val="num" w:pos="644"/>
        </w:tabs>
        <w:ind w:left="644" w:hanging="360"/>
      </w:pPr>
      <w:rPr>
        <w:rFonts w:asciiTheme="minorHAnsi" w:eastAsia="Times New Roman" w:hAnsiTheme="minorHAnsi" w:cs="Times New Roman"/>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69DB4A07"/>
    <w:multiLevelType w:val="multilevel"/>
    <w:tmpl w:val="3F286000"/>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0"/>
  </w:num>
  <w:num w:numId="5">
    <w:abstractNumId w:val="6"/>
  </w:num>
  <w:num w:numId="6">
    <w:abstractNumId w:val="2"/>
  </w:num>
  <w:num w:numId="7">
    <w:abstractNumId w:val="1"/>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7"/>
    <w:rsid w:val="0000507D"/>
    <w:rsid w:val="00021CD2"/>
    <w:rsid w:val="00036727"/>
    <w:rsid w:val="00037CA7"/>
    <w:rsid w:val="00043F3E"/>
    <w:rsid w:val="00046F82"/>
    <w:rsid w:val="000744CE"/>
    <w:rsid w:val="00076FED"/>
    <w:rsid w:val="000A7C7B"/>
    <w:rsid w:val="000C3381"/>
    <w:rsid w:val="000C6D7B"/>
    <w:rsid w:val="000D2B3B"/>
    <w:rsid w:val="00114126"/>
    <w:rsid w:val="00124426"/>
    <w:rsid w:val="00173383"/>
    <w:rsid w:val="00173B1E"/>
    <w:rsid w:val="00194FC5"/>
    <w:rsid w:val="001E5425"/>
    <w:rsid w:val="0020692E"/>
    <w:rsid w:val="00281F0B"/>
    <w:rsid w:val="002B23C3"/>
    <w:rsid w:val="002C3E33"/>
    <w:rsid w:val="002E3F63"/>
    <w:rsid w:val="00322B27"/>
    <w:rsid w:val="00331245"/>
    <w:rsid w:val="00331870"/>
    <w:rsid w:val="003336AA"/>
    <w:rsid w:val="0036089C"/>
    <w:rsid w:val="00363834"/>
    <w:rsid w:val="0036416B"/>
    <w:rsid w:val="00370BAD"/>
    <w:rsid w:val="0037673C"/>
    <w:rsid w:val="00386167"/>
    <w:rsid w:val="00391852"/>
    <w:rsid w:val="00396A37"/>
    <w:rsid w:val="003C0CC5"/>
    <w:rsid w:val="003C7094"/>
    <w:rsid w:val="003E1C91"/>
    <w:rsid w:val="003E671D"/>
    <w:rsid w:val="003E771E"/>
    <w:rsid w:val="003F2CC4"/>
    <w:rsid w:val="003F332A"/>
    <w:rsid w:val="004064D5"/>
    <w:rsid w:val="00411DF7"/>
    <w:rsid w:val="00412BAF"/>
    <w:rsid w:val="00415E7D"/>
    <w:rsid w:val="004220D6"/>
    <w:rsid w:val="0043082F"/>
    <w:rsid w:val="00452AF4"/>
    <w:rsid w:val="00461F7A"/>
    <w:rsid w:val="00467C03"/>
    <w:rsid w:val="00480F8D"/>
    <w:rsid w:val="00490CF1"/>
    <w:rsid w:val="004C48A4"/>
    <w:rsid w:val="004D3EF9"/>
    <w:rsid w:val="004D5F1B"/>
    <w:rsid w:val="004E5640"/>
    <w:rsid w:val="004F15DB"/>
    <w:rsid w:val="004F3728"/>
    <w:rsid w:val="005033EA"/>
    <w:rsid w:val="00505BE6"/>
    <w:rsid w:val="0051076E"/>
    <w:rsid w:val="005124C7"/>
    <w:rsid w:val="0052403F"/>
    <w:rsid w:val="00535D01"/>
    <w:rsid w:val="005366DA"/>
    <w:rsid w:val="00544B01"/>
    <w:rsid w:val="00546C72"/>
    <w:rsid w:val="00557415"/>
    <w:rsid w:val="0055768D"/>
    <w:rsid w:val="00560ACD"/>
    <w:rsid w:val="00561396"/>
    <w:rsid w:val="00562125"/>
    <w:rsid w:val="00570BF8"/>
    <w:rsid w:val="0057470D"/>
    <w:rsid w:val="00585F50"/>
    <w:rsid w:val="005A7DEE"/>
    <w:rsid w:val="005F098D"/>
    <w:rsid w:val="0062014B"/>
    <w:rsid w:val="0064610D"/>
    <w:rsid w:val="006463A5"/>
    <w:rsid w:val="0065285F"/>
    <w:rsid w:val="006B0341"/>
    <w:rsid w:val="006B199D"/>
    <w:rsid w:val="006B4953"/>
    <w:rsid w:val="006C1E38"/>
    <w:rsid w:val="006F1F57"/>
    <w:rsid w:val="00707384"/>
    <w:rsid w:val="0073180B"/>
    <w:rsid w:val="00737422"/>
    <w:rsid w:val="00737DBF"/>
    <w:rsid w:val="00787C49"/>
    <w:rsid w:val="007A05E7"/>
    <w:rsid w:val="007B30D6"/>
    <w:rsid w:val="007E6096"/>
    <w:rsid w:val="00817B5B"/>
    <w:rsid w:val="00840565"/>
    <w:rsid w:val="0084725B"/>
    <w:rsid w:val="00850907"/>
    <w:rsid w:val="0086793F"/>
    <w:rsid w:val="00867D66"/>
    <w:rsid w:val="008719CD"/>
    <w:rsid w:val="008748C4"/>
    <w:rsid w:val="00876A74"/>
    <w:rsid w:val="00892F03"/>
    <w:rsid w:val="008C48E0"/>
    <w:rsid w:val="008C58A4"/>
    <w:rsid w:val="008F6774"/>
    <w:rsid w:val="00902A63"/>
    <w:rsid w:val="00927DD6"/>
    <w:rsid w:val="009849A2"/>
    <w:rsid w:val="009B30F8"/>
    <w:rsid w:val="009C26FB"/>
    <w:rsid w:val="00A25D7D"/>
    <w:rsid w:val="00A408CF"/>
    <w:rsid w:val="00A45F00"/>
    <w:rsid w:val="00A55292"/>
    <w:rsid w:val="00A63F2B"/>
    <w:rsid w:val="00A87F89"/>
    <w:rsid w:val="00B218BE"/>
    <w:rsid w:val="00B37013"/>
    <w:rsid w:val="00B409C0"/>
    <w:rsid w:val="00B423B8"/>
    <w:rsid w:val="00B44100"/>
    <w:rsid w:val="00B80045"/>
    <w:rsid w:val="00BD7E5A"/>
    <w:rsid w:val="00BF5FA4"/>
    <w:rsid w:val="00BF7CE4"/>
    <w:rsid w:val="00C00D85"/>
    <w:rsid w:val="00C10BE2"/>
    <w:rsid w:val="00C3236D"/>
    <w:rsid w:val="00C77F3F"/>
    <w:rsid w:val="00C81E90"/>
    <w:rsid w:val="00C83C42"/>
    <w:rsid w:val="00C93DCF"/>
    <w:rsid w:val="00CC0CAB"/>
    <w:rsid w:val="00CD1A94"/>
    <w:rsid w:val="00CD5DE8"/>
    <w:rsid w:val="00CD61F8"/>
    <w:rsid w:val="00D15070"/>
    <w:rsid w:val="00D24565"/>
    <w:rsid w:val="00D34EA3"/>
    <w:rsid w:val="00D45873"/>
    <w:rsid w:val="00D51033"/>
    <w:rsid w:val="00D5385D"/>
    <w:rsid w:val="00D60198"/>
    <w:rsid w:val="00D7504D"/>
    <w:rsid w:val="00D917F2"/>
    <w:rsid w:val="00DB064E"/>
    <w:rsid w:val="00DC3D4D"/>
    <w:rsid w:val="00DD0EB0"/>
    <w:rsid w:val="00E02F42"/>
    <w:rsid w:val="00E064FC"/>
    <w:rsid w:val="00E13E55"/>
    <w:rsid w:val="00E3015F"/>
    <w:rsid w:val="00E4496D"/>
    <w:rsid w:val="00E63175"/>
    <w:rsid w:val="00E66407"/>
    <w:rsid w:val="00E933D9"/>
    <w:rsid w:val="00E97C73"/>
    <w:rsid w:val="00EA333D"/>
    <w:rsid w:val="00EC03C9"/>
    <w:rsid w:val="00EC0E3E"/>
    <w:rsid w:val="00ED53A7"/>
    <w:rsid w:val="00ED7EB9"/>
    <w:rsid w:val="00EF17CF"/>
    <w:rsid w:val="00EF1A1D"/>
    <w:rsid w:val="00F224B3"/>
    <w:rsid w:val="00F253A8"/>
    <w:rsid w:val="00F55D1E"/>
    <w:rsid w:val="00FB46C7"/>
    <w:rsid w:val="00FD1A9C"/>
    <w:rsid w:val="00FE6283"/>
    <w:rsid w:val="00FF06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9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1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91"/>
    <w:rPr>
      <w:rFonts w:ascii="Tahoma" w:eastAsia="Calibri" w:hAnsi="Tahoma" w:cs="Tahoma"/>
      <w:color w:val="000000"/>
      <w:sz w:val="16"/>
      <w:szCs w:val="16"/>
    </w:rPr>
  </w:style>
  <w:style w:type="paragraph" w:styleId="ListParagraph">
    <w:name w:val="List Paragraph"/>
    <w:basedOn w:val="Normal"/>
    <w:uiPriority w:val="34"/>
    <w:qFormat/>
    <w:rsid w:val="001E5425"/>
    <w:pPr>
      <w:ind w:left="720"/>
      <w:contextualSpacing/>
    </w:pPr>
  </w:style>
  <w:style w:type="paragraph" w:styleId="Header">
    <w:name w:val="header"/>
    <w:basedOn w:val="Normal"/>
    <w:link w:val="HeaderChar"/>
    <w:uiPriority w:val="99"/>
    <w:unhideWhenUsed/>
    <w:rsid w:val="00EF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7CF"/>
    <w:rPr>
      <w:rFonts w:ascii="Calibri" w:eastAsia="Calibri" w:hAnsi="Calibri" w:cs="Calibri"/>
      <w:color w:val="000000"/>
    </w:rPr>
  </w:style>
  <w:style w:type="paragraph" w:styleId="Footer">
    <w:name w:val="footer"/>
    <w:basedOn w:val="Normal"/>
    <w:link w:val="FooterChar"/>
    <w:uiPriority w:val="99"/>
    <w:unhideWhenUsed/>
    <w:rsid w:val="00EF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CF"/>
    <w:rPr>
      <w:rFonts w:ascii="Calibri" w:eastAsia="Calibri" w:hAnsi="Calibri" w:cs="Calibri"/>
      <w:color w:val="000000"/>
    </w:rPr>
  </w:style>
  <w:style w:type="paragraph" w:styleId="NoSpacing">
    <w:name w:val="No Spacing"/>
    <w:uiPriority w:val="1"/>
    <w:qFormat/>
    <w:rsid w:val="008719CD"/>
    <w:pPr>
      <w:spacing w:after="0" w:line="240" w:lineRule="auto"/>
    </w:pPr>
    <w:rPr>
      <w:rFonts w:ascii="Calibri" w:eastAsia="Calibri" w:hAnsi="Calibri" w:cs="Calibri"/>
      <w:color w:val="000000"/>
    </w:rPr>
  </w:style>
  <w:style w:type="paragraph" w:customStyle="1" w:styleId="Heading">
    <w:name w:val="Heading"/>
    <w:next w:val="Normal"/>
    <w:qFormat/>
    <w:rsid w:val="00EA333D"/>
    <w:pPr>
      <w:spacing w:after="0" w:line="240" w:lineRule="auto"/>
      <w:outlineLvl w:val="0"/>
    </w:pPr>
    <w:rPr>
      <w:rFonts w:ascii="Times New Roman" w:eastAsia="Arial Unicode MS" w:hAnsi="Times New Roman" w:cs="Arial Unicode MS"/>
      <w:b/>
      <w:bCs/>
      <w:caps/>
      <w:color w:val="434343"/>
      <w:spacing w:val="4"/>
      <w:lang w:val="en-US" w:eastAsia="en-US"/>
    </w:rPr>
  </w:style>
  <w:style w:type="paragraph" w:customStyle="1" w:styleId="Body2">
    <w:name w:val="Body 2"/>
    <w:rsid w:val="00EA333D"/>
    <w:pPr>
      <w:suppressAutoHyphens/>
      <w:spacing w:after="40" w:line="240" w:lineRule="auto"/>
      <w:jc w:val="both"/>
    </w:pPr>
    <w:rPr>
      <w:rFonts w:ascii="Times New Roman" w:eastAsia="Arial Unicode MS" w:hAnsi="Times New Roman" w:cs="Arial Unicode MS"/>
      <w:color w:val="000000"/>
      <w:lang w:val="en-US" w:eastAsia="en-US"/>
    </w:rPr>
  </w:style>
  <w:style w:type="table" w:styleId="TableGrid0">
    <w:name w:val="Table Grid"/>
    <w:basedOn w:val="TableNormal"/>
    <w:uiPriority w:val="39"/>
    <w:rsid w:val="00EC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A7C7B"/>
  </w:style>
  <w:style w:type="character" w:styleId="Strong">
    <w:name w:val="Strong"/>
    <w:basedOn w:val="DefaultParagraphFont"/>
    <w:uiPriority w:val="22"/>
    <w:qFormat/>
    <w:rsid w:val="0064610D"/>
    <w:rPr>
      <w:b/>
      <w:bCs/>
    </w:rPr>
  </w:style>
  <w:style w:type="paragraph" w:styleId="NormalWeb">
    <w:name w:val="Normal (Web)"/>
    <w:basedOn w:val="Normal"/>
    <w:uiPriority w:val="99"/>
    <w:unhideWhenUsed/>
    <w:rsid w:val="0064610D"/>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9514">
      <w:bodyDiv w:val="1"/>
      <w:marLeft w:val="0"/>
      <w:marRight w:val="0"/>
      <w:marTop w:val="0"/>
      <w:marBottom w:val="0"/>
      <w:divBdr>
        <w:top w:val="none" w:sz="0" w:space="0" w:color="auto"/>
        <w:left w:val="none" w:sz="0" w:space="0" w:color="auto"/>
        <w:bottom w:val="none" w:sz="0" w:space="0" w:color="auto"/>
        <w:right w:val="none" w:sz="0" w:space="0" w:color="auto"/>
      </w:divBdr>
    </w:div>
    <w:div w:id="549733891">
      <w:bodyDiv w:val="1"/>
      <w:marLeft w:val="0"/>
      <w:marRight w:val="0"/>
      <w:marTop w:val="0"/>
      <w:marBottom w:val="0"/>
      <w:divBdr>
        <w:top w:val="none" w:sz="0" w:space="0" w:color="auto"/>
        <w:left w:val="none" w:sz="0" w:space="0" w:color="auto"/>
        <w:bottom w:val="none" w:sz="0" w:space="0" w:color="auto"/>
        <w:right w:val="none" w:sz="0" w:space="0" w:color="auto"/>
      </w:divBdr>
    </w:div>
    <w:div w:id="644430495">
      <w:bodyDiv w:val="1"/>
      <w:marLeft w:val="0"/>
      <w:marRight w:val="0"/>
      <w:marTop w:val="0"/>
      <w:marBottom w:val="0"/>
      <w:divBdr>
        <w:top w:val="none" w:sz="0" w:space="0" w:color="auto"/>
        <w:left w:val="none" w:sz="0" w:space="0" w:color="auto"/>
        <w:bottom w:val="none" w:sz="0" w:space="0" w:color="auto"/>
        <w:right w:val="none" w:sz="0" w:space="0" w:color="auto"/>
      </w:divBdr>
    </w:div>
    <w:div w:id="895091695">
      <w:bodyDiv w:val="1"/>
      <w:marLeft w:val="0"/>
      <w:marRight w:val="0"/>
      <w:marTop w:val="0"/>
      <w:marBottom w:val="0"/>
      <w:divBdr>
        <w:top w:val="none" w:sz="0" w:space="0" w:color="auto"/>
        <w:left w:val="none" w:sz="0" w:space="0" w:color="auto"/>
        <w:bottom w:val="none" w:sz="0" w:space="0" w:color="auto"/>
        <w:right w:val="none" w:sz="0" w:space="0" w:color="auto"/>
      </w:divBdr>
      <w:divsChild>
        <w:div w:id="614678490">
          <w:marLeft w:val="0"/>
          <w:marRight w:val="0"/>
          <w:marTop w:val="0"/>
          <w:marBottom w:val="0"/>
          <w:divBdr>
            <w:top w:val="none" w:sz="0" w:space="0" w:color="auto"/>
            <w:left w:val="none" w:sz="0" w:space="0" w:color="auto"/>
            <w:bottom w:val="none" w:sz="0" w:space="0" w:color="auto"/>
            <w:right w:val="none" w:sz="0" w:space="0" w:color="auto"/>
          </w:divBdr>
        </w:div>
      </w:divsChild>
    </w:div>
    <w:div w:id="1547641072">
      <w:bodyDiv w:val="1"/>
      <w:marLeft w:val="0"/>
      <w:marRight w:val="0"/>
      <w:marTop w:val="0"/>
      <w:marBottom w:val="0"/>
      <w:divBdr>
        <w:top w:val="none" w:sz="0" w:space="0" w:color="auto"/>
        <w:left w:val="none" w:sz="0" w:space="0" w:color="auto"/>
        <w:bottom w:val="none" w:sz="0" w:space="0" w:color="auto"/>
        <w:right w:val="none" w:sz="0" w:space="0" w:color="auto"/>
      </w:divBdr>
      <w:divsChild>
        <w:div w:id="1391033595">
          <w:marLeft w:val="0"/>
          <w:marRight w:val="0"/>
          <w:marTop w:val="0"/>
          <w:marBottom w:val="0"/>
          <w:divBdr>
            <w:top w:val="none" w:sz="0" w:space="0" w:color="auto"/>
            <w:left w:val="none" w:sz="0" w:space="0" w:color="auto"/>
            <w:bottom w:val="none" w:sz="0" w:space="0" w:color="auto"/>
            <w:right w:val="none" w:sz="0" w:space="0" w:color="auto"/>
          </w:divBdr>
        </w:div>
      </w:divsChild>
    </w:div>
    <w:div w:id="1706517457">
      <w:bodyDiv w:val="1"/>
      <w:marLeft w:val="0"/>
      <w:marRight w:val="0"/>
      <w:marTop w:val="0"/>
      <w:marBottom w:val="0"/>
      <w:divBdr>
        <w:top w:val="none" w:sz="0" w:space="0" w:color="auto"/>
        <w:left w:val="none" w:sz="0" w:space="0" w:color="auto"/>
        <w:bottom w:val="none" w:sz="0" w:space="0" w:color="auto"/>
        <w:right w:val="none" w:sz="0" w:space="0" w:color="auto"/>
      </w:divBdr>
      <w:divsChild>
        <w:div w:id="13138273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FCAFE-85F3-4F7C-AD37-A51C1512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3883</Words>
  <Characters>2214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2025-10-08T11:33:00Z</dcterms:created>
  <dcterms:modified xsi:type="dcterms:W3CDTF">2025-10-08T11:33:00Z</dcterms:modified>
</cp:coreProperties>
</file>