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C367" w14:textId="77777777" w:rsidR="00D72F69" w:rsidRPr="007028DE" w:rsidRDefault="00D72F69" w:rsidP="007028DE">
      <w:pPr>
        <w:suppressAutoHyphens/>
        <w:spacing w:line="360" w:lineRule="auto"/>
        <w:jc w:val="center"/>
        <w:rPr>
          <w:rFonts w:ascii="Times New Roman" w:hAnsi="Times New Roman"/>
          <w:b/>
          <w:bCs/>
          <w:sz w:val="24"/>
          <w:szCs w:val="24"/>
        </w:rPr>
      </w:pPr>
      <w:r w:rsidRPr="007028DE">
        <w:rPr>
          <w:rFonts w:ascii="Times New Roman" w:hAnsi="Times New Roman"/>
          <w:b/>
          <w:caps/>
          <w:noProof/>
          <w:sz w:val="24"/>
          <w:szCs w:val="24"/>
          <w:lang w:eastAsia="lt-LT"/>
        </w:rPr>
        <w:drawing>
          <wp:inline distT="0" distB="0" distL="0" distR="0" wp14:anchorId="55C3C53C" wp14:editId="52726543">
            <wp:extent cx="1543050" cy="4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3050" cy="438150"/>
                    </a:xfrm>
                    <a:prstGeom prst="rect">
                      <a:avLst/>
                    </a:prstGeom>
                    <a:noFill/>
                    <a:ln>
                      <a:noFill/>
                    </a:ln>
                  </pic:spPr>
                </pic:pic>
              </a:graphicData>
            </a:graphic>
          </wp:inline>
        </w:drawing>
      </w:r>
    </w:p>
    <w:p w14:paraId="5E892DE4" w14:textId="77777777" w:rsidR="00D72F69" w:rsidRPr="007028DE" w:rsidRDefault="00D72F69" w:rsidP="007028DE">
      <w:pPr>
        <w:suppressAutoHyphens/>
        <w:spacing w:line="360" w:lineRule="auto"/>
        <w:jc w:val="center"/>
        <w:rPr>
          <w:rFonts w:ascii="Times New Roman" w:hAnsi="Times New Roman"/>
          <w:b/>
          <w:bCs/>
          <w:sz w:val="24"/>
          <w:szCs w:val="24"/>
        </w:rPr>
      </w:pPr>
    </w:p>
    <w:p w14:paraId="4FB27E2F" w14:textId="77777777" w:rsidR="00D72F69" w:rsidRPr="007028DE" w:rsidRDefault="00D72F69" w:rsidP="007028DE">
      <w:pPr>
        <w:suppressAutoHyphens/>
        <w:spacing w:line="360" w:lineRule="auto"/>
        <w:jc w:val="center"/>
        <w:rPr>
          <w:rFonts w:ascii="Times New Roman" w:hAnsi="Times New Roman"/>
          <w:b/>
          <w:bCs/>
          <w:sz w:val="24"/>
          <w:szCs w:val="24"/>
        </w:rPr>
      </w:pPr>
      <w:r w:rsidRPr="007028DE">
        <w:rPr>
          <w:rFonts w:ascii="Times New Roman" w:hAnsi="Times New Roman"/>
          <w:b/>
          <w:bCs/>
          <w:sz w:val="24"/>
          <w:szCs w:val="24"/>
        </w:rPr>
        <w:t>VILNIAUS GEDIMINO TECHNIKOS UNIVERSITETAS</w:t>
      </w:r>
    </w:p>
    <w:p w14:paraId="0D9FC2AB" w14:textId="77777777" w:rsidR="00D72F69" w:rsidRPr="007028DE" w:rsidRDefault="00D72F69" w:rsidP="007028DE">
      <w:pPr>
        <w:suppressAutoHyphens/>
        <w:spacing w:line="360" w:lineRule="auto"/>
        <w:jc w:val="center"/>
        <w:rPr>
          <w:rFonts w:ascii="Times New Roman" w:eastAsia="Times New Roman" w:hAnsi="Times New Roman"/>
          <w:b/>
          <w:sz w:val="24"/>
          <w:szCs w:val="24"/>
          <w:lang w:eastAsia="zh-CN"/>
        </w:rPr>
      </w:pPr>
    </w:p>
    <w:p w14:paraId="44FBDBAF" w14:textId="77777777" w:rsidR="00D72F69" w:rsidRPr="007028DE" w:rsidRDefault="00D72F69" w:rsidP="007028DE">
      <w:pPr>
        <w:suppressAutoHyphens/>
        <w:spacing w:line="360" w:lineRule="auto"/>
        <w:jc w:val="both"/>
        <w:rPr>
          <w:rFonts w:ascii="Times New Roman" w:eastAsia="Times New Roman" w:hAnsi="Times New Roman"/>
          <w:sz w:val="24"/>
          <w:szCs w:val="24"/>
          <w:lang w:eastAsia="zh-CN"/>
        </w:rPr>
      </w:pPr>
    </w:p>
    <w:p w14:paraId="442FB273" w14:textId="07B1275F" w:rsidR="00D72F69" w:rsidRPr="007028DE" w:rsidRDefault="00D72F69" w:rsidP="007D2616">
      <w:pPr>
        <w:suppressAutoHyphens/>
        <w:spacing w:line="360" w:lineRule="auto"/>
        <w:jc w:val="both"/>
        <w:rPr>
          <w:rFonts w:ascii="Times New Roman" w:eastAsia="Times New Roman" w:hAnsi="Times New Roman"/>
          <w:b/>
          <w:sz w:val="24"/>
          <w:szCs w:val="24"/>
          <w:lang w:eastAsia="zh-CN"/>
        </w:rPr>
      </w:pPr>
      <w:r w:rsidRPr="007028DE">
        <w:rPr>
          <w:rFonts w:ascii="Times New Roman" w:eastAsia="Times New Roman" w:hAnsi="Times New Roman"/>
          <w:sz w:val="24"/>
          <w:szCs w:val="24"/>
          <w:lang w:eastAsia="zh-CN"/>
        </w:rPr>
        <w:t>Tiekėjams</w:t>
      </w:r>
      <w:r w:rsidRPr="007028DE">
        <w:rPr>
          <w:rFonts w:ascii="Times New Roman" w:eastAsia="Times New Roman" w:hAnsi="Times New Roman"/>
          <w:sz w:val="24"/>
          <w:szCs w:val="24"/>
          <w:lang w:eastAsia="zh-CN"/>
        </w:rPr>
        <w:tab/>
      </w:r>
      <w:r w:rsidRPr="007028DE">
        <w:rPr>
          <w:rFonts w:ascii="Times New Roman" w:eastAsia="Times New Roman" w:hAnsi="Times New Roman"/>
          <w:sz w:val="24"/>
          <w:szCs w:val="24"/>
          <w:lang w:eastAsia="zh-CN"/>
        </w:rPr>
        <w:tab/>
      </w:r>
      <w:r w:rsidRPr="007028DE">
        <w:rPr>
          <w:rFonts w:ascii="Times New Roman" w:eastAsia="Times New Roman" w:hAnsi="Times New Roman"/>
          <w:sz w:val="24"/>
          <w:szCs w:val="24"/>
          <w:lang w:eastAsia="zh-CN"/>
        </w:rPr>
        <w:tab/>
      </w:r>
      <w:r w:rsidRPr="007028DE">
        <w:rPr>
          <w:rFonts w:ascii="Times New Roman" w:eastAsia="Times New Roman" w:hAnsi="Times New Roman"/>
          <w:sz w:val="24"/>
          <w:szCs w:val="24"/>
          <w:lang w:eastAsia="zh-CN"/>
        </w:rPr>
        <w:tab/>
      </w:r>
      <w:r w:rsidRPr="007028DE">
        <w:rPr>
          <w:rFonts w:ascii="Times New Roman" w:eastAsia="Times New Roman" w:hAnsi="Times New Roman"/>
          <w:sz w:val="24"/>
          <w:szCs w:val="24"/>
          <w:lang w:eastAsia="zh-CN"/>
        </w:rPr>
        <w:tab/>
      </w:r>
      <w:r w:rsidRPr="007028DE">
        <w:rPr>
          <w:rFonts w:ascii="Times New Roman" w:eastAsia="Times New Roman" w:hAnsi="Times New Roman"/>
          <w:sz w:val="24"/>
          <w:szCs w:val="24"/>
          <w:lang w:eastAsia="zh-CN"/>
        </w:rPr>
        <w:tab/>
        <w:t xml:space="preserve">  2024-1</w:t>
      </w:r>
      <w:r w:rsidR="001F5FE2" w:rsidRPr="007028DE">
        <w:rPr>
          <w:rFonts w:ascii="Times New Roman" w:eastAsia="Times New Roman" w:hAnsi="Times New Roman"/>
          <w:sz w:val="24"/>
          <w:szCs w:val="24"/>
          <w:lang w:eastAsia="zh-CN"/>
        </w:rPr>
        <w:t>2</w:t>
      </w:r>
      <w:r w:rsidRPr="007028DE">
        <w:rPr>
          <w:rFonts w:ascii="Times New Roman" w:eastAsia="Times New Roman" w:hAnsi="Times New Roman"/>
          <w:sz w:val="24"/>
          <w:szCs w:val="24"/>
          <w:lang w:eastAsia="zh-CN"/>
        </w:rPr>
        <w:t>-</w:t>
      </w:r>
      <w:r w:rsidR="007D2616">
        <w:rPr>
          <w:rFonts w:ascii="Times New Roman" w:eastAsia="Times New Roman" w:hAnsi="Times New Roman"/>
          <w:sz w:val="24"/>
          <w:szCs w:val="24"/>
          <w:lang w:eastAsia="zh-CN"/>
        </w:rPr>
        <w:t>16</w:t>
      </w:r>
    </w:p>
    <w:p w14:paraId="74DDADB5" w14:textId="77777777" w:rsidR="00D72F69" w:rsidRPr="007028DE" w:rsidRDefault="00D72F69" w:rsidP="007028DE">
      <w:pPr>
        <w:spacing w:line="360" w:lineRule="auto"/>
        <w:jc w:val="both"/>
        <w:rPr>
          <w:rFonts w:ascii="Times New Roman" w:eastAsia="Times New Roman" w:hAnsi="Times New Roman"/>
          <w:b/>
          <w:sz w:val="24"/>
          <w:szCs w:val="24"/>
          <w:lang w:eastAsia="zh-CN"/>
        </w:rPr>
      </w:pPr>
    </w:p>
    <w:p w14:paraId="775DE0FA" w14:textId="646FAE99" w:rsidR="00D72F69" w:rsidRPr="007028DE" w:rsidRDefault="00D72F69" w:rsidP="007028DE">
      <w:pPr>
        <w:spacing w:line="360" w:lineRule="auto"/>
        <w:rPr>
          <w:rFonts w:ascii="Times New Roman" w:eastAsia="Times New Roman" w:hAnsi="Times New Roman"/>
          <w:b/>
          <w:sz w:val="24"/>
          <w:szCs w:val="24"/>
          <w:lang w:eastAsia="zh-CN"/>
        </w:rPr>
      </w:pPr>
      <w:r w:rsidRPr="007028DE">
        <w:rPr>
          <w:rFonts w:ascii="Times New Roman" w:eastAsia="Times New Roman" w:hAnsi="Times New Roman"/>
          <w:b/>
          <w:sz w:val="24"/>
          <w:szCs w:val="24"/>
          <w:lang w:eastAsia="zh-CN"/>
        </w:rPr>
        <w:t>DĖL ATSAKYM</w:t>
      </w:r>
      <w:r w:rsidR="001F5FE2" w:rsidRPr="007028DE">
        <w:rPr>
          <w:rFonts w:ascii="Times New Roman" w:eastAsia="Times New Roman" w:hAnsi="Times New Roman"/>
          <w:b/>
          <w:sz w:val="24"/>
          <w:szCs w:val="24"/>
          <w:lang w:eastAsia="zh-CN"/>
        </w:rPr>
        <w:t>O</w:t>
      </w:r>
      <w:r w:rsidRPr="007028DE">
        <w:rPr>
          <w:rFonts w:ascii="Times New Roman" w:eastAsia="Times New Roman" w:hAnsi="Times New Roman"/>
          <w:b/>
          <w:sz w:val="24"/>
          <w:szCs w:val="24"/>
          <w:lang w:eastAsia="zh-CN"/>
        </w:rPr>
        <w:t xml:space="preserve"> Į PATEIKT</w:t>
      </w:r>
      <w:r w:rsidR="001F5FE2" w:rsidRPr="007028DE">
        <w:rPr>
          <w:rFonts w:ascii="Times New Roman" w:eastAsia="Times New Roman" w:hAnsi="Times New Roman"/>
          <w:b/>
          <w:sz w:val="24"/>
          <w:szCs w:val="24"/>
          <w:lang w:eastAsia="zh-CN"/>
        </w:rPr>
        <w:t>Ą</w:t>
      </w:r>
      <w:r w:rsidRPr="007028DE">
        <w:rPr>
          <w:rFonts w:ascii="Times New Roman" w:eastAsia="Times New Roman" w:hAnsi="Times New Roman"/>
          <w:b/>
          <w:sz w:val="24"/>
          <w:szCs w:val="24"/>
          <w:lang w:eastAsia="zh-CN"/>
        </w:rPr>
        <w:t xml:space="preserve"> </w:t>
      </w:r>
      <w:r w:rsidR="00721BE4">
        <w:rPr>
          <w:rFonts w:ascii="Times New Roman" w:eastAsia="Times New Roman" w:hAnsi="Times New Roman"/>
          <w:b/>
          <w:sz w:val="24"/>
          <w:szCs w:val="24"/>
          <w:lang w:eastAsia="zh-CN"/>
        </w:rPr>
        <w:t>PRAŠYMĄ</w:t>
      </w:r>
      <w:r w:rsidRPr="007028DE">
        <w:rPr>
          <w:rFonts w:ascii="Times New Roman" w:eastAsia="Times New Roman" w:hAnsi="Times New Roman"/>
          <w:b/>
          <w:sz w:val="24"/>
          <w:szCs w:val="24"/>
          <w:lang w:eastAsia="zh-CN"/>
        </w:rPr>
        <w:t xml:space="preserve"> IR PASIŪLYMŲ PATEIKIMO TERMINO PRATĘSIMO</w:t>
      </w:r>
    </w:p>
    <w:p w14:paraId="678CCA22" w14:textId="77777777" w:rsidR="00D72F69" w:rsidRPr="007028DE" w:rsidRDefault="00D72F69" w:rsidP="007028DE">
      <w:pPr>
        <w:spacing w:line="360" w:lineRule="auto"/>
        <w:ind w:firstLine="567"/>
        <w:jc w:val="both"/>
        <w:rPr>
          <w:rFonts w:ascii="Times New Roman" w:hAnsi="Times New Roman"/>
          <w:sz w:val="24"/>
          <w:szCs w:val="24"/>
        </w:rPr>
      </w:pPr>
    </w:p>
    <w:p w14:paraId="550D3CB9" w14:textId="0DDEC5BC" w:rsidR="001F5FE2" w:rsidRPr="00B55AAA" w:rsidRDefault="001F5FE2" w:rsidP="00B55AAA">
      <w:pPr>
        <w:spacing w:line="360" w:lineRule="auto"/>
        <w:ind w:firstLine="720"/>
        <w:jc w:val="both"/>
        <w:rPr>
          <w:rFonts w:ascii="Times New Roman" w:eastAsia="Times New Roman" w:hAnsi="Times New Roman"/>
          <w:bCs/>
          <w:sz w:val="24"/>
          <w:szCs w:val="24"/>
        </w:rPr>
      </w:pPr>
      <w:r w:rsidRPr="00B55AAA">
        <w:rPr>
          <w:rFonts w:ascii="Times New Roman" w:eastAsia="Times New Roman" w:hAnsi="Times New Roman"/>
          <w:sz w:val="24"/>
          <w:szCs w:val="24"/>
        </w:rPr>
        <w:t xml:space="preserve">Vilniaus Gedimino technikos universiteto Viešojo pirkimo komisija (toliau – Komisija) </w:t>
      </w:r>
      <w:r w:rsidR="007C772F" w:rsidRPr="00B55AAA">
        <w:rPr>
          <w:rFonts w:ascii="Times New Roman" w:eastAsia="Times New Roman" w:hAnsi="Times New Roman"/>
          <w:sz w:val="24"/>
          <w:szCs w:val="24"/>
        </w:rPr>
        <w:t xml:space="preserve">komisija Centrinės viešųjų pirkimų informacinės sistemos (toliau – CVP IS) priemonėmis gavo tiekėjo </w:t>
      </w:r>
      <w:r w:rsidR="00930F2F" w:rsidRPr="00B55AAA">
        <w:rPr>
          <w:rFonts w:ascii="Times New Roman" w:eastAsia="Times New Roman" w:hAnsi="Times New Roman"/>
          <w:sz w:val="24"/>
          <w:szCs w:val="24"/>
        </w:rPr>
        <w:t>prašy</w:t>
      </w:r>
      <w:r w:rsidR="007C772F" w:rsidRPr="00B55AAA">
        <w:rPr>
          <w:rFonts w:ascii="Times New Roman" w:eastAsia="Times New Roman" w:hAnsi="Times New Roman"/>
          <w:sz w:val="24"/>
          <w:szCs w:val="24"/>
        </w:rPr>
        <w:t xml:space="preserve">mą dėl </w:t>
      </w:r>
      <w:r w:rsidR="009C1D0E" w:rsidRPr="00B55AAA">
        <w:rPr>
          <w:rFonts w:ascii="Times New Roman" w:eastAsia="Times New Roman" w:hAnsi="Times New Roman"/>
          <w:sz w:val="24"/>
          <w:szCs w:val="24"/>
        </w:rPr>
        <w:t xml:space="preserve">supaprastinto </w:t>
      </w:r>
      <w:r w:rsidRPr="00B55AAA">
        <w:rPr>
          <w:rFonts w:ascii="Times New Roman" w:eastAsia="Times New Roman" w:hAnsi="Times New Roman"/>
          <w:sz w:val="24"/>
          <w:szCs w:val="24"/>
        </w:rPr>
        <w:t xml:space="preserve">pirkimo </w:t>
      </w:r>
      <w:r w:rsidRPr="00B55AAA">
        <w:rPr>
          <w:rFonts w:ascii="Times New Roman" w:eastAsia="Times New Roman" w:hAnsi="Times New Roman"/>
          <w:bCs/>
          <w:sz w:val="24"/>
          <w:szCs w:val="24"/>
          <w:lang w:val="en-GB"/>
        </w:rPr>
        <w:t>„</w:t>
      </w:r>
      <w:r w:rsidRPr="00B55AAA">
        <w:rPr>
          <w:rFonts w:ascii="Times New Roman" w:eastAsia="Times New Roman" w:hAnsi="Times New Roman"/>
          <w:bCs/>
          <w:sz w:val="24"/>
          <w:szCs w:val="24"/>
        </w:rPr>
        <w:t>Saulėtekio rūmų I laboratorinio korpuso, Saulėtekio al. 11 (</w:t>
      </w:r>
      <w:proofErr w:type="spellStart"/>
      <w:r w:rsidRPr="00B55AAA">
        <w:rPr>
          <w:rFonts w:ascii="Times New Roman" w:eastAsia="Times New Roman" w:hAnsi="Times New Roman"/>
          <w:bCs/>
          <w:sz w:val="24"/>
          <w:szCs w:val="24"/>
        </w:rPr>
        <w:t>unik</w:t>
      </w:r>
      <w:proofErr w:type="spellEnd"/>
      <w:r w:rsidRPr="00B55AAA">
        <w:rPr>
          <w:rFonts w:ascii="Times New Roman" w:eastAsia="Times New Roman" w:hAnsi="Times New Roman"/>
          <w:bCs/>
          <w:sz w:val="24"/>
          <w:szCs w:val="24"/>
        </w:rPr>
        <w:t>.</w:t>
      </w:r>
      <w:r w:rsidRPr="00B55AAA">
        <w:rPr>
          <w:rFonts w:ascii="Times New Roman" w:eastAsia="Times New Roman" w:hAnsi="Times New Roman"/>
          <w:sz w:val="24"/>
          <w:szCs w:val="24"/>
        </w:rPr>
        <w:t> </w:t>
      </w:r>
      <w:r w:rsidRPr="00B55AAA">
        <w:rPr>
          <w:rFonts w:ascii="Times New Roman" w:eastAsia="Times New Roman" w:hAnsi="Times New Roman"/>
          <w:bCs/>
          <w:sz w:val="24"/>
          <w:szCs w:val="24"/>
        </w:rPr>
        <w:t>Nr.</w:t>
      </w:r>
      <w:r w:rsidRPr="00B55AAA">
        <w:rPr>
          <w:rFonts w:ascii="Times New Roman" w:eastAsia="Times New Roman" w:hAnsi="Times New Roman"/>
          <w:sz w:val="24"/>
          <w:szCs w:val="24"/>
        </w:rPr>
        <w:t> </w:t>
      </w:r>
      <w:r w:rsidRPr="00B55AAA">
        <w:rPr>
          <w:rFonts w:ascii="Times New Roman" w:eastAsia="Times New Roman" w:hAnsi="Times New Roman"/>
          <w:bCs/>
          <w:sz w:val="24"/>
          <w:szCs w:val="24"/>
        </w:rPr>
        <w:t xml:space="preserve">1097-1010-2035), Vilnius, dalies patalpų paprastojo remonto darbų pirkimas“ </w:t>
      </w:r>
      <w:r w:rsidR="00DF7656" w:rsidRPr="00B55AAA">
        <w:rPr>
          <w:rFonts w:ascii="Times New Roman" w:eastAsia="Times New Roman" w:hAnsi="Times New Roman"/>
          <w:bCs/>
          <w:sz w:val="24"/>
          <w:szCs w:val="24"/>
        </w:rPr>
        <w:t xml:space="preserve">vykdomo </w:t>
      </w:r>
      <w:r w:rsidR="00DF7656" w:rsidRPr="00B55AAA">
        <w:rPr>
          <w:rFonts w:ascii="Times New Roman" w:eastAsia="Times New Roman" w:hAnsi="Times New Roman"/>
          <w:sz w:val="24"/>
          <w:szCs w:val="24"/>
        </w:rPr>
        <w:t xml:space="preserve">atviro konkurso būdu </w:t>
      </w:r>
      <w:r w:rsidRPr="00B55AAA">
        <w:rPr>
          <w:rFonts w:ascii="Times New Roman" w:eastAsia="Times New Roman" w:hAnsi="Times New Roman"/>
          <w:bCs/>
          <w:sz w:val="24"/>
          <w:szCs w:val="24"/>
        </w:rPr>
        <w:t>(senoje CVP IS pirkimo Nr. 745433 (</w:t>
      </w:r>
      <w:hyperlink r:id="rId5" w:history="1">
        <w:r w:rsidRPr="00B55AAA">
          <w:rPr>
            <w:rStyle w:val="Hyperlink"/>
            <w:rFonts w:ascii="Times New Roman" w:eastAsia="Times New Roman" w:hAnsi="Times New Roman"/>
            <w:bCs/>
            <w:sz w:val="24"/>
            <w:szCs w:val="24"/>
          </w:rPr>
          <w:t>https://cvpp.eviesiejipirkimai.lt/Notice/Details/2024-643032</w:t>
        </w:r>
      </w:hyperlink>
      <w:r w:rsidRPr="00B55AAA">
        <w:rPr>
          <w:rFonts w:ascii="Times New Roman" w:eastAsia="Times New Roman" w:hAnsi="Times New Roman"/>
          <w:bCs/>
          <w:sz w:val="24"/>
          <w:szCs w:val="24"/>
        </w:rPr>
        <w:t xml:space="preserve"> ); naujoje CVP IS pirkimo ID 279607)</w:t>
      </w:r>
      <w:r w:rsidRPr="00B55AAA">
        <w:rPr>
          <w:rFonts w:ascii="Times New Roman" w:eastAsia="Times New Roman" w:hAnsi="Times New Roman"/>
          <w:bCs/>
          <w:iCs/>
          <w:sz w:val="24"/>
          <w:szCs w:val="24"/>
        </w:rPr>
        <w:t xml:space="preserve"> </w:t>
      </w:r>
      <w:r w:rsidRPr="00B55AAA">
        <w:rPr>
          <w:rFonts w:ascii="Times New Roman" w:eastAsia="Times New Roman" w:hAnsi="Times New Roman"/>
          <w:bCs/>
          <w:sz w:val="24"/>
          <w:szCs w:val="24"/>
        </w:rPr>
        <w:t>(toliau – Pirkimas).</w:t>
      </w:r>
    </w:p>
    <w:p w14:paraId="50DDAF0E" w14:textId="70C91685" w:rsidR="001F5FE2" w:rsidRDefault="001F5FE2" w:rsidP="00B55AAA">
      <w:pPr>
        <w:spacing w:line="360" w:lineRule="auto"/>
        <w:ind w:firstLine="720"/>
        <w:jc w:val="both"/>
        <w:rPr>
          <w:rFonts w:ascii="Times New Roman" w:eastAsia="Calibri" w:hAnsi="Times New Roman"/>
          <w:sz w:val="24"/>
          <w:szCs w:val="24"/>
        </w:rPr>
      </w:pPr>
      <w:r w:rsidRPr="00B55AAA">
        <w:rPr>
          <w:rFonts w:ascii="Times New Roman" w:eastAsia="Calibri" w:hAnsi="Times New Roman"/>
          <w:sz w:val="24"/>
          <w:szCs w:val="24"/>
        </w:rPr>
        <w:t xml:space="preserve">Vadovaujantis Viešųjų pirkimų įstatymo 36 straipsnio 5 dalies </w:t>
      </w:r>
      <w:r w:rsidRPr="00B55AAA">
        <w:rPr>
          <w:rFonts w:ascii="Times New Roman" w:eastAsia="Times New Roman" w:hAnsi="Times New Roman"/>
          <w:sz w:val="24"/>
          <w:szCs w:val="24"/>
        </w:rPr>
        <w:t>ir Pirkimo dokumentų Bendrųjų sąlygų 5 skyriaus „Pirkimo dokumentų paaiškinimai ir patikslinimai“ nuostatomis,</w:t>
      </w:r>
      <w:r w:rsidRPr="00B55AAA">
        <w:rPr>
          <w:rFonts w:ascii="Times New Roman" w:eastAsia="Calibri" w:hAnsi="Times New Roman"/>
          <w:sz w:val="24"/>
          <w:szCs w:val="24"/>
        </w:rPr>
        <w:t xml:space="preserve"> teikiame atsakymą į </w:t>
      </w:r>
      <w:r w:rsidR="00930F2F" w:rsidRPr="00B55AAA">
        <w:rPr>
          <w:rFonts w:ascii="Times New Roman" w:eastAsia="Calibri" w:hAnsi="Times New Roman"/>
          <w:sz w:val="24"/>
          <w:szCs w:val="24"/>
        </w:rPr>
        <w:t>prašym</w:t>
      </w:r>
      <w:r w:rsidRPr="00B55AAA">
        <w:rPr>
          <w:rFonts w:ascii="Times New Roman" w:eastAsia="Calibri" w:hAnsi="Times New Roman"/>
          <w:sz w:val="24"/>
          <w:szCs w:val="24"/>
        </w:rPr>
        <w:t>ą</w:t>
      </w:r>
      <w:r w:rsidR="00B52E00" w:rsidRPr="00B55AAA">
        <w:rPr>
          <w:rFonts w:ascii="Times New Roman" w:eastAsia="Calibri" w:hAnsi="Times New Roman"/>
          <w:sz w:val="24"/>
          <w:szCs w:val="24"/>
        </w:rPr>
        <w:t>.</w:t>
      </w:r>
    </w:p>
    <w:p w14:paraId="43DF5AD8" w14:textId="77777777" w:rsidR="005D27AC" w:rsidRPr="00B55AAA" w:rsidRDefault="005D27AC" w:rsidP="00B55AAA">
      <w:pPr>
        <w:spacing w:line="360" w:lineRule="auto"/>
        <w:ind w:firstLine="720"/>
        <w:jc w:val="both"/>
        <w:rPr>
          <w:rFonts w:ascii="Times New Roman" w:eastAsia="Calibri" w:hAnsi="Times New Roman"/>
          <w:sz w:val="24"/>
          <w:szCs w:val="24"/>
        </w:rPr>
      </w:pPr>
    </w:p>
    <w:p w14:paraId="6C6A166E" w14:textId="1C5E5238" w:rsidR="007028DE" w:rsidRPr="00B55AAA" w:rsidRDefault="00574C86" w:rsidP="00B55AAA">
      <w:pPr>
        <w:tabs>
          <w:tab w:val="left" w:pos="709"/>
        </w:tabs>
        <w:spacing w:line="360" w:lineRule="auto"/>
        <w:ind w:firstLine="720"/>
        <w:jc w:val="both"/>
        <w:rPr>
          <w:rFonts w:ascii="Times New Roman" w:eastAsia="Calibri" w:hAnsi="Times New Roman"/>
          <w:sz w:val="24"/>
          <w:szCs w:val="24"/>
        </w:rPr>
      </w:pPr>
      <w:r w:rsidRPr="00B55AAA">
        <w:rPr>
          <w:rFonts w:ascii="Times New Roman" w:eastAsia="Calibri" w:hAnsi="Times New Roman"/>
          <w:b/>
          <w:bCs/>
          <w:sz w:val="24"/>
          <w:szCs w:val="24"/>
        </w:rPr>
        <w:t>P</w:t>
      </w:r>
      <w:r w:rsidR="00930F2F" w:rsidRPr="00B55AAA">
        <w:rPr>
          <w:rFonts w:ascii="Times New Roman" w:eastAsia="Calibri" w:hAnsi="Times New Roman"/>
          <w:b/>
          <w:bCs/>
          <w:sz w:val="24"/>
          <w:szCs w:val="24"/>
        </w:rPr>
        <w:t>rašymas</w:t>
      </w:r>
      <w:r w:rsidR="007028DE" w:rsidRPr="00B55AAA">
        <w:rPr>
          <w:rFonts w:ascii="Times New Roman" w:eastAsia="Calibri" w:hAnsi="Times New Roman"/>
          <w:b/>
          <w:bCs/>
          <w:sz w:val="24"/>
          <w:szCs w:val="24"/>
        </w:rPr>
        <w:t xml:space="preserve">. </w:t>
      </w:r>
      <w:r w:rsidR="007028DE" w:rsidRPr="00B55AAA">
        <w:rPr>
          <w:rFonts w:ascii="Times New Roman" w:eastAsia="Calibri" w:hAnsi="Times New Roman"/>
          <w:sz w:val="24"/>
          <w:szCs w:val="24"/>
        </w:rPr>
        <w:t>Prašome papildyti Pirkimo dokumentus numatant, kad pasiūlymo galiojimas gali būti užtikrinimas ne tik Pirkimo dokumentuose nurodytais būdais, bet ir Tiekėjams pateikiant draudimo bendrovės laidavimo raštą.</w:t>
      </w:r>
    </w:p>
    <w:p w14:paraId="3CEB596C" w14:textId="77777777" w:rsidR="007028DE" w:rsidRPr="00B55AAA" w:rsidRDefault="007028DE" w:rsidP="00B55AAA">
      <w:pPr>
        <w:pStyle w:val="TOC1"/>
        <w:spacing w:after="0" w:line="360" w:lineRule="auto"/>
        <w:ind w:firstLine="720"/>
        <w:jc w:val="both"/>
        <w:rPr>
          <w:rFonts w:eastAsia="Calibri"/>
          <w:b/>
          <w:bCs/>
          <w:lang w:val="lt-LT"/>
        </w:rPr>
      </w:pPr>
    </w:p>
    <w:p w14:paraId="2BD24799" w14:textId="6F4B26AB" w:rsidR="007028DE" w:rsidRPr="00B55AAA" w:rsidRDefault="007028DE" w:rsidP="00B55AAA">
      <w:pPr>
        <w:pStyle w:val="TOC1"/>
        <w:spacing w:after="0" w:line="360" w:lineRule="auto"/>
        <w:ind w:firstLine="720"/>
        <w:jc w:val="both"/>
        <w:rPr>
          <w:rFonts w:eastAsia="Calibri"/>
          <w:lang w:val="lt-LT"/>
        </w:rPr>
      </w:pPr>
      <w:r w:rsidRPr="00B55AAA">
        <w:rPr>
          <w:rFonts w:eastAsia="Calibri"/>
          <w:b/>
          <w:bCs/>
          <w:lang w:val="lt-LT"/>
        </w:rPr>
        <w:t xml:space="preserve">Atsakymas. </w:t>
      </w:r>
      <w:r w:rsidRPr="00B55AAA">
        <w:rPr>
          <w:rFonts w:eastAsia="Calibri"/>
          <w:lang w:val="lt-LT"/>
        </w:rPr>
        <w:t>Perkančioji organizacija tiekėjo pateikto prašymo netenkins ir Pirkimo sąlygose nenumatys dar vieno pasiūlymo užtikrinimo būdo „</w:t>
      </w:r>
      <w:r w:rsidR="002B5455" w:rsidRPr="00B55AAA">
        <w:rPr>
          <w:rFonts w:eastAsia="Calibri"/>
          <w:lang w:val="lt-LT"/>
        </w:rPr>
        <w:t>D</w:t>
      </w:r>
      <w:r w:rsidRPr="00B55AAA">
        <w:rPr>
          <w:rFonts w:eastAsia="Calibri"/>
          <w:lang w:val="lt-LT"/>
        </w:rPr>
        <w:t>raudimo laidavimo rašt</w:t>
      </w:r>
      <w:r w:rsidR="002B5455" w:rsidRPr="00B55AAA">
        <w:rPr>
          <w:rFonts w:eastAsia="Calibri"/>
          <w:lang w:val="lt-LT"/>
        </w:rPr>
        <w:t>u</w:t>
      </w:r>
      <w:r w:rsidRPr="00B55AAA">
        <w:rPr>
          <w:rFonts w:eastAsia="Calibri"/>
          <w:lang w:val="lt-LT"/>
        </w:rPr>
        <w:t xml:space="preserve">“. </w:t>
      </w:r>
    </w:p>
    <w:p w14:paraId="3D11775F" w14:textId="77777777" w:rsidR="007028DE" w:rsidRPr="00B55AAA" w:rsidRDefault="007028DE" w:rsidP="00B55AAA">
      <w:pPr>
        <w:pStyle w:val="TOC1"/>
        <w:spacing w:after="0" w:line="360" w:lineRule="auto"/>
        <w:ind w:firstLine="720"/>
        <w:jc w:val="both"/>
        <w:rPr>
          <w:rFonts w:eastAsia="Calibri"/>
          <w:lang w:val="lt-LT"/>
        </w:rPr>
      </w:pPr>
      <w:r w:rsidRPr="00B55AAA">
        <w:rPr>
          <w:rFonts w:eastAsia="Calibri"/>
          <w:lang w:val="lt-LT"/>
        </w:rPr>
        <w:t xml:space="preserve">Perkančioji organizacija atkreipia dėmesį, kad Viešųjų pirkimų įstatyme (toliau - VPĮ) numatyta Perkančiosios organizacijos teisė, bet ne pareiga numatyti Pirkimo sąlygose reikalavimą pateikti pasiūlymo galiojimo užtikrinimą, leidžianti užtikrinti perkančiosios organizacijos teisėtus lūkesčius, kad tiekėjas, kuris bus pripažintas laimėjusiu viešąjį pirkimą, laikysis pasiūlyme prisiimtų įsipareigojimų ir sudarys su perkančiąja organizacija viešojo pirkimo sutartį. Kadangi VPĮ nenustatyta, kokie pasiūlymų galiojimo užtikrinimo dokumentai (banko garantijos, laidavimo draudimo raštai) – sąlyginiai ar besąlyginiai – laikytini tinkamais, todėl kiekvienu atveju Perkančioji organizacija pati sprendžia kokie CK numatyti prievolės įvykdymo užtikrinimo būdai jai yra priimtini </w:t>
      </w:r>
      <w:r w:rsidRPr="00B55AAA">
        <w:rPr>
          <w:rFonts w:eastAsia="Calibri"/>
          <w:lang w:val="lt-LT"/>
        </w:rPr>
        <w:lastRenderedPageBreak/>
        <w:t>(Lietuvos apeliacinio teismo 2015 m. rugsėjo 25 d. sprendimas, priimtas civilinėje byloje Nr. 2A-1033-157/2015).</w:t>
      </w:r>
    </w:p>
    <w:p w14:paraId="621D5997" w14:textId="77777777" w:rsidR="007028DE" w:rsidRPr="00B55AAA" w:rsidRDefault="007028DE" w:rsidP="00B55AAA">
      <w:pPr>
        <w:pStyle w:val="TOC1"/>
        <w:spacing w:after="0" w:line="360" w:lineRule="auto"/>
        <w:ind w:firstLine="720"/>
        <w:jc w:val="both"/>
        <w:rPr>
          <w:rFonts w:eastAsia="Calibri"/>
          <w:lang w:val="lt-LT"/>
        </w:rPr>
      </w:pPr>
      <w:r w:rsidRPr="00B55AAA">
        <w:rPr>
          <w:rFonts w:eastAsia="Calibri"/>
          <w:lang w:val="lt-LT"/>
        </w:rPr>
        <w:t>Be to, užstatas ar banko garantija daug geriau apsaugo Perkančiosios organizacijos interesus, nes draudimo išmokos išmokėjimo tvarka apsunkina Perkančiosios organizacijos galimybę gauti išmoką ir taip susilpnina jos interesų apsaugą. Visuotinai žinoma, jog dabartiniai verslo santykiai yra pakankamai sudėtingi, rizikingi, tęstiniai ir trunkantys ilgą laiko tarpą. Dėl šios priežasties itin aktualus tampa kitos sandorio šalies patikimumo ir gebėjimo įvykdyti sutartimi prisiimtus įsipareigojimus klausimas.</w:t>
      </w:r>
    </w:p>
    <w:p w14:paraId="1B02ED25" w14:textId="77777777" w:rsidR="007028DE" w:rsidRPr="00B55AAA" w:rsidRDefault="007028DE" w:rsidP="00A813F2">
      <w:pPr>
        <w:spacing w:line="360" w:lineRule="auto"/>
        <w:ind w:firstLine="720"/>
        <w:jc w:val="both"/>
        <w:rPr>
          <w:rFonts w:ascii="Times New Roman" w:hAnsi="Times New Roman"/>
          <w:sz w:val="24"/>
          <w:szCs w:val="24"/>
        </w:rPr>
      </w:pPr>
      <w:r w:rsidRPr="00B55AAA">
        <w:rPr>
          <w:rFonts w:ascii="Times New Roman" w:hAnsi="Times New Roman"/>
          <w:sz w:val="24"/>
          <w:szCs w:val="24"/>
        </w:rPr>
        <w:t>Taip pat atkreipiame dėmesį, kad Perkančioji organizacija nustatydama pasiūlymo galiojimo bei sutarties įvykdymo užtikrinimo dydžius bei formą nesiekia diskriminuoti tiekėjų ar nustatyti neproporcingas Pirkimo sąlygas, bet nori, kad Pirkimą laimėtų patikimas tiekėjas, galintis prisiimti tokio masto įsipareigojimus.</w:t>
      </w:r>
    </w:p>
    <w:p w14:paraId="1CDCA5BC" w14:textId="5F655D6F" w:rsidR="00D72F69" w:rsidRPr="00B55AAA" w:rsidRDefault="00D72F69" w:rsidP="00B55AAA">
      <w:pPr>
        <w:spacing w:line="360" w:lineRule="auto"/>
        <w:ind w:firstLine="720"/>
        <w:jc w:val="both"/>
        <w:rPr>
          <w:rFonts w:ascii="Times New Roman" w:hAnsi="Times New Roman"/>
          <w:b/>
          <w:bCs/>
          <w:sz w:val="24"/>
          <w:szCs w:val="24"/>
        </w:rPr>
      </w:pPr>
      <w:r w:rsidRPr="00B55AAA">
        <w:rPr>
          <w:rFonts w:ascii="Times New Roman" w:hAnsi="Times New Roman"/>
          <w:b/>
          <w:bCs/>
          <w:sz w:val="24"/>
          <w:szCs w:val="24"/>
        </w:rPr>
        <w:t>Visi šie Pirkimo dokumentų paaiškinimai / patikslinimai laikomi neatsiejama Pirkimo dokumentų dalimi. Prašome jais vadovautis teikiant pasiūlymą.</w:t>
      </w:r>
    </w:p>
    <w:p w14:paraId="4EBE5233" w14:textId="77777777" w:rsidR="001F5FE2" w:rsidRPr="00B55AAA" w:rsidRDefault="001F5FE2" w:rsidP="00B55AAA">
      <w:pPr>
        <w:spacing w:line="360" w:lineRule="auto"/>
        <w:ind w:firstLine="720"/>
        <w:jc w:val="both"/>
        <w:rPr>
          <w:rFonts w:ascii="Times New Roman" w:hAnsi="Times New Roman"/>
          <w:b/>
          <w:bCs/>
          <w:sz w:val="24"/>
          <w:szCs w:val="24"/>
        </w:rPr>
      </w:pPr>
    </w:p>
    <w:p w14:paraId="57CEE155" w14:textId="7B27AC9A" w:rsidR="00D72F69" w:rsidRPr="00B55AAA" w:rsidRDefault="00D72F69" w:rsidP="00B55AAA">
      <w:pPr>
        <w:spacing w:line="360" w:lineRule="auto"/>
        <w:ind w:firstLine="720"/>
        <w:jc w:val="both"/>
        <w:rPr>
          <w:rFonts w:ascii="Times New Roman" w:eastAsia="Times New Roman" w:hAnsi="Times New Roman"/>
          <w:bCs/>
          <w:sz w:val="24"/>
          <w:szCs w:val="24"/>
        </w:rPr>
      </w:pPr>
      <w:r w:rsidRPr="00B55AAA">
        <w:rPr>
          <w:rFonts w:ascii="Times New Roman" w:eastAsia="Calibri" w:hAnsi="Times New Roman"/>
          <w:sz w:val="24"/>
          <w:szCs w:val="24"/>
        </w:rPr>
        <w:t xml:space="preserve">Tai pat informuojame, kad pratęsiamas pasiūlymų pateikimo terminas </w:t>
      </w:r>
      <w:r w:rsidRPr="00B55AAA">
        <w:rPr>
          <w:rFonts w:ascii="Times New Roman" w:eastAsia="Calibri" w:hAnsi="Times New Roman"/>
          <w:b/>
          <w:bCs/>
          <w:sz w:val="24"/>
          <w:szCs w:val="24"/>
        </w:rPr>
        <w:t xml:space="preserve">iki 2024 m. gruodžio </w:t>
      </w:r>
      <w:r w:rsidR="00574C86" w:rsidRPr="00B55AAA">
        <w:rPr>
          <w:rFonts w:ascii="Times New Roman" w:eastAsia="Calibri" w:hAnsi="Times New Roman"/>
          <w:b/>
          <w:bCs/>
          <w:sz w:val="24"/>
          <w:szCs w:val="24"/>
        </w:rPr>
        <w:t>23</w:t>
      </w:r>
      <w:r w:rsidRPr="00B55AAA">
        <w:rPr>
          <w:rFonts w:ascii="Times New Roman" w:eastAsia="Calibri" w:hAnsi="Times New Roman"/>
          <w:b/>
          <w:bCs/>
          <w:sz w:val="24"/>
          <w:szCs w:val="24"/>
        </w:rPr>
        <w:t xml:space="preserve"> d. 10:00 val., </w:t>
      </w:r>
      <w:r w:rsidRPr="00B55AAA">
        <w:rPr>
          <w:rFonts w:ascii="Times New Roman" w:eastAsia="Times New Roman" w:hAnsi="Times New Roman"/>
          <w:sz w:val="24"/>
          <w:szCs w:val="24"/>
        </w:rPr>
        <w:t xml:space="preserve">nukeliant jį iš 2024 m. </w:t>
      </w:r>
      <w:r w:rsidR="001F5FE2" w:rsidRPr="00B55AAA">
        <w:rPr>
          <w:rFonts w:ascii="Times New Roman" w:eastAsia="Calibri" w:hAnsi="Times New Roman"/>
          <w:sz w:val="24"/>
          <w:szCs w:val="24"/>
        </w:rPr>
        <w:t>gruodžio</w:t>
      </w:r>
      <w:r w:rsidRPr="00B55AAA">
        <w:rPr>
          <w:rFonts w:ascii="Times New Roman" w:eastAsia="Times New Roman" w:hAnsi="Times New Roman"/>
          <w:sz w:val="24"/>
          <w:szCs w:val="24"/>
        </w:rPr>
        <w:t xml:space="preserve"> </w:t>
      </w:r>
      <w:r w:rsidR="001F5FE2" w:rsidRPr="00B55AAA">
        <w:rPr>
          <w:rFonts w:ascii="Times New Roman" w:eastAsia="Times New Roman" w:hAnsi="Times New Roman"/>
          <w:sz w:val="24"/>
          <w:szCs w:val="24"/>
        </w:rPr>
        <w:t>1</w:t>
      </w:r>
      <w:r w:rsidR="005B5897" w:rsidRPr="00B55AAA">
        <w:rPr>
          <w:rFonts w:ascii="Times New Roman" w:eastAsia="Times New Roman" w:hAnsi="Times New Roman"/>
          <w:sz w:val="24"/>
          <w:szCs w:val="24"/>
        </w:rPr>
        <w:t>9</w:t>
      </w:r>
      <w:r w:rsidRPr="00B55AAA">
        <w:rPr>
          <w:rFonts w:ascii="Times New Roman" w:eastAsia="Times New Roman" w:hAnsi="Times New Roman"/>
          <w:sz w:val="24"/>
          <w:szCs w:val="24"/>
        </w:rPr>
        <w:t xml:space="preserve"> d. 10:00 val. į 2024 m. gruodžio </w:t>
      </w:r>
      <w:r w:rsidR="005B5897" w:rsidRPr="00B55AAA">
        <w:rPr>
          <w:rFonts w:ascii="Times New Roman" w:eastAsia="Times New Roman" w:hAnsi="Times New Roman"/>
          <w:sz w:val="24"/>
          <w:szCs w:val="24"/>
        </w:rPr>
        <w:t>23</w:t>
      </w:r>
      <w:r w:rsidRPr="00B55AAA">
        <w:rPr>
          <w:rFonts w:ascii="Times New Roman" w:eastAsia="Times New Roman" w:hAnsi="Times New Roman"/>
          <w:sz w:val="24"/>
          <w:szCs w:val="24"/>
        </w:rPr>
        <w:t xml:space="preserve"> d. 10:00 val.</w:t>
      </w:r>
    </w:p>
    <w:p w14:paraId="54653C47" w14:textId="77777777" w:rsidR="00D72F69" w:rsidRPr="007028DE" w:rsidRDefault="00D72F69" w:rsidP="007028DE">
      <w:pPr>
        <w:spacing w:line="360" w:lineRule="auto"/>
        <w:ind w:firstLine="720"/>
        <w:jc w:val="both"/>
        <w:rPr>
          <w:rFonts w:ascii="Times New Roman" w:hAnsi="Times New Roman"/>
          <w:b/>
          <w:bCs/>
          <w:sz w:val="24"/>
          <w:szCs w:val="24"/>
        </w:rPr>
      </w:pPr>
    </w:p>
    <w:p w14:paraId="4AC656E5" w14:textId="77777777" w:rsidR="00D72F69" w:rsidRPr="007028DE" w:rsidRDefault="00D72F69" w:rsidP="007028DE">
      <w:pPr>
        <w:spacing w:line="360" w:lineRule="auto"/>
        <w:jc w:val="both"/>
        <w:rPr>
          <w:rFonts w:ascii="Times New Roman" w:hAnsi="Times New Roman"/>
          <w:sz w:val="24"/>
          <w:szCs w:val="24"/>
        </w:rPr>
      </w:pPr>
    </w:p>
    <w:p w14:paraId="3E4B8245" w14:textId="77777777" w:rsidR="00D72F69" w:rsidRPr="007028DE" w:rsidRDefault="00D72F69" w:rsidP="007028DE">
      <w:pPr>
        <w:spacing w:line="360" w:lineRule="auto"/>
        <w:rPr>
          <w:rFonts w:ascii="Times New Roman" w:hAnsi="Times New Roman"/>
          <w:sz w:val="24"/>
          <w:szCs w:val="24"/>
        </w:rPr>
      </w:pPr>
    </w:p>
    <w:p w14:paraId="71D15A6B" w14:textId="77777777" w:rsidR="00D72F69" w:rsidRPr="007028DE" w:rsidRDefault="00D72F69" w:rsidP="007028DE">
      <w:pPr>
        <w:spacing w:line="360" w:lineRule="auto"/>
        <w:ind w:firstLine="567"/>
        <w:jc w:val="both"/>
        <w:rPr>
          <w:rFonts w:ascii="Times New Roman" w:hAnsi="Times New Roman"/>
          <w:sz w:val="24"/>
          <w:szCs w:val="24"/>
        </w:rPr>
      </w:pPr>
    </w:p>
    <w:p w14:paraId="0786B469" w14:textId="77777777" w:rsidR="00D72F69" w:rsidRPr="007028DE" w:rsidRDefault="00D72F69" w:rsidP="007028DE">
      <w:pPr>
        <w:spacing w:line="360" w:lineRule="auto"/>
        <w:rPr>
          <w:rFonts w:ascii="Times New Roman" w:hAnsi="Times New Roman"/>
          <w:iCs/>
          <w:sz w:val="24"/>
          <w:szCs w:val="24"/>
        </w:rPr>
      </w:pPr>
      <w:r w:rsidRPr="007028DE">
        <w:rPr>
          <w:rFonts w:ascii="Times New Roman" w:hAnsi="Times New Roman"/>
          <w:iCs/>
          <w:sz w:val="24"/>
          <w:szCs w:val="24"/>
        </w:rPr>
        <w:t>Viešojo pirkimo komisija</w:t>
      </w:r>
    </w:p>
    <w:sectPr w:rsidR="00D72F69" w:rsidRPr="007028DE" w:rsidSect="00001685">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69"/>
    <w:rsid w:val="001F5FE2"/>
    <w:rsid w:val="002254A5"/>
    <w:rsid w:val="002B5455"/>
    <w:rsid w:val="002C569A"/>
    <w:rsid w:val="00377ECD"/>
    <w:rsid w:val="003A16B4"/>
    <w:rsid w:val="00574C86"/>
    <w:rsid w:val="005B5897"/>
    <w:rsid w:val="005D27AC"/>
    <w:rsid w:val="005F5C55"/>
    <w:rsid w:val="007028DE"/>
    <w:rsid w:val="00721BE4"/>
    <w:rsid w:val="007C772F"/>
    <w:rsid w:val="007D2616"/>
    <w:rsid w:val="008C4105"/>
    <w:rsid w:val="00930F2F"/>
    <w:rsid w:val="009C1D0E"/>
    <w:rsid w:val="00A813F2"/>
    <w:rsid w:val="00B52E00"/>
    <w:rsid w:val="00B55AAA"/>
    <w:rsid w:val="00D72F69"/>
    <w:rsid w:val="00D77314"/>
    <w:rsid w:val="00D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8C08"/>
  <w15:chartTrackingRefBased/>
  <w15:docId w15:val="{3E2BDC5C-B218-46FB-B803-25864687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5FE2"/>
    <w:rPr>
      <w:color w:val="0563C1" w:themeColor="hyperlink"/>
      <w:u w:val="single"/>
    </w:rPr>
  </w:style>
  <w:style w:type="character" w:styleId="UnresolvedMention">
    <w:name w:val="Unresolved Mention"/>
    <w:basedOn w:val="DefaultParagraphFont"/>
    <w:uiPriority w:val="99"/>
    <w:semiHidden/>
    <w:unhideWhenUsed/>
    <w:rsid w:val="001F5FE2"/>
    <w:rPr>
      <w:color w:val="605E5C"/>
      <w:shd w:val="clear" w:color="auto" w:fill="E1DFDD"/>
    </w:rPr>
  </w:style>
  <w:style w:type="paragraph" w:styleId="TOC1">
    <w:name w:val="toc 1"/>
    <w:basedOn w:val="Normal"/>
    <w:next w:val="Normal"/>
    <w:autoRedefine/>
    <w:uiPriority w:val="39"/>
    <w:semiHidden/>
    <w:unhideWhenUsed/>
    <w:rsid w:val="001F5FE2"/>
    <w:pPr>
      <w:spacing w:after="100"/>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1F5F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vpp.eviesiejipirkimai.lt/Notice/Details/2024-643032"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2194</Words>
  <Characters>1252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Česlava Vaznienė</cp:lastModifiedBy>
  <cp:revision>17</cp:revision>
  <dcterms:created xsi:type="dcterms:W3CDTF">2024-12-13T07:30:00Z</dcterms:created>
  <dcterms:modified xsi:type="dcterms:W3CDTF">2024-12-16T13:44:00Z</dcterms:modified>
</cp:coreProperties>
</file>