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240" w:type="dxa"/>
        <w:tblInd w:w="5649" w:type="dxa"/>
        <w:tblLook w:val="01E0" w:firstRow="1" w:lastRow="1" w:firstColumn="1" w:lastColumn="1" w:noHBand="0" w:noVBand="0"/>
      </w:tblPr>
      <w:tblGrid>
        <w:gridCol w:w="4240"/>
      </w:tblGrid>
      <w:tr w:rsidR="003623DA" w:rsidRPr="003623DA" w14:paraId="244F0CF5" w14:textId="77777777" w:rsidTr="003623DA">
        <w:trPr>
          <w:trHeight w:val="267"/>
        </w:trPr>
        <w:tc>
          <w:tcPr>
            <w:tcW w:w="4240" w:type="dxa"/>
          </w:tcPr>
          <w:p w14:paraId="4797C435" w14:textId="77777777" w:rsidR="003623DA" w:rsidRPr="003623DA" w:rsidRDefault="003623DA" w:rsidP="003623DA">
            <w:pPr>
              <w:widowControl w:val="0"/>
              <w:ind w:left="-4"/>
              <w:jc w:val="both"/>
              <w:rPr>
                <w:szCs w:val="24"/>
                <w:lang w:eastAsia="en-US"/>
              </w:rPr>
            </w:pPr>
            <w:r w:rsidRPr="003623DA">
              <w:rPr>
                <w:rFonts w:eastAsia="Calibri"/>
                <w:szCs w:val="24"/>
              </w:rPr>
              <w:br w:type="page"/>
            </w:r>
            <w:r w:rsidRPr="003623DA">
              <w:rPr>
                <w:szCs w:val="24"/>
                <w:lang w:eastAsia="en-US"/>
              </w:rPr>
              <w:br w:type="page"/>
            </w:r>
            <w:r w:rsidRPr="003623DA">
              <w:rPr>
                <w:szCs w:val="24"/>
                <w:lang w:eastAsia="en-US"/>
              </w:rPr>
              <w:br w:type="page"/>
            </w:r>
            <w:r w:rsidRPr="003623DA">
              <w:rPr>
                <w:szCs w:val="24"/>
                <w:lang w:eastAsia="en-US"/>
              </w:rPr>
              <w:br w:type="page"/>
              <w:t>Pirkimo sąlygų</w:t>
            </w:r>
          </w:p>
        </w:tc>
      </w:tr>
      <w:tr w:rsidR="003623DA" w:rsidRPr="003623DA" w14:paraId="25FA147E" w14:textId="77777777" w:rsidTr="003623DA">
        <w:trPr>
          <w:trHeight w:val="258"/>
        </w:trPr>
        <w:tc>
          <w:tcPr>
            <w:tcW w:w="4240" w:type="dxa"/>
          </w:tcPr>
          <w:p w14:paraId="07B0D578" w14:textId="33B259C3" w:rsidR="003623DA" w:rsidRPr="003623DA" w:rsidRDefault="000E6A7D" w:rsidP="003623DA">
            <w:pPr>
              <w:widowControl w:val="0"/>
              <w:ind w:left="-4"/>
              <w:jc w:val="both"/>
              <w:rPr>
                <w:szCs w:val="24"/>
                <w:lang w:eastAsia="en-US"/>
              </w:rPr>
            </w:pPr>
            <w:r>
              <w:rPr>
                <w:szCs w:val="24"/>
                <w:lang w:eastAsia="en-US"/>
              </w:rPr>
              <w:t>1</w:t>
            </w:r>
            <w:r w:rsidR="003623DA" w:rsidRPr="003623DA">
              <w:rPr>
                <w:szCs w:val="24"/>
                <w:lang w:eastAsia="en-US"/>
              </w:rPr>
              <w:t xml:space="preserve"> priedas</w:t>
            </w:r>
            <w:r w:rsidR="003623DA">
              <w:rPr>
                <w:szCs w:val="24"/>
                <w:lang w:eastAsia="en-US"/>
              </w:rPr>
              <w:t xml:space="preserve"> „</w:t>
            </w:r>
            <w:r w:rsidR="003623DA" w:rsidRPr="003623DA">
              <w:rPr>
                <w:szCs w:val="24"/>
                <w:lang w:eastAsia="en-US"/>
              </w:rPr>
              <w:t>Techninė specifikacija</w:t>
            </w:r>
            <w:r w:rsidR="003623DA">
              <w:rPr>
                <w:szCs w:val="24"/>
                <w:lang w:eastAsia="en-US"/>
              </w:rPr>
              <w:t>“</w:t>
            </w:r>
          </w:p>
        </w:tc>
      </w:tr>
    </w:tbl>
    <w:p w14:paraId="08BCCD47" w14:textId="77777777" w:rsidR="00163473" w:rsidRDefault="00163473" w:rsidP="003623DA">
      <w:pPr>
        <w:pStyle w:val="Pagrindinistekstas"/>
        <w:rPr>
          <w:szCs w:val="24"/>
        </w:rPr>
      </w:pPr>
    </w:p>
    <w:p w14:paraId="4E1BBF2F" w14:textId="77777777" w:rsidR="004800C4" w:rsidRDefault="004800C4" w:rsidP="003623DA">
      <w:pPr>
        <w:pStyle w:val="Pagrindinistekstas"/>
        <w:rPr>
          <w:szCs w:val="24"/>
        </w:rPr>
      </w:pPr>
    </w:p>
    <w:p w14:paraId="1982563A" w14:textId="7655D921" w:rsidR="00196614" w:rsidRPr="007A05B6" w:rsidRDefault="00196614" w:rsidP="003623DA">
      <w:pPr>
        <w:jc w:val="center"/>
        <w:rPr>
          <w:b/>
        </w:rPr>
      </w:pPr>
      <w:r w:rsidRPr="007A05B6">
        <w:rPr>
          <w:b/>
        </w:rPr>
        <w:t>STUDIJŲ REGATA’</w:t>
      </w:r>
      <w:r w:rsidRPr="007A05B6">
        <w:rPr>
          <w:b/>
          <w:lang w:val="en-US"/>
        </w:rPr>
        <w:t>2</w:t>
      </w:r>
      <w:r w:rsidR="002E7275">
        <w:rPr>
          <w:b/>
          <w:lang w:val="en-US"/>
        </w:rPr>
        <w:t xml:space="preserve">6 </w:t>
      </w:r>
      <w:r w:rsidRPr="007A05B6">
        <w:rPr>
          <w:b/>
        </w:rPr>
        <w:t>RENGINIO ORGANIZAVIMO PASLAUGOS</w:t>
      </w:r>
    </w:p>
    <w:p w14:paraId="3832B4FB" w14:textId="77777777" w:rsidR="00196614" w:rsidRPr="007A05B6" w:rsidRDefault="00196614" w:rsidP="003623DA">
      <w:pPr>
        <w:jc w:val="center"/>
        <w:rPr>
          <w:rFonts w:eastAsia="Calibri"/>
          <w:b/>
        </w:rPr>
      </w:pPr>
      <w:r w:rsidRPr="007A05B6">
        <w:rPr>
          <w:b/>
        </w:rPr>
        <w:t>TECHNINĖ SPECIFIKACIJA</w:t>
      </w:r>
    </w:p>
    <w:p w14:paraId="0C55C6B8" w14:textId="77777777" w:rsidR="00196614" w:rsidRDefault="00196614" w:rsidP="003623DA">
      <w:pPr>
        <w:jc w:val="both"/>
      </w:pPr>
    </w:p>
    <w:p w14:paraId="51B549E6" w14:textId="48CE9AD4" w:rsidR="00196614" w:rsidRDefault="00196614" w:rsidP="003623DA">
      <w:pPr>
        <w:ind w:firstLine="851"/>
        <w:jc w:val="both"/>
        <w:rPr>
          <w:iCs/>
        </w:rPr>
      </w:pPr>
      <w:r>
        <w:t>Studijų Regata’2</w:t>
      </w:r>
      <w:r w:rsidR="002E7275">
        <w:rPr>
          <w:lang w:val="en-US"/>
        </w:rPr>
        <w:t>6</w:t>
      </w:r>
      <w:r>
        <w:t xml:space="preserve"> renginio tikslas - </w:t>
      </w:r>
      <w:r>
        <w:rPr>
          <w:iCs/>
        </w:rPr>
        <w:t>kviesti Vakarų Lietuvos moksleivius rinktis studijas arba profesinio ugdymo įstaigas Klaipėdos mieste.</w:t>
      </w:r>
    </w:p>
    <w:p w14:paraId="32E0DA37" w14:textId="77777777" w:rsidR="00196614" w:rsidRDefault="00196614" w:rsidP="003623DA">
      <w:pPr>
        <w:ind w:firstLine="851"/>
        <w:jc w:val="both"/>
      </w:pPr>
      <w:r>
        <w:t>Pagrindiniai reikalavimai paslaugai:</w:t>
      </w:r>
    </w:p>
    <w:p w14:paraId="3CDFAC74" w14:textId="77777777" w:rsidR="002E7275" w:rsidRPr="002E7275" w:rsidRDefault="002E7275" w:rsidP="003623DA">
      <w:pPr>
        <w:ind w:firstLine="851"/>
        <w:jc w:val="both"/>
        <w:rPr>
          <w:szCs w:val="24"/>
          <w:lang w:eastAsia="en-US"/>
        </w:rPr>
      </w:pPr>
      <w:r w:rsidRPr="002E7275">
        <w:rPr>
          <w:szCs w:val="24"/>
          <w:lang w:eastAsia="en-US"/>
        </w:rPr>
        <w:t>1. Renginys turi būti suorganizuotas 2026 m. vasario mėn. Tiksli data turi būti derinama su paslaugų gavėju.</w:t>
      </w:r>
    </w:p>
    <w:p w14:paraId="6BE7A851" w14:textId="77777777" w:rsidR="002E7275" w:rsidRPr="002E7275" w:rsidRDefault="002E7275" w:rsidP="003623DA">
      <w:pPr>
        <w:ind w:firstLine="851"/>
        <w:jc w:val="both"/>
        <w:rPr>
          <w:szCs w:val="24"/>
          <w:lang w:eastAsia="en-US"/>
        </w:rPr>
      </w:pPr>
      <w:r w:rsidRPr="002E7275">
        <w:rPr>
          <w:szCs w:val="24"/>
          <w:lang w:eastAsia="en-US"/>
        </w:rPr>
        <w:t>2. Renginio trukmė 5 val. (nuo 10:00 val. iki 15:00 val.)</w:t>
      </w:r>
    </w:p>
    <w:p w14:paraId="313124E3" w14:textId="77777777" w:rsidR="002E7275" w:rsidRPr="002E7275" w:rsidRDefault="002E7275" w:rsidP="003623DA">
      <w:pPr>
        <w:ind w:firstLine="851"/>
        <w:jc w:val="both"/>
        <w:rPr>
          <w:szCs w:val="24"/>
          <w:lang w:eastAsia="en-US"/>
        </w:rPr>
      </w:pPr>
      <w:r w:rsidRPr="002E7275">
        <w:rPr>
          <w:szCs w:val="24"/>
          <w:lang w:eastAsia="en-US"/>
        </w:rPr>
        <w:t>3. Renginys turi būti organizuojamas Švyturio arenoje.</w:t>
      </w:r>
    </w:p>
    <w:p w14:paraId="4560DCE0" w14:textId="77777777" w:rsidR="002E7275" w:rsidRPr="002E7275" w:rsidRDefault="002E7275" w:rsidP="003623DA">
      <w:pPr>
        <w:ind w:firstLine="851"/>
        <w:jc w:val="both"/>
        <w:rPr>
          <w:szCs w:val="24"/>
          <w:lang w:eastAsia="en-US"/>
        </w:rPr>
      </w:pPr>
      <w:r w:rsidRPr="002E7275">
        <w:rPr>
          <w:szCs w:val="24"/>
          <w:lang w:eastAsia="en-US"/>
        </w:rPr>
        <w:t>4. Paslaugos teikėjas turi užtikrinti renginio administravimą nuo Sutarties įsigaliojimo dienos iki renginio pabaigos.</w:t>
      </w:r>
    </w:p>
    <w:p w14:paraId="300650FF" w14:textId="77777777" w:rsidR="002E7275" w:rsidRPr="002E7275" w:rsidRDefault="002E7275" w:rsidP="003623DA">
      <w:pPr>
        <w:ind w:firstLine="851"/>
        <w:jc w:val="both"/>
        <w:rPr>
          <w:szCs w:val="24"/>
          <w:lang w:eastAsia="en-US"/>
        </w:rPr>
      </w:pPr>
      <w:r w:rsidRPr="002E7275">
        <w:rPr>
          <w:szCs w:val="24"/>
          <w:lang w:eastAsia="en-US"/>
        </w:rPr>
        <w:t>5. Paslaugų teikėjas turi pasirūpinti dalyvių (aukštųjų, profesinių mokyklų) dalyvavimu iš visos Lietuvos. Ne mažiau nei 10 aukštųjų mokyklų ir ne mažiau kaip 5 profesinės mokyklos.</w:t>
      </w:r>
    </w:p>
    <w:p w14:paraId="7D5E1562" w14:textId="77777777" w:rsidR="002E7275" w:rsidRPr="002E7275" w:rsidRDefault="002E7275" w:rsidP="003623DA">
      <w:pPr>
        <w:ind w:firstLine="851"/>
        <w:jc w:val="both"/>
        <w:rPr>
          <w:szCs w:val="24"/>
          <w:lang w:eastAsia="en-US"/>
        </w:rPr>
      </w:pPr>
      <w:r w:rsidRPr="002E7275">
        <w:rPr>
          <w:szCs w:val="24"/>
          <w:lang w:eastAsia="en-US"/>
        </w:rPr>
        <w:t>6. Paslaugų teikėjas turi pasirūpinti, kad Klaipėdos aukštosios ir profesinės mokyklos, Klaipėdos organizacijos, įstaigos (išskyrus verslo subjektus) ekspozicijos plotą, elektrą, internetą ir kitas technines detales, susijusias su renginiu, gautų neatlygintinai.</w:t>
      </w:r>
    </w:p>
    <w:p w14:paraId="1D674D23" w14:textId="77777777" w:rsidR="002E7275" w:rsidRPr="002E7275" w:rsidRDefault="002E7275" w:rsidP="003623DA">
      <w:pPr>
        <w:ind w:firstLine="851"/>
        <w:jc w:val="both"/>
        <w:rPr>
          <w:szCs w:val="24"/>
          <w:lang w:eastAsia="en-US"/>
        </w:rPr>
      </w:pPr>
      <w:r w:rsidRPr="002E7275">
        <w:rPr>
          <w:szCs w:val="24"/>
          <w:lang w:eastAsia="en-US"/>
        </w:rPr>
        <w:t>7. Paslaugų teikėjas turi pasirūpinti visa ekspozicinių stendų įrengimui reikalinga technine dalimi (elektra stenduose, stendų konstrukcijos (pagal aukštųjų ir profesinių mokyklų pageidavimą) internetas, Švyturio arenos apsauga, valymas). Švyturio arenos nuoma pasirūpins paslaugų gavėjas.</w:t>
      </w:r>
    </w:p>
    <w:p w14:paraId="1F06E6FF" w14:textId="77777777" w:rsidR="002E7275" w:rsidRPr="002E7275" w:rsidRDefault="002E7275" w:rsidP="003623DA">
      <w:pPr>
        <w:ind w:firstLine="851"/>
        <w:jc w:val="both"/>
        <w:rPr>
          <w:szCs w:val="24"/>
          <w:lang w:eastAsia="en-US"/>
        </w:rPr>
      </w:pPr>
      <w:r w:rsidRPr="002E7275">
        <w:rPr>
          <w:szCs w:val="24"/>
          <w:lang w:eastAsia="en-US"/>
        </w:rPr>
        <w:t>8. Paslaugų teikėjas turi organizuoti susitikimus su Klaipėdos aukštosiomis ir profesinėmis mokyklomis bei paslaugų gavėjų pagal poreikį, bet ne rečiau kaip kartą į dvi savaites.</w:t>
      </w:r>
    </w:p>
    <w:p w14:paraId="66D88FB6" w14:textId="77777777" w:rsidR="002E7275" w:rsidRPr="002E7275" w:rsidRDefault="002E7275" w:rsidP="003623DA">
      <w:pPr>
        <w:ind w:firstLine="851"/>
        <w:jc w:val="both"/>
        <w:rPr>
          <w:szCs w:val="24"/>
          <w:lang w:eastAsia="en-US"/>
        </w:rPr>
      </w:pPr>
      <w:r w:rsidRPr="002E7275">
        <w:rPr>
          <w:szCs w:val="24"/>
          <w:lang w:eastAsia="en-US"/>
        </w:rPr>
        <w:t>9. Paslaugų teikėjas turi pirmiausia ekspozicinius plotus suderinti su Klaipėdos aukštosiomis ir profesinėmis mokyklomis ir tik joms pasitvirtinus plotus, likusi Švyturio arenos dalis gali būti dalinama kitų miestų aukštosioms ir profesinėms mokykloms.</w:t>
      </w:r>
    </w:p>
    <w:p w14:paraId="1D0E3979" w14:textId="77777777" w:rsidR="002E7275" w:rsidRPr="002E7275" w:rsidRDefault="002E7275" w:rsidP="003623DA">
      <w:pPr>
        <w:ind w:firstLine="851"/>
        <w:jc w:val="both"/>
        <w:rPr>
          <w:szCs w:val="24"/>
          <w:lang w:eastAsia="en-US"/>
        </w:rPr>
      </w:pPr>
      <w:r w:rsidRPr="002E7275">
        <w:rPr>
          <w:szCs w:val="24"/>
          <w:lang w:eastAsia="en-US"/>
        </w:rPr>
        <w:t>10. Paslaugų teikėjas gali imti mokestį už ekspozicinius plotus iš kitų miestų aukštųjų ir profesinių mokyklų, organizacijų, verslo subjektų. Mokestis už 1 kv. m. negali viršyti 70 Eur su PVM.</w:t>
      </w:r>
    </w:p>
    <w:p w14:paraId="45BF9034" w14:textId="77777777" w:rsidR="002E7275" w:rsidRPr="002E7275" w:rsidRDefault="002E7275" w:rsidP="003623DA">
      <w:pPr>
        <w:ind w:firstLine="851"/>
        <w:jc w:val="both"/>
        <w:rPr>
          <w:szCs w:val="24"/>
          <w:lang w:eastAsia="en-US"/>
        </w:rPr>
      </w:pPr>
      <w:r w:rsidRPr="002E7275">
        <w:rPr>
          <w:szCs w:val="24"/>
          <w:lang w:eastAsia="en-US"/>
        </w:rPr>
        <w:t>11. Paslaugų teikėjas turi tarpininkauti ir vykdyti komunikaciją su Švyturio arena.</w:t>
      </w:r>
    </w:p>
    <w:p w14:paraId="610BEC09" w14:textId="77777777" w:rsidR="002E7275" w:rsidRPr="002E7275" w:rsidRDefault="002E7275" w:rsidP="003623DA">
      <w:pPr>
        <w:ind w:firstLine="851"/>
        <w:jc w:val="both"/>
        <w:rPr>
          <w:szCs w:val="24"/>
          <w:lang w:eastAsia="en-US"/>
        </w:rPr>
      </w:pPr>
      <w:r w:rsidRPr="002E7275">
        <w:rPr>
          <w:szCs w:val="24"/>
          <w:lang w:eastAsia="en-US"/>
        </w:rPr>
        <w:t>12. Paslaugų teikėjas turi vykdyti dalyvių registraciją (kitų miestų aukštųjų, profesinių mokyklų, įstaigų). Turi būti užtikrinta komunikacija su užsiregistravusiomis įstaigomis, suteikiama reikalinga informacija ir priemonės paminėtos 7 punkte.</w:t>
      </w:r>
    </w:p>
    <w:p w14:paraId="216B0A9C" w14:textId="77777777" w:rsidR="002E7275" w:rsidRPr="002E7275" w:rsidRDefault="002E7275" w:rsidP="003623DA">
      <w:pPr>
        <w:ind w:firstLine="851"/>
        <w:jc w:val="both"/>
        <w:rPr>
          <w:szCs w:val="24"/>
          <w:lang w:eastAsia="en-US"/>
        </w:rPr>
      </w:pPr>
      <w:r w:rsidRPr="002E7275">
        <w:rPr>
          <w:szCs w:val="24"/>
          <w:lang w:eastAsia="en-US"/>
        </w:rPr>
        <w:t>13. Paslaugų teikėjas turi pasirūpinti, kad informacija apie renginį pasiektų visas Vakarų regiono mokyklas. Ne mažiau negu 50 mokyklų.</w:t>
      </w:r>
    </w:p>
    <w:p w14:paraId="2282C762" w14:textId="77777777" w:rsidR="002E7275" w:rsidRPr="002E7275" w:rsidRDefault="002E7275" w:rsidP="003623DA">
      <w:pPr>
        <w:ind w:firstLine="851"/>
        <w:jc w:val="both"/>
        <w:rPr>
          <w:szCs w:val="24"/>
          <w:lang w:eastAsia="en-US"/>
        </w:rPr>
      </w:pPr>
      <w:r w:rsidRPr="002E7275">
        <w:rPr>
          <w:szCs w:val="24"/>
          <w:lang w:eastAsia="en-US"/>
        </w:rPr>
        <w:t>14. Organizatorius turi pasirūpinti renginio profesionaliu įgarsinimo, apšvietimo sistemomis ir jas techniškai aprūpinti bei aptarnauti. Garso sistema turi būti įrengta atsižvelgiant į atlikėjų techninius nurodymus. Apšvietimo sistema turi būti pritaikyta atlikėjų koncertui arba kitokiam pasirodymui organizuoti renginio metu.</w:t>
      </w:r>
    </w:p>
    <w:p w14:paraId="0E27C3BC" w14:textId="77777777" w:rsidR="002E7275" w:rsidRPr="002E7275" w:rsidRDefault="002E7275" w:rsidP="003623DA">
      <w:pPr>
        <w:ind w:firstLine="851"/>
        <w:jc w:val="both"/>
        <w:rPr>
          <w:szCs w:val="24"/>
          <w:lang w:eastAsia="en-US"/>
        </w:rPr>
      </w:pPr>
      <w:r w:rsidRPr="002E7275">
        <w:rPr>
          <w:szCs w:val="24"/>
          <w:lang w:eastAsia="en-US"/>
        </w:rPr>
        <w:t>15. Paslaugų teikėjas turi teikti pasiūlymus kuriant renginio programą, sudaryti ir užtikrinti sklandų programos organizavimą</w:t>
      </w:r>
    </w:p>
    <w:p w14:paraId="268CC190" w14:textId="77777777" w:rsidR="002E7275" w:rsidRPr="002E7275" w:rsidRDefault="002E7275" w:rsidP="003623DA">
      <w:pPr>
        <w:ind w:firstLine="851"/>
        <w:jc w:val="both"/>
        <w:rPr>
          <w:szCs w:val="24"/>
          <w:lang w:eastAsia="en-US"/>
        </w:rPr>
      </w:pPr>
      <w:r w:rsidRPr="002E7275">
        <w:rPr>
          <w:szCs w:val="24"/>
          <w:lang w:eastAsia="en-US"/>
        </w:rPr>
        <w:t>16. Organizatorius turi pasirūpinti scenos dekoru (studijų regatos foto sienelė, 7 kėdės diskusijai, stalelis vandeniui, projektorius su ekranu kur turi būti studijų regatos dalyvių logotipai, bent trys kiti dekoro akcentai kurie turi būti suderinti su paslaugų gavėju).</w:t>
      </w:r>
    </w:p>
    <w:p w14:paraId="00EA88FC" w14:textId="77777777" w:rsidR="002E7275" w:rsidRPr="002E7275" w:rsidRDefault="002E7275" w:rsidP="003623DA">
      <w:pPr>
        <w:ind w:firstLine="851"/>
        <w:jc w:val="both"/>
        <w:rPr>
          <w:szCs w:val="24"/>
          <w:lang w:eastAsia="en-US"/>
        </w:rPr>
      </w:pPr>
      <w:r w:rsidRPr="002E7275">
        <w:rPr>
          <w:szCs w:val="24"/>
          <w:lang w:eastAsia="en-US"/>
        </w:rPr>
        <w:t>17. Organizatorius turi pasirūpinti renginio moderatoriumi. Renginio scenarijus turi būti suderintas su paslaugų gavėju likus dviem savaitėms iki renginio.</w:t>
      </w:r>
    </w:p>
    <w:p w14:paraId="4095CC97" w14:textId="77777777" w:rsidR="002E7275" w:rsidRPr="002E7275" w:rsidRDefault="002E7275" w:rsidP="003623DA">
      <w:pPr>
        <w:ind w:firstLine="851"/>
        <w:jc w:val="both"/>
        <w:rPr>
          <w:szCs w:val="24"/>
          <w:lang w:eastAsia="en-US"/>
        </w:rPr>
      </w:pPr>
      <w:r w:rsidRPr="002E7275">
        <w:rPr>
          <w:szCs w:val="24"/>
          <w:lang w:eastAsia="en-US"/>
        </w:rPr>
        <w:t>18. Renginyje turi vykti žemiau išvardintos veiklos, kurios turi vykti pagal su Paslaugų gavėju suderintą scenarijų ir paskirstytos laike ir erdvėje pagal Paslaugų gavėjo siūlymą:</w:t>
      </w:r>
    </w:p>
    <w:p w14:paraId="4DD69AAB" w14:textId="77777777" w:rsidR="002E7275" w:rsidRPr="002E7275" w:rsidRDefault="002E7275" w:rsidP="003623DA">
      <w:pPr>
        <w:ind w:firstLine="851"/>
        <w:jc w:val="both"/>
        <w:rPr>
          <w:szCs w:val="24"/>
          <w:lang w:eastAsia="en-US"/>
        </w:rPr>
      </w:pPr>
      <w:r w:rsidRPr="002E7275">
        <w:rPr>
          <w:szCs w:val="24"/>
          <w:lang w:eastAsia="en-US"/>
        </w:rPr>
        <w:lastRenderedPageBreak/>
        <w:t>18.1. Aukštųjų ir profesinių mokyklų prisistatymas ir tiesioginis bendravimas su renginio svečiais jiems aktualiais studijų ir karjeros klausimais;</w:t>
      </w:r>
    </w:p>
    <w:p w14:paraId="3CF860F2" w14:textId="77777777" w:rsidR="002E7275" w:rsidRPr="002E7275" w:rsidRDefault="002E7275" w:rsidP="003623DA">
      <w:pPr>
        <w:ind w:firstLine="851"/>
        <w:jc w:val="both"/>
        <w:rPr>
          <w:szCs w:val="24"/>
          <w:lang w:eastAsia="en-US"/>
        </w:rPr>
      </w:pPr>
      <w:r w:rsidRPr="002E7275">
        <w:rPr>
          <w:szCs w:val="24"/>
          <w:lang w:eastAsia="en-US"/>
        </w:rPr>
        <w:t>18.2. Informacijos apie renginį teikimas viso renginio metu (paskelbimas apie vykstančias diskusijas, aukštųjų mokyklų skelbimai ne ilgesni nei 100 sek. trukmės ir kita reikalinga informacija)</w:t>
      </w:r>
    </w:p>
    <w:p w14:paraId="1FAC010D" w14:textId="77777777" w:rsidR="002E7275" w:rsidRPr="002E7275" w:rsidRDefault="002E7275" w:rsidP="003623DA">
      <w:pPr>
        <w:ind w:firstLine="851"/>
        <w:jc w:val="both"/>
        <w:rPr>
          <w:szCs w:val="24"/>
          <w:lang w:eastAsia="en-US"/>
        </w:rPr>
      </w:pPr>
      <w:r w:rsidRPr="002E7275">
        <w:rPr>
          <w:szCs w:val="24"/>
          <w:lang w:eastAsia="en-US"/>
        </w:rPr>
        <w:t>18.3. Užtikrinti 2 meninius pasirodymus, kurių trukmė ne trumpesnė nei keturios minutės, renginio metu ir koncertą renginiui pasibaigus ne trumpesnį nei 45 minutės;</w:t>
      </w:r>
    </w:p>
    <w:p w14:paraId="24B12119" w14:textId="77777777" w:rsidR="002E7275" w:rsidRPr="002E7275" w:rsidRDefault="002E7275" w:rsidP="003623DA">
      <w:pPr>
        <w:ind w:firstLine="851"/>
        <w:jc w:val="both"/>
        <w:rPr>
          <w:szCs w:val="24"/>
          <w:lang w:eastAsia="en-US"/>
        </w:rPr>
      </w:pPr>
      <w:r w:rsidRPr="002E7275">
        <w:rPr>
          <w:szCs w:val="24"/>
          <w:lang w:eastAsia="en-US"/>
        </w:rPr>
        <w:t>19. Renginio metu turi būti užtikrinta koordinacija tiek tarp renginio dalyvių, tiek tarp Paslaugų gavėjo atstovo.</w:t>
      </w:r>
    </w:p>
    <w:p w14:paraId="3A4F7999" w14:textId="77777777" w:rsidR="002E7275" w:rsidRPr="002E7275" w:rsidRDefault="002E7275" w:rsidP="003623DA">
      <w:pPr>
        <w:ind w:firstLine="851"/>
        <w:jc w:val="both"/>
        <w:rPr>
          <w:szCs w:val="24"/>
          <w:lang w:eastAsia="en-US"/>
        </w:rPr>
      </w:pPr>
      <w:r w:rsidRPr="002E7275">
        <w:rPr>
          <w:szCs w:val="24"/>
          <w:lang w:eastAsia="en-US"/>
        </w:rPr>
        <w:t>20. Paslaugų teikėjas turi užtikrinti renginio fotografavimas, po kurio pateikiama ne mažiau 50 retušuotų renginio nuotraukų.</w:t>
      </w:r>
    </w:p>
    <w:p w14:paraId="252EA111" w14:textId="15F8C14B" w:rsidR="00196614" w:rsidRDefault="002E7275" w:rsidP="003623DA">
      <w:pPr>
        <w:ind w:firstLine="851"/>
        <w:jc w:val="both"/>
      </w:pPr>
      <w:r w:rsidRPr="002E7275">
        <w:rPr>
          <w:szCs w:val="24"/>
          <w:lang w:eastAsia="en-US"/>
        </w:rPr>
        <w:t>21. Organizatorius turi pasirūpinti, kad šiukšlės būtų rūšiuojamos jų susidarymo vietoje, nebūtų naudojami vienkartiniai plastikiniai indai.</w:t>
      </w:r>
    </w:p>
    <w:p w14:paraId="3D9D4CA4" w14:textId="31F3B176" w:rsidR="003623DA" w:rsidRPr="003623DA" w:rsidRDefault="003623DA" w:rsidP="003623DA">
      <w:pPr>
        <w:ind w:firstLine="851"/>
        <w:jc w:val="both"/>
        <w:rPr>
          <w:rFonts w:eastAsia="Calibri"/>
          <w:szCs w:val="24"/>
          <w:lang w:eastAsia="en-US"/>
        </w:rPr>
      </w:pPr>
      <w:r w:rsidRPr="003623DA">
        <w:rPr>
          <w:rFonts w:eastAsia="Calibri"/>
          <w:szCs w:val="24"/>
          <w:lang w:eastAsia="en-US"/>
        </w:rPr>
        <w:t>22. APLINKOS APSAUGOS KRITERIJAI.</w:t>
      </w:r>
      <w:r>
        <w:rPr>
          <w:rFonts w:eastAsia="Calibri"/>
          <w:b/>
          <w:bCs/>
          <w:szCs w:val="24"/>
          <w:lang w:eastAsia="en-US"/>
        </w:rPr>
        <w:t xml:space="preserve"> </w:t>
      </w:r>
      <w:r w:rsidRPr="003623DA">
        <w:rPr>
          <w:rFonts w:eastAsia="Calibri"/>
          <w:szCs w:val="24"/>
          <w:lang w:eastAsia="en-US"/>
        </w:rPr>
        <w:t>Vykdant sutartį Paslaugų gavėjas ir Paslaugų teikėjas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56920452" w14:textId="77777777" w:rsidR="003623DA" w:rsidRPr="003623DA" w:rsidRDefault="003623DA" w:rsidP="003623DA">
      <w:pPr>
        <w:ind w:firstLine="851"/>
        <w:jc w:val="both"/>
        <w:rPr>
          <w:rFonts w:eastAsia="Calibri"/>
          <w:szCs w:val="24"/>
          <w:lang w:eastAsia="en-US"/>
        </w:rPr>
      </w:pPr>
      <w:r w:rsidRPr="003623DA">
        <w:rPr>
          <w:rFonts w:eastAsia="Calibri"/>
          <w:szCs w:val="24"/>
          <w:lang w:eastAsia="en-US"/>
        </w:rPr>
        <w:t>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3ABCA856" w14:textId="77777777" w:rsidR="003623DA" w:rsidRPr="003623DA" w:rsidRDefault="003623DA" w:rsidP="003623DA">
      <w:pPr>
        <w:ind w:firstLine="851"/>
        <w:jc w:val="both"/>
        <w:rPr>
          <w:rFonts w:eastAsia="Calibri"/>
          <w:szCs w:val="24"/>
          <w:lang w:eastAsia="en-US"/>
        </w:rPr>
      </w:pPr>
      <w:r w:rsidRPr="003623DA">
        <w:rPr>
          <w:rFonts w:eastAsia="Calibri"/>
          <w:szCs w:val="24"/>
          <w:lang w:eastAsia="en-US"/>
        </w:rPr>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7292D051" w14:textId="77777777" w:rsidR="003623DA" w:rsidRPr="003623DA" w:rsidRDefault="003623DA" w:rsidP="003623DA">
      <w:pPr>
        <w:ind w:firstLine="851"/>
        <w:jc w:val="both"/>
        <w:rPr>
          <w:rFonts w:eastAsia="Calibri"/>
          <w:szCs w:val="24"/>
          <w:lang w:eastAsia="en-US"/>
        </w:rPr>
      </w:pPr>
      <w:r w:rsidRPr="003623DA">
        <w:rPr>
          <w:rFonts w:eastAsia="Calibri"/>
          <w:szCs w:val="24"/>
          <w:lang w:eastAsia="en-US"/>
        </w:rPr>
        <w:t>2) gaminys turi būti nebalintas arba balintas nenaudojant chloro dujų.</w:t>
      </w:r>
    </w:p>
    <w:p w14:paraId="054EB4E8" w14:textId="77777777" w:rsidR="003623DA" w:rsidRPr="003623DA" w:rsidRDefault="003623DA" w:rsidP="003623DA">
      <w:pPr>
        <w:ind w:firstLine="851"/>
        <w:jc w:val="both"/>
        <w:rPr>
          <w:rFonts w:eastAsia="Calibri"/>
          <w:szCs w:val="24"/>
          <w:lang w:eastAsia="en-US"/>
        </w:rPr>
      </w:pPr>
      <w:r w:rsidRPr="003623DA">
        <w:rPr>
          <w:rFonts w:eastAsia="Calibri"/>
          <w:szCs w:val="24"/>
          <w:lang w:eastAsia="en-US"/>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377ED6F6" w14:textId="77777777" w:rsidR="003623DA" w:rsidRPr="003623DA" w:rsidRDefault="003623DA" w:rsidP="003623DA">
      <w:pPr>
        <w:ind w:firstLine="851"/>
        <w:jc w:val="both"/>
        <w:rPr>
          <w:rFonts w:eastAsia="Calibri"/>
          <w:szCs w:val="24"/>
          <w:lang w:eastAsia="en-US"/>
        </w:rPr>
      </w:pPr>
      <w:r w:rsidRPr="003623DA">
        <w:rPr>
          <w:rFonts w:eastAsia="Calibri"/>
          <w:szCs w:val="24"/>
          <w:lang w:eastAsia="en-US"/>
        </w:rPr>
        <w:t>Esant poreikiui, Pirkėjas gali pareikalauti pateikti naudojamo popieriaus atitiktį įrodančius dokumentus, Tiekėjas įsipareigoja tokius dokumentus pateikti ne vėliu kaip per 3 d. d. nuo Pirkėjo pareikalavimo. Tiekėjui nepateikus šių dokumentų per Pirkėjo nurodytą terminą ir/ar paslaugų teikime naudojant kitą popierių, bus taikoma sutarties specialiųjų sąlygų 9.5 p. numatyta atsakomybė.</w:t>
      </w:r>
    </w:p>
    <w:p w14:paraId="08E5BFF4" w14:textId="77777777" w:rsidR="007F4D1C" w:rsidRDefault="007F4D1C" w:rsidP="003623DA">
      <w:pPr>
        <w:pStyle w:val="Pagrindinistekstas"/>
        <w:rPr>
          <w:szCs w:val="24"/>
        </w:rPr>
      </w:pPr>
    </w:p>
    <w:p w14:paraId="71019EA6" w14:textId="77777777" w:rsidR="007F4D1C" w:rsidRDefault="007F4D1C" w:rsidP="003623DA">
      <w:pPr>
        <w:pStyle w:val="Pagrindinistekstas"/>
        <w:jc w:val="center"/>
        <w:rPr>
          <w:szCs w:val="24"/>
        </w:rPr>
      </w:pPr>
      <w:r>
        <w:rPr>
          <w:szCs w:val="24"/>
        </w:rPr>
        <w:t>_____________________</w:t>
      </w:r>
    </w:p>
    <w:sectPr w:rsidR="007F4D1C" w:rsidSect="00BB56AF">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D71D" w14:textId="77777777" w:rsidR="00BE4D0C" w:rsidRDefault="00BE4D0C" w:rsidP="00F41647">
      <w:r>
        <w:separator/>
      </w:r>
    </w:p>
  </w:endnote>
  <w:endnote w:type="continuationSeparator" w:id="0">
    <w:p w14:paraId="50CCC8F7" w14:textId="77777777" w:rsidR="00BE4D0C" w:rsidRDefault="00BE4D0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77DA" w14:textId="77777777" w:rsidR="00BE4D0C" w:rsidRDefault="00BE4D0C" w:rsidP="00F41647">
      <w:r>
        <w:separator/>
      </w:r>
    </w:p>
  </w:footnote>
  <w:footnote w:type="continuationSeparator" w:id="0">
    <w:p w14:paraId="33C7460B" w14:textId="77777777" w:rsidR="00BE4D0C" w:rsidRDefault="00BE4D0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F447349" w14:textId="77777777" w:rsidR="00BB56AF" w:rsidRDefault="00BB56AF">
        <w:pPr>
          <w:pStyle w:val="Antrats"/>
          <w:jc w:val="center"/>
        </w:pPr>
        <w:r>
          <w:fldChar w:fldCharType="begin"/>
        </w:r>
        <w:r>
          <w:instrText>PAGE   \* MERGEFORMAT</w:instrText>
        </w:r>
        <w:r>
          <w:fldChar w:fldCharType="separate"/>
        </w:r>
        <w:r w:rsidR="00196614">
          <w:rPr>
            <w:noProof/>
          </w:rPr>
          <w:t>2</w:t>
        </w:r>
        <w:r>
          <w:fldChar w:fldCharType="end"/>
        </w:r>
      </w:p>
    </w:sdtContent>
  </w:sdt>
  <w:p w14:paraId="3007A657"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A845DC"/>
    <w:multiLevelType w:val="multilevel"/>
    <w:tmpl w:val="8BA8146A"/>
    <w:lvl w:ilvl="0">
      <w:start w:val="1"/>
      <w:numFmt w:val="decimal"/>
      <w:lvlText w:val="%1."/>
      <w:lvlJc w:val="left"/>
      <w:pPr>
        <w:ind w:left="786" w:hanging="360"/>
      </w:pPr>
    </w:lvl>
    <w:lvl w:ilvl="1">
      <w:start w:val="1"/>
      <w:numFmt w:val="decimal"/>
      <w:isLgl/>
      <w:lvlText w:val="%1.%2."/>
      <w:lvlJc w:val="left"/>
      <w:pPr>
        <w:ind w:left="906" w:hanging="48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5AD"/>
    <w:rsid w:val="00013AC3"/>
    <w:rsid w:val="00024730"/>
    <w:rsid w:val="000944BF"/>
    <w:rsid w:val="000E6A7D"/>
    <w:rsid w:val="000E6C34"/>
    <w:rsid w:val="00123F89"/>
    <w:rsid w:val="001444C8"/>
    <w:rsid w:val="00163473"/>
    <w:rsid w:val="00196614"/>
    <w:rsid w:val="001B01B1"/>
    <w:rsid w:val="001D1AE7"/>
    <w:rsid w:val="00237B69"/>
    <w:rsid w:val="00242B88"/>
    <w:rsid w:val="002441A6"/>
    <w:rsid w:val="00291226"/>
    <w:rsid w:val="002E7275"/>
    <w:rsid w:val="00324750"/>
    <w:rsid w:val="00336800"/>
    <w:rsid w:val="003400E0"/>
    <w:rsid w:val="003452FA"/>
    <w:rsid w:val="00347F54"/>
    <w:rsid w:val="003623DA"/>
    <w:rsid w:val="003677E4"/>
    <w:rsid w:val="00384543"/>
    <w:rsid w:val="003A2633"/>
    <w:rsid w:val="003A3546"/>
    <w:rsid w:val="003A7A13"/>
    <w:rsid w:val="003B0332"/>
    <w:rsid w:val="003C09F9"/>
    <w:rsid w:val="003E5D65"/>
    <w:rsid w:val="003E603A"/>
    <w:rsid w:val="003F362A"/>
    <w:rsid w:val="00405B54"/>
    <w:rsid w:val="00417564"/>
    <w:rsid w:val="00433CCC"/>
    <w:rsid w:val="004545AD"/>
    <w:rsid w:val="00472954"/>
    <w:rsid w:val="004800C4"/>
    <w:rsid w:val="00572074"/>
    <w:rsid w:val="00594E71"/>
    <w:rsid w:val="005C29DF"/>
    <w:rsid w:val="005C6161"/>
    <w:rsid w:val="00606132"/>
    <w:rsid w:val="00677ADA"/>
    <w:rsid w:val="00686EFB"/>
    <w:rsid w:val="006C290C"/>
    <w:rsid w:val="006E106A"/>
    <w:rsid w:val="006E626E"/>
    <w:rsid w:val="006F416F"/>
    <w:rsid w:val="006F4715"/>
    <w:rsid w:val="00710820"/>
    <w:rsid w:val="007317A0"/>
    <w:rsid w:val="007349C1"/>
    <w:rsid w:val="007775F7"/>
    <w:rsid w:val="00780782"/>
    <w:rsid w:val="007F4D1C"/>
    <w:rsid w:val="00801E4F"/>
    <w:rsid w:val="008623E9"/>
    <w:rsid w:val="00864F6F"/>
    <w:rsid w:val="008C6BDA"/>
    <w:rsid w:val="008D69DD"/>
    <w:rsid w:val="008E0921"/>
    <w:rsid w:val="008E16E5"/>
    <w:rsid w:val="008F665C"/>
    <w:rsid w:val="00932DDD"/>
    <w:rsid w:val="009468D1"/>
    <w:rsid w:val="00A3260E"/>
    <w:rsid w:val="00A44DC7"/>
    <w:rsid w:val="00A56070"/>
    <w:rsid w:val="00A8670A"/>
    <w:rsid w:val="00A86BCE"/>
    <w:rsid w:val="00A9592B"/>
    <w:rsid w:val="00A968CB"/>
    <w:rsid w:val="00AA5DFD"/>
    <w:rsid w:val="00AD2EE1"/>
    <w:rsid w:val="00B40258"/>
    <w:rsid w:val="00B7320C"/>
    <w:rsid w:val="00BB07E2"/>
    <w:rsid w:val="00BB56AF"/>
    <w:rsid w:val="00BB5742"/>
    <w:rsid w:val="00BB5928"/>
    <w:rsid w:val="00BE4D0C"/>
    <w:rsid w:val="00C70A51"/>
    <w:rsid w:val="00C73DF4"/>
    <w:rsid w:val="00CA7B58"/>
    <w:rsid w:val="00CB3E22"/>
    <w:rsid w:val="00CD56B8"/>
    <w:rsid w:val="00D81831"/>
    <w:rsid w:val="00DC0B5D"/>
    <w:rsid w:val="00DE0BFB"/>
    <w:rsid w:val="00DF2CE3"/>
    <w:rsid w:val="00E146D0"/>
    <w:rsid w:val="00E37B92"/>
    <w:rsid w:val="00E65B25"/>
    <w:rsid w:val="00E94993"/>
    <w:rsid w:val="00E96582"/>
    <w:rsid w:val="00EA65AF"/>
    <w:rsid w:val="00EC10BA"/>
    <w:rsid w:val="00ED1DA5"/>
    <w:rsid w:val="00ED3397"/>
    <w:rsid w:val="00EF64F2"/>
    <w:rsid w:val="00F41647"/>
    <w:rsid w:val="00F4645F"/>
    <w:rsid w:val="00F60107"/>
    <w:rsid w:val="00F7156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E68"/>
  <w15:docId w15:val="{AD8CF2E5-6221-42E7-BD75-A7B3BB3A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rsid w:val="00196614"/>
    <w:pPr>
      <w:ind w:left="720"/>
      <w:contextualSpacing/>
    </w:pPr>
    <w:rPr>
      <w:szCs w:val="24"/>
      <w:lang w:eastAsia="en-US"/>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19661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7364768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4885</Words>
  <Characters>2786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&lt;Data&gt;  Nr</vt:lpstr>
      <vt:lpstr>&lt;Data&gt;  Nr</vt:lpstr>
    </vt:vector>
  </TitlesOfParts>
  <Company>SINTAGMA</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Gitana Marčienė</cp:lastModifiedBy>
  <cp:revision>29</cp:revision>
  <dcterms:created xsi:type="dcterms:W3CDTF">2012-05-28T11:49:00Z</dcterms:created>
  <dcterms:modified xsi:type="dcterms:W3CDTF">2025-10-09T11:47:00Z</dcterms:modified>
</cp:coreProperties>
</file>