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CC6F5C" w:rsidRDefault="00A24050" w:rsidP="00023FB9">
      <w:pPr>
        <w:jc w:val="center"/>
        <w:rPr>
          <w:rFonts w:ascii="Jost" w:eastAsia="Arial Unicode MS" w:hAnsi="Jost"/>
          <w:b/>
          <w:bCs/>
          <w:sz w:val="22"/>
          <w:szCs w:val="22"/>
          <w:bdr w:val="nil"/>
          <w:lang w:eastAsia="en-GB"/>
        </w:rPr>
      </w:pPr>
      <w:r w:rsidRPr="00CC6F5C">
        <w:rPr>
          <w:rFonts w:ascii="Jost" w:eastAsia="Arial Unicode MS" w:hAnsi="Jost"/>
          <w:b/>
          <w:bCs/>
          <w:sz w:val="22"/>
          <w:szCs w:val="22"/>
          <w:bdr w:val="nil"/>
          <w:lang w:eastAsia="en-GB"/>
        </w:rPr>
        <w:t>RINKOS KONSULTACIJOS REZULTATŲ APIBENDRINIM</w:t>
      </w:r>
      <w:r w:rsidR="000776FD" w:rsidRPr="00CC6F5C">
        <w:rPr>
          <w:rFonts w:ascii="Jost" w:eastAsia="Arial Unicode MS" w:hAnsi="Jost"/>
          <w:b/>
          <w:bCs/>
          <w:sz w:val="22"/>
          <w:szCs w:val="22"/>
          <w:bdr w:val="nil"/>
          <w:lang w:eastAsia="en-GB"/>
        </w:rPr>
        <w:t>O SUVESTINĖ</w:t>
      </w:r>
    </w:p>
    <w:p w14:paraId="52DB4CDD" w14:textId="77777777" w:rsidR="00E33B13" w:rsidRPr="00CC6F5C" w:rsidRDefault="00E33B13" w:rsidP="00023FB9">
      <w:pPr>
        <w:jc w:val="center"/>
        <w:rPr>
          <w:rFonts w:ascii="Jost" w:eastAsia="Arial Unicode MS" w:hAnsi="Jost"/>
          <w:b/>
          <w:bCs/>
          <w:sz w:val="22"/>
          <w:szCs w:val="22"/>
          <w:bdr w:val="nil"/>
          <w:lang w:eastAsia="en-GB"/>
        </w:rPr>
      </w:pPr>
    </w:p>
    <w:tbl>
      <w:tblPr>
        <w:tblStyle w:val="TableGrid"/>
        <w:tblW w:w="15163" w:type="dxa"/>
        <w:tblLook w:val="04A0" w:firstRow="1" w:lastRow="0" w:firstColumn="1" w:lastColumn="0" w:noHBand="0" w:noVBand="1"/>
      </w:tblPr>
      <w:tblGrid>
        <w:gridCol w:w="560"/>
        <w:gridCol w:w="5360"/>
        <w:gridCol w:w="4451"/>
        <w:gridCol w:w="4792"/>
      </w:tblGrid>
      <w:tr w:rsidR="001D04EE" w:rsidRPr="00CC6F5C" w14:paraId="6C3065F6" w14:textId="77777777" w:rsidTr="00BC6A5F">
        <w:tc>
          <w:tcPr>
            <w:tcW w:w="15163" w:type="dxa"/>
            <w:gridSpan w:val="4"/>
            <w:shd w:val="clear" w:color="auto" w:fill="E2EFD9" w:themeFill="accent6" w:themeFillTint="33"/>
          </w:tcPr>
          <w:p w14:paraId="15FB7E7E" w14:textId="07BB02EE" w:rsidR="00E05A22" w:rsidRPr="00CC6F5C" w:rsidRDefault="00E05A22" w:rsidP="00FE4CB6">
            <w:pPr>
              <w:tabs>
                <w:tab w:val="left" w:pos="527"/>
              </w:tabs>
              <w:spacing w:before="120" w:after="120"/>
              <w:jc w:val="center"/>
              <w:rPr>
                <w:rFonts w:ascii="Jost" w:hAnsi="Jost"/>
                <w:b/>
                <w:bCs/>
                <w:sz w:val="22"/>
                <w:szCs w:val="22"/>
              </w:rPr>
            </w:pPr>
            <w:r w:rsidRPr="00CC6F5C">
              <w:rPr>
                <w:rFonts w:ascii="Jost" w:hAnsi="Jost"/>
                <w:b/>
                <w:bCs/>
                <w:sz w:val="22"/>
                <w:szCs w:val="22"/>
              </w:rPr>
              <w:t>I.</w:t>
            </w:r>
            <w:r w:rsidRPr="00CC6F5C">
              <w:rPr>
                <w:rFonts w:ascii="Jost" w:hAnsi="Jost"/>
                <w:b/>
                <w:bCs/>
                <w:sz w:val="22"/>
                <w:szCs w:val="22"/>
              </w:rPr>
              <w:tab/>
              <w:t>RINKOS KONSULTACIJOS OBJEKTAS IR TIKSLAS</w:t>
            </w:r>
          </w:p>
        </w:tc>
      </w:tr>
      <w:tr w:rsidR="001D04EE" w:rsidRPr="00CC6F5C" w14:paraId="23F27477" w14:textId="77777777" w:rsidTr="0025657F">
        <w:trPr>
          <w:trHeight w:val="396"/>
        </w:trPr>
        <w:tc>
          <w:tcPr>
            <w:tcW w:w="5920" w:type="dxa"/>
            <w:gridSpan w:val="2"/>
          </w:tcPr>
          <w:p w14:paraId="7E325E27" w14:textId="7581782B" w:rsidR="00E05A22" w:rsidRPr="00CC6F5C" w:rsidRDefault="00E05A22" w:rsidP="006A1661">
            <w:pPr>
              <w:jc w:val="left"/>
              <w:rPr>
                <w:rFonts w:ascii="Jost" w:hAnsi="Jost"/>
                <w:b/>
                <w:bCs/>
                <w:sz w:val="22"/>
                <w:szCs w:val="22"/>
              </w:rPr>
            </w:pPr>
            <w:r w:rsidRPr="00CC6F5C">
              <w:rPr>
                <w:rFonts w:ascii="Jost" w:hAnsi="Jost"/>
                <w:b/>
                <w:bCs/>
                <w:sz w:val="22"/>
                <w:szCs w:val="22"/>
              </w:rPr>
              <w:t>Pirkimo objektas</w:t>
            </w:r>
          </w:p>
        </w:tc>
        <w:tc>
          <w:tcPr>
            <w:tcW w:w="9243" w:type="dxa"/>
            <w:gridSpan w:val="2"/>
          </w:tcPr>
          <w:p w14:paraId="6D52FE4B" w14:textId="369FC3A8" w:rsidR="00E05A22" w:rsidRPr="00CC6F5C" w:rsidRDefault="003C4BB1" w:rsidP="000E2AFD">
            <w:pPr>
              <w:rPr>
                <w:rFonts w:ascii="Jost" w:hAnsi="Jost"/>
                <w:b/>
                <w:bCs/>
                <w:sz w:val="22"/>
                <w:szCs w:val="22"/>
              </w:rPr>
            </w:pPr>
            <w:r>
              <w:rPr>
                <w:rFonts w:ascii="Jost" w:hAnsi="Jost"/>
                <w:szCs w:val="24"/>
              </w:rPr>
              <w:t>P</w:t>
            </w:r>
            <w:r w:rsidRPr="001D4C85">
              <w:rPr>
                <w:rFonts w:ascii="Jost" w:hAnsi="Jost"/>
                <w:szCs w:val="24"/>
              </w:rPr>
              <w:t>rograminės įrangos Fortigate palaikymo paslaugos</w:t>
            </w:r>
          </w:p>
        </w:tc>
      </w:tr>
      <w:tr w:rsidR="001D04EE" w:rsidRPr="00CC6F5C" w14:paraId="0F2215C4" w14:textId="77777777" w:rsidTr="0025657F">
        <w:trPr>
          <w:trHeight w:val="759"/>
        </w:trPr>
        <w:tc>
          <w:tcPr>
            <w:tcW w:w="5920" w:type="dxa"/>
            <w:gridSpan w:val="2"/>
          </w:tcPr>
          <w:p w14:paraId="36281EF4" w14:textId="67129844" w:rsidR="00E05A22" w:rsidRPr="00CC6F5C" w:rsidRDefault="00E05A22" w:rsidP="00023FB9">
            <w:pPr>
              <w:jc w:val="left"/>
              <w:rPr>
                <w:rFonts w:ascii="Jost" w:hAnsi="Jost"/>
                <w:b/>
                <w:bCs/>
                <w:i/>
                <w:iCs/>
                <w:sz w:val="22"/>
                <w:szCs w:val="22"/>
              </w:rPr>
            </w:pPr>
            <w:r w:rsidRPr="00CC6F5C">
              <w:rPr>
                <w:rFonts w:ascii="Jost" w:hAnsi="Jost"/>
                <w:b/>
                <w:bCs/>
                <w:sz w:val="22"/>
                <w:szCs w:val="22"/>
              </w:rPr>
              <w:t>Rinkos konsultacijos tikslas</w:t>
            </w:r>
          </w:p>
        </w:tc>
        <w:tc>
          <w:tcPr>
            <w:tcW w:w="9243" w:type="dxa"/>
            <w:gridSpan w:val="2"/>
          </w:tcPr>
          <w:p w14:paraId="267FC7D6" w14:textId="333035D7" w:rsidR="00E05A22" w:rsidRPr="00CC6F5C" w:rsidRDefault="00E05A22" w:rsidP="00E24607">
            <w:pPr>
              <w:rPr>
                <w:rFonts w:ascii="Jost" w:hAnsi="Jost"/>
                <w:bCs/>
                <w:sz w:val="22"/>
                <w:szCs w:val="22"/>
              </w:rPr>
            </w:pPr>
            <w:r w:rsidRPr="00CC6F5C">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1D04EE" w:rsidRPr="00CC6F5C" w14:paraId="0F732FAB" w14:textId="77777777" w:rsidTr="00727087">
        <w:tc>
          <w:tcPr>
            <w:tcW w:w="15163" w:type="dxa"/>
            <w:gridSpan w:val="4"/>
            <w:shd w:val="clear" w:color="auto" w:fill="E2EFD9" w:themeFill="accent6" w:themeFillTint="33"/>
          </w:tcPr>
          <w:p w14:paraId="7D2855DE" w14:textId="0A6E4428" w:rsidR="00E05A22" w:rsidRPr="00CC6F5C" w:rsidRDefault="00E05A22" w:rsidP="00FE4CB6">
            <w:pPr>
              <w:tabs>
                <w:tab w:val="left" w:pos="527"/>
              </w:tabs>
              <w:spacing w:before="120" w:after="120"/>
              <w:jc w:val="center"/>
              <w:rPr>
                <w:rFonts w:ascii="Jost" w:hAnsi="Jost"/>
                <w:bCs/>
                <w:sz w:val="22"/>
                <w:szCs w:val="22"/>
              </w:rPr>
            </w:pPr>
            <w:r w:rsidRPr="00CC6F5C">
              <w:rPr>
                <w:rFonts w:ascii="Jost" w:hAnsi="Jost"/>
                <w:b/>
                <w:sz w:val="22"/>
                <w:szCs w:val="22"/>
              </w:rPr>
              <w:t>II.</w:t>
            </w:r>
            <w:r w:rsidRPr="00CC6F5C">
              <w:rPr>
                <w:rFonts w:ascii="Jost" w:hAnsi="Jost"/>
                <w:bCs/>
                <w:sz w:val="22"/>
                <w:szCs w:val="22"/>
              </w:rPr>
              <w:tab/>
            </w:r>
            <w:r w:rsidRPr="00CC6F5C">
              <w:rPr>
                <w:rFonts w:ascii="Jost" w:hAnsi="Jost"/>
                <w:b/>
                <w:sz w:val="22"/>
                <w:szCs w:val="22"/>
              </w:rPr>
              <w:t>RINKOS KONSULTACIJOS ATLIKIMAS</w:t>
            </w:r>
          </w:p>
        </w:tc>
      </w:tr>
      <w:tr w:rsidR="001D04EE" w:rsidRPr="00CC6F5C" w14:paraId="6884034E" w14:textId="77777777" w:rsidTr="0025657F">
        <w:trPr>
          <w:trHeight w:val="477"/>
        </w:trPr>
        <w:tc>
          <w:tcPr>
            <w:tcW w:w="5920" w:type="dxa"/>
            <w:gridSpan w:val="2"/>
          </w:tcPr>
          <w:p w14:paraId="50F87D13" w14:textId="5E94058C" w:rsidR="00E05A22" w:rsidRPr="00CC6F5C" w:rsidRDefault="00E05A22" w:rsidP="00023FB9">
            <w:pPr>
              <w:jc w:val="left"/>
              <w:rPr>
                <w:rFonts w:ascii="Jost" w:hAnsi="Jost"/>
                <w:b/>
                <w:bCs/>
                <w:i/>
                <w:iCs/>
                <w:sz w:val="22"/>
                <w:szCs w:val="22"/>
              </w:rPr>
            </w:pPr>
            <w:r w:rsidRPr="00CC6F5C">
              <w:rPr>
                <w:rFonts w:ascii="Jost" w:hAnsi="Jost"/>
                <w:b/>
                <w:bCs/>
                <w:sz w:val="22"/>
                <w:szCs w:val="22"/>
              </w:rPr>
              <w:t>Naudotos priemonės</w:t>
            </w:r>
          </w:p>
        </w:tc>
        <w:tc>
          <w:tcPr>
            <w:tcW w:w="9243" w:type="dxa"/>
            <w:gridSpan w:val="2"/>
          </w:tcPr>
          <w:p w14:paraId="14B7C16C" w14:textId="4B4A389C" w:rsidR="00E05A22" w:rsidRPr="00CC6F5C" w:rsidRDefault="00E05A22" w:rsidP="00E2588B">
            <w:pPr>
              <w:rPr>
                <w:rFonts w:ascii="Jost" w:hAnsi="Jost"/>
                <w:bCs/>
                <w:sz w:val="22"/>
                <w:szCs w:val="22"/>
              </w:rPr>
            </w:pPr>
            <w:r w:rsidRPr="00CC6F5C">
              <w:rPr>
                <w:rFonts w:ascii="Jost" w:hAnsi="Jost"/>
                <w:sz w:val="22"/>
                <w:szCs w:val="22"/>
              </w:rPr>
              <w:t>Konsultacija vyko Centrinės viešųjų pirkimų informacinės sistemos priemonėmis</w:t>
            </w:r>
          </w:p>
        </w:tc>
      </w:tr>
      <w:tr w:rsidR="001D04EE" w:rsidRPr="00CC6F5C" w14:paraId="2639E402" w14:textId="77777777" w:rsidTr="0025657F">
        <w:trPr>
          <w:trHeight w:val="683"/>
        </w:trPr>
        <w:tc>
          <w:tcPr>
            <w:tcW w:w="5920" w:type="dxa"/>
            <w:gridSpan w:val="2"/>
          </w:tcPr>
          <w:p w14:paraId="2B7FB495" w14:textId="3CD84D68" w:rsidR="00E05A22" w:rsidRPr="00CC6F5C" w:rsidRDefault="00E05A22" w:rsidP="00023FB9">
            <w:pPr>
              <w:jc w:val="left"/>
              <w:rPr>
                <w:rFonts w:ascii="Jost" w:hAnsi="Jost"/>
                <w:b/>
                <w:bCs/>
                <w:i/>
                <w:iCs/>
                <w:sz w:val="22"/>
                <w:szCs w:val="22"/>
              </w:rPr>
            </w:pPr>
            <w:r w:rsidRPr="00CC6F5C">
              <w:rPr>
                <w:rFonts w:ascii="Jost" w:hAnsi="Jost"/>
                <w:b/>
                <w:bCs/>
                <w:sz w:val="22"/>
                <w:szCs w:val="22"/>
              </w:rPr>
              <w:t>Rinkos konsultacijos paskelbimo ir atsakymų pateikimo datos</w:t>
            </w:r>
          </w:p>
        </w:tc>
        <w:tc>
          <w:tcPr>
            <w:tcW w:w="9243" w:type="dxa"/>
            <w:gridSpan w:val="2"/>
          </w:tcPr>
          <w:p w14:paraId="3DA24B96" w14:textId="37F8D25F" w:rsidR="00B91A59" w:rsidRPr="00CC6F5C" w:rsidRDefault="00E05A22" w:rsidP="00023FB9">
            <w:pPr>
              <w:jc w:val="left"/>
              <w:rPr>
                <w:rFonts w:ascii="Jost" w:hAnsi="Jost"/>
                <w:sz w:val="22"/>
                <w:szCs w:val="22"/>
              </w:rPr>
            </w:pPr>
            <w:r w:rsidRPr="00CC6F5C">
              <w:rPr>
                <w:rFonts w:ascii="Jost" w:hAnsi="Jost"/>
                <w:sz w:val="22"/>
                <w:szCs w:val="22"/>
              </w:rPr>
              <w:t xml:space="preserve">Paskelbimo CVP IS data: </w:t>
            </w:r>
            <w:bookmarkStart w:id="0" w:name="_Hlk109129868"/>
            <w:r w:rsidR="00817F98" w:rsidRPr="00CC6F5C">
              <w:rPr>
                <w:rFonts w:ascii="Jost" w:hAnsi="Jost"/>
                <w:sz w:val="22"/>
                <w:szCs w:val="22"/>
              </w:rPr>
              <w:t>2025-</w:t>
            </w:r>
            <w:r w:rsidR="00A36487" w:rsidRPr="00CC6F5C">
              <w:rPr>
                <w:rFonts w:ascii="Jost" w:hAnsi="Jost"/>
                <w:sz w:val="22"/>
                <w:szCs w:val="22"/>
              </w:rPr>
              <w:t>07-</w:t>
            </w:r>
            <w:r w:rsidR="00D742A1">
              <w:rPr>
                <w:rFonts w:ascii="Jost" w:hAnsi="Jost"/>
                <w:sz w:val="22"/>
                <w:szCs w:val="22"/>
              </w:rPr>
              <w:t>25</w:t>
            </w:r>
            <w:r w:rsidRPr="00CC6F5C">
              <w:rPr>
                <w:rFonts w:ascii="Jost" w:hAnsi="Jost"/>
                <w:sz w:val="22"/>
                <w:szCs w:val="22"/>
              </w:rPr>
              <w:t xml:space="preserve"> (Nr. </w:t>
            </w:r>
            <w:r w:rsidR="00625EAD" w:rsidRPr="00625EAD">
              <w:rPr>
                <w:rFonts w:ascii="Jost" w:hAnsi="Jost"/>
                <w:sz w:val="22"/>
                <w:szCs w:val="22"/>
              </w:rPr>
              <w:t>3762375</w:t>
            </w:r>
            <w:r w:rsidRPr="00CC6F5C">
              <w:rPr>
                <w:rFonts w:ascii="Jost" w:hAnsi="Jost"/>
                <w:sz w:val="22"/>
                <w:szCs w:val="22"/>
              </w:rPr>
              <w:t xml:space="preserve">). </w:t>
            </w:r>
          </w:p>
          <w:p w14:paraId="2FE2ADFF" w14:textId="24B659AE" w:rsidR="00E05A22" w:rsidRPr="00CC6F5C" w:rsidRDefault="00E05A22" w:rsidP="00023FB9">
            <w:pPr>
              <w:jc w:val="left"/>
              <w:rPr>
                <w:rFonts w:ascii="Jost" w:hAnsi="Jost"/>
                <w:bCs/>
                <w:sz w:val="22"/>
                <w:szCs w:val="22"/>
              </w:rPr>
            </w:pPr>
            <w:r w:rsidRPr="00CC6F5C">
              <w:rPr>
                <w:rFonts w:ascii="Jost" w:hAnsi="Jost"/>
                <w:sz w:val="22"/>
                <w:szCs w:val="22"/>
              </w:rPr>
              <w:t xml:space="preserve">Atsakymų pateikimo terminas: iki </w:t>
            </w:r>
            <w:r w:rsidR="00817F98" w:rsidRPr="00CC6F5C">
              <w:rPr>
                <w:rFonts w:ascii="Jost" w:hAnsi="Jost"/>
                <w:sz w:val="22"/>
                <w:szCs w:val="22"/>
              </w:rPr>
              <w:t>2025-</w:t>
            </w:r>
            <w:r w:rsidR="00A36487" w:rsidRPr="00CC6F5C">
              <w:rPr>
                <w:rFonts w:ascii="Jost" w:hAnsi="Jost"/>
                <w:sz w:val="22"/>
                <w:szCs w:val="22"/>
              </w:rPr>
              <w:t>07-</w:t>
            </w:r>
            <w:r w:rsidR="00D742A1">
              <w:rPr>
                <w:rFonts w:ascii="Jost" w:hAnsi="Jost"/>
                <w:sz w:val="22"/>
                <w:szCs w:val="22"/>
              </w:rPr>
              <w:t>31</w:t>
            </w:r>
            <w:r w:rsidR="00817F98" w:rsidRPr="00CC6F5C">
              <w:rPr>
                <w:rFonts w:ascii="Jost" w:hAnsi="Jost"/>
                <w:sz w:val="22"/>
                <w:szCs w:val="22"/>
              </w:rPr>
              <w:t xml:space="preserve"> </w:t>
            </w:r>
            <w:r w:rsidR="00A36487" w:rsidRPr="00CC6F5C">
              <w:rPr>
                <w:rFonts w:ascii="Jost" w:hAnsi="Jost"/>
                <w:sz w:val="22"/>
                <w:szCs w:val="22"/>
              </w:rPr>
              <w:t>imtinai.</w:t>
            </w:r>
            <w:r w:rsidRPr="00CC6F5C">
              <w:rPr>
                <w:rFonts w:ascii="Jost" w:hAnsi="Jost"/>
                <w:sz w:val="22"/>
                <w:szCs w:val="22"/>
              </w:rPr>
              <w:t> </w:t>
            </w:r>
            <w:bookmarkEnd w:id="0"/>
          </w:p>
        </w:tc>
      </w:tr>
      <w:tr w:rsidR="001D04EE" w:rsidRPr="00CC6F5C" w14:paraId="52056916" w14:textId="77777777" w:rsidTr="0025657F">
        <w:trPr>
          <w:trHeight w:val="982"/>
        </w:trPr>
        <w:tc>
          <w:tcPr>
            <w:tcW w:w="5920" w:type="dxa"/>
            <w:gridSpan w:val="2"/>
          </w:tcPr>
          <w:p w14:paraId="1DAD6523" w14:textId="31396CD4" w:rsidR="00E05A22" w:rsidRPr="00CC6F5C" w:rsidRDefault="00E05A22" w:rsidP="00023FB9">
            <w:pPr>
              <w:jc w:val="left"/>
              <w:rPr>
                <w:rFonts w:ascii="Jost" w:hAnsi="Jost"/>
                <w:b/>
                <w:bCs/>
                <w:i/>
                <w:iCs/>
                <w:sz w:val="22"/>
                <w:szCs w:val="22"/>
              </w:rPr>
            </w:pPr>
            <w:r w:rsidRPr="00CC6F5C">
              <w:rPr>
                <w:rFonts w:ascii="Jost" w:hAnsi="Jost"/>
                <w:b/>
                <w:bCs/>
                <w:sz w:val="22"/>
                <w:szCs w:val="22"/>
              </w:rPr>
              <w:t>Rinkos dalyviams teikti dokumentai bei kita informacija</w:t>
            </w:r>
          </w:p>
        </w:tc>
        <w:tc>
          <w:tcPr>
            <w:tcW w:w="9243" w:type="dxa"/>
            <w:gridSpan w:val="2"/>
          </w:tcPr>
          <w:p w14:paraId="01310E7C" w14:textId="0E1DFA7D" w:rsidR="00E05A22" w:rsidRPr="00CC6F5C" w:rsidRDefault="00E05A22" w:rsidP="00023FB9">
            <w:pPr>
              <w:rPr>
                <w:rFonts w:ascii="Jost" w:hAnsi="Jost"/>
                <w:sz w:val="22"/>
                <w:szCs w:val="22"/>
              </w:rPr>
            </w:pPr>
            <w:r w:rsidRPr="00CC6F5C">
              <w:rPr>
                <w:rFonts w:ascii="Jost" w:hAnsi="Jost"/>
                <w:sz w:val="22"/>
                <w:szCs w:val="22"/>
              </w:rPr>
              <w:t>Buvo skelbiamas klausimynas</w:t>
            </w:r>
            <w:r w:rsidR="00235630" w:rsidRPr="00CC6F5C">
              <w:rPr>
                <w:rFonts w:ascii="Jost" w:hAnsi="Jost"/>
                <w:sz w:val="22"/>
                <w:szCs w:val="22"/>
              </w:rPr>
              <w:t>,</w:t>
            </w:r>
            <w:r w:rsidRPr="00CC6F5C">
              <w:rPr>
                <w:rFonts w:ascii="Jost" w:hAnsi="Jost"/>
                <w:sz w:val="22"/>
                <w:szCs w:val="22"/>
              </w:rPr>
              <w:t xml:space="preserve"> Techninės specifikacijos</w:t>
            </w:r>
            <w:r w:rsidR="00235630" w:rsidRPr="00CC6F5C">
              <w:rPr>
                <w:rFonts w:ascii="Jost" w:hAnsi="Jost"/>
                <w:sz w:val="22"/>
                <w:szCs w:val="22"/>
              </w:rPr>
              <w:t xml:space="preserve">, </w:t>
            </w:r>
            <w:r w:rsidR="0078233B" w:rsidRPr="00CC6F5C">
              <w:rPr>
                <w:rFonts w:ascii="Jost" w:hAnsi="Jost"/>
                <w:sz w:val="22"/>
                <w:szCs w:val="22"/>
              </w:rPr>
              <w:t>Pasiūlymo formos</w:t>
            </w:r>
            <w:r w:rsidR="00625EAD">
              <w:rPr>
                <w:rFonts w:ascii="Jost" w:hAnsi="Jost"/>
                <w:sz w:val="22"/>
                <w:szCs w:val="22"/>
              </w:rPr>
              <w:t xml:space="preserve"> ir</w:t>
            </w:r>
            <w:r w:rsidR="0078233B" w:rsidRPr="00CC6F5C">
              <w:rPr>
                <w:rFonts w:ascii="Jost" w:hAnsi="Jost"/>
                <w:sz w:val="22"/>
                <w:szCs w:val="22"/>
              </w:rPr>
              <w:t xml:space="preserve"> </w:t>
            </w:r>
            <w:r w:rsidR="00C275A3" w:rsidRPr="00CC6F5C">
              <w:rPr>
                <w:rFonts w:ascii="Jost" w:hAnsi="Jost"/>
                <w:sz w:val="22"/>
                <w:szCs w:val="22"/>
              </w:rPr>
              <w:t xml:space="preserve">Sutarties </w:t>
            </w:r>
            <w:r w:rsidRPr="00CC6F5C">
              <w:rPr>
                <w:rFonts w:ascii="Jost" w:hAnsi="Jost"/>
                <w:sz w:val="22"/>
                <w:szCs w:val="22"/>
              </w:rPr>
              <w:t>projekta</w:t>
            </w:r>
            <w:r w:rsidR="00C603A2" w:rsidRPr="00CC6F5C">
              <w:rPr>
                <w:rFonts w:ascii="Jost" w:hAnsi="Jost"/>
                <w:sz w:val="22"/>
                <w:szCs w:val="22"/>
              </w:rPr>
              <w:t>i</w:t>
            </w:r>
            <w:r w:rsidRPr="00CC6F5C">
              <w:rPr>
                <w:rFonts w:ascii="Jost" w:hAnsi="Jost"/>
                <w:sz w:val="22"/>
                <w:szCs w:val="22"/>
              </w:rPr>
              <w:t>, kuri</w:t>
            </w:r>
            <w:r w:rsidR="00C603A2" w:rsidRPr="00CC6F5C">
              <w:rPr>
                <w:rFonts w:ascii="Jost" w:hAnsi="Jost"/>
                <w:sz w:val="22"/>
                <w:szCs w:val="22"/>
              </w:rPr>
              <w:t>e</w:t>
            </w:r>
            <w:r w:rsidRPr="00CC6F5C">
              <w:rPr>
                <w:rFonts w:ascii="Jost" w:hAnsi="Jost"/>
                <w:sz w:val="22"/>
                <w:szCs w:val="22"/>
              </w:rPr>
              <w:t>m</w:t>
            </w:r>
            <w:r w:rsidR="00C603A2" w:rsidRPr="00CC6F5C">
              <w:rPr>
                <w:rFonts w:ascii="Jost" w:hAnsi="Jost"/>
                <w:sz w:val="22"/>
                <w:szCs w:val="22"/>
              </w:rPr>
              <w:t>s</w:t>
            </w:r>
            <w:r w:rsidRPr="00CC6F5C">
              <w:rPr>
                <w:rFonts w:ascii="Jost" w:hAnsi="Jost"/>
                <w:sz w:val="22"/>
                <w:szCs w:val="22"/>
              </w:rPr>
              <w:t xml:space="preserve"> sudaromos galimybės pateikti pastabas ir pasiūlymus, atsakant į Perkančiosios organizacijos suformuluotus klausimus </w:t>
            </w:r>
            <w:r w:rsidRPr="00CC6F5C">
              <w:rPr>
                <w:rFonts w:ascii="Jost" w:eastAsia="Arial Unicode MS" w:hAnsi="Jost"/>
                <w:sz w:val="22"/>
                <w:szCs w:val="22"/>
                <w:bdr w:val="nil"/>
                <w:lang w:eastAsia="en-GB"/>
              </w:rPr>
              <w:t>(visi skelbiami dokumentai saugomi CVP IS)</w:t>
            </w:r>
            <w:r w:rsidRPr="00CC6F5C">
              <w:rPr>
                <w:rFonts w:ascii="Jost" w:hAnsi="Jost"/>
                <w:sz w:val="22"/>
                <w:szCs w:val="22"/>
              </w:rPr>
              <w:t>.</w:t>
            </w:r>
          </w:p>
        </w:tc>
      </w:tr>
      <w:tr w:rsidR="001D04EE" w:rsidRPr="00CC6F5C" w14:paraId="4FAECD6F" w14:textId="77777777" w:rsidTr="00436F6A">
        <w:tc>
          <w:tcPr>
            <w:tcW w:w="15163" w:type="dxa"/>
            <w:gridSpan w:val="4"/>
            <w:shd w:val="clear" w:color="auto" w:fill="E2EFD9" w:themeFill="accent6" w:themeFillTint="33"/>
          </w:tcPr>
          <w:p w14:paraId="5BFB3861" w14:textId="0927BF5F" w:rsidR="00E05A22" w:rsidRPr="00CC6F5C" w:rsidRDefault="00E05A22" w:rsidP="00FE4CB6">
            <w:pPr>
              <w:tabs>
                <w:tab w:val="left" w:pos="595"/>
              </w:tabs>
              <w:spacing w:before="120" w:after="120"/>
              <w:jc w:val="center"/>
              <w:rPr>
                <w:rFonts w:ascii="Jost" w:hAnsi="Jost"/>
                <w:b/>
                <w:bCs/>
                <w:sz w:val="22"/>
                <w:szCs w:val="22"/>
              </w:rPr>
            </w:pPr>
            <w:r w:rsidRPr="00CC6F5C">
              <w:rPr>
                <w:rFonts w:ascii="Jost" w:hAnsi="Jost"/>
                <w:b/>
                <w:bCs/>
                <w:caps/>
                <w:sz w:val="22"/>
                <w:szCs w:val="22"/>
              </w:rPr>
              <w:t>III. Rinkos dalyvių pateiktų atsakymų nagrinėjimas</w:t>
            </w:r>
          </w:p>
        </w:tc>
      </w:tr>
      <w:tr w:rsidR="001D04EE" w:rsidRPr="00CC6F5C" w14:paraId="3DDF902F" w14:textId="37ECEF0F" w:rsidTr="0025657F">
        <w:trPr>
          <w:trHeight w:val="1040"/>
        </w:trPr>
        <w:tc>
          <w:tcPr>
            <w:tcW w:w="560" w:type="dxa"/>
            <w:shd w:val="clear" w:color="auto" w:fill="DEEAF6" w:themeFill="accent5" w:themeFillTint="33"/>
          </w:tcPr>
          <w:p w14:paraId="40375172" w14:textId="1D530881" w:rsidR="00A678FF" w:rsidRPr="00CC6F5C" w:rsidRDefault="00A678FF" w:rsidP="00456DB0">
            <w:pPr>
              <w:jc w:val="center"/>
              <w:rPr>
                <w:rFonts w:ascii="Jost" w:hAnsi="Jost"/>
                <w:b/>
                <w:bCs/>
                <w:sz w:val="22"/>
                <w:szCs w:val="22"/>
              </w:rPr>
            </w:pPr>
            <w:r w:rsidRPr="00CC6F5C">
              <w:rPr>
                <w:rFonts w:ascii="Jost" w:hAnsi="Jost"/>
                <w:b/>
                <w:bCs/>
                <w:sz w:val="22"/>
                <w:szCs w:val="22"/>
              </w:rPr>
              <w:t>Eil. Nr.</w:t>
            </w:r>
          </w:p>
        </w:tc>
        <w:tc>
          <w:tcPr>
            <w:tcW w:w="5360" w:type="dxa"/>
            <w:shd w:val="clear" w:color="auto" w:fill="DEEAF6" w:themeFill="accent5" w:themeFillTint="33"/>
          </w:tcPr>
          <w:p w14:paraId="6E9DC93E" w14:textId="62A071B6" w:rsidR="00A678FF" w:rsidRPr="00CC6F5C" w:rsidRDefault="00A678FF" w:rsidP="00456DB0">
            <w:pPr>
              <w:jc w:val="center"/>
              <w:rPr>
                <w:rFonts w:ascii="Jost" w:hAnsi="Jost"/>
                <w:b/>
                <w:bCs/>
                <w:sz w:val="22"/>
                <w:szCs w:val="22"/>
              </w:rPr>
            </w:pPr>
            <w:r w:rsidRPr="00CC6F5C">
              <w:rPr>
                <w:rFonts w:ascii="Jost" w:hAnsi="Jost"/>
                <w:b/>
                <w:bCs/>
                <w:sz w:val="22"/>
                <w:szCs w:val="22"/>
              </w:rPr>
              <w:t>Klausimai</w:t>
            </w:r>
          </w:p>
          <w:p w14:paraId="71276F20" w14:textId="363E3AAC" w:rsidR="00A678FF" w:rsidRPr="00CC6F5C" w:rsidRDefault="00A678FF" w:rsidP="00456DB0">
            <w:pPr>
              <w:jc w:val="center"/>
              <w:rPr>
                <w:rFonts w:ascii="Jost" w:hAnsi="Jost"/>
                <w:bCs/>
                <w:i/>
                <w:iCs/>
                <w:sz w:val="22"/>
                <w:szCs w:val="22"/>
              </w:rPr>
            </w:pPr>
            <w:r w:rsidRPr="00CC6F5C">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CC6F5C" w:rsidRDefault="00A678FF" w:rsidP="00456DB0">
            <w:pPr>
              <w:autoSpaceDE w:val="0"/>
              <w:autoSpaceDN w:val="0"/>
              <w:adjustRightInd w:val="0"/>
              <w:jc w:val="center"/>
              <w:rPr>
                <w:rFonts w:ascii="Jost" w:hAnsi="Jost"/>
                <w:b/>
                <w:bCs/>
                <w:sz w:val="22"/>
                <w:szCs w:val="22"/>
              </w:rPr>
            </w:pPr>
            <w:r w:rsidRPr="00CC6F5C">
              <w:rPr>
                <w:rFonts w:ascii="Jost" w:hAnsi="Jost"/>
                <w:b/>
                <w:bCs/>
                <w:sz w:val="22"/>
                <w:szCs w:val="22"/>
              </w:rPr>
              <w:t>Rinkos konsultacijos dalyvio Nr. 1 atsakymai</w:t>
            </w:r>
          </w:p>
          <w:p w14:paraId="72DAB15B" w14:textId="63B185D9" w:rsidR="00A678FF" w:rsidRPr="00CC6F5C" w:rsidRDefault="00A678FF" w:rsidP="00456DB0">
            <w:pPr>
              <w:autoSpaceDE w:val="0"/>
              <w:autoSpaceDN w:val="0"/>
              <w:adjustRightInd w:val="0"/>
              <w:jc w:val="center"/>
              <w:rPr>
                <w:rFonts w:ascii="Jost" w:hAnsi="Jost"/>
                <w:sz w:val="22"/>
                <w:szCs w:val="22"/>
              </w:rPr>
            </w:pPr>
            <w:r w:rsidRPr="00CC6F5C">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CC6F5C" w:rsidRDefault="00A678FF" w:rsidP="007113FC">
            <w:pPr>
              <w:autoSpaceDE w:val="0"/>
              <w:autoSpaceDN w:val="0"/>
              <w:adjustRightInd w:val="0"/>
              <w:jc w:val="center"/>
              <w:rPr>
                <w:rFonts w:ascii="Jost" w:hAnsi="Jost"/>
                <w:sz w:val="22"/>
                <w:szCs w:val="22"/>
              </w:rPr>
            </w:pPr>
            <w:r w:rsidRPr="00CC6F5C">
              <w:rPr>
                <w:rFonts w:ascii="Jost" w:hAnsi="Jost"/>
                <w:b/>
                <w:bCs/>
                <w:sz w:val="22"/>
                <w:szCs w:val="22"/>
              </w:rPr>
              <w:t xml:space="preserve">Perkančiosios organizacijos (toliau – PO) </w:t>
            </w:r>
            <w:r w:rsidR="002E6E16" w:rsidRPr="00CC6F5C">
              <w:rPr>
                <w:rFonts w:ascii="Jost" w:hAnsi="Jost"/>
                <w:b/>
                <w:bCs/>
                <w:sz w:val="22"/>
                <w:szCs w:val="22"/>
              </w:rPr>
              <w:t xml:space="preserve">atsakymai/komentarai </w:t>
            </w:r>
            <w:r w:rsidRPr="00CC6F5C">
              <w:rPr>
                <w:rFonts w:ascii="Jost" w:hAnsi="Jost"/>
                <w:b/>
                <w:bCs/>
                <w:sz w:val="22"/>
                <w:szCs w:val="22"/>
              </w:rPr>
              <w:t xml:space="preserve">dalyviui Nr. 1 </w:t>
            </w:r>
            <w:r w:rsidRPr="00CC6F5C">
              <w:rPr>
                <w:rFonts w:ascii="Jost" w:hAnsi="Jost"/>
                <w:sz w:val="22"/>
                <w:szCs w:val="22"/>
              </w:rPr>
              <w:t>(nurodomi atsakymai ir/ar priimti sprendimai)</w:t>
            </w:r>
          </w:p>
        </w:tc>
      </w:tr>
      <w:tr w:rsidR="00064225" w:rsidRPr="00CC6F5C" w14:paraId="613DA265" w14:textId="77777777" w:rsidTr="0025657F">
        <w:tc>
          <w:tcPr>
            <w:tcW w:w="560" w:type="dxa"/>
          </w:tcPr>
          <w:p w14:paraId="6D904A6A" w14:textId="06DA13AC" w:rsidR="00064225" w:rsidRPr="00CC6F5C" w:rsidRDefault="00064225" w:rsidP="00064225">
            <w:pPr>
              <w:rPr>
                <w:rFonts w:ascii="Jost" w:hAnsi="Jost"/>
                <w:sz w:val="22"/>
                <w:szCs w:val="22"/>
              </w:rPr>
            </w:pPr>
            <w:r w:rsidRPr="00CC6F5C">
              <w:rPr>
                <w:rFonts w:ascii="Jost" w:hAnsi="Jost"/>
                <w:sz w:val="22"/>
                <w:szCs w:val="22"/>
              </w:rPr>
              <w:t>1.</w:t>
            </w:r>
          </w:p>
        </w:tc>
        <w:tc>
          <w:tcPr>
            <w:tcW w:w="5360" w:type="dxa"/>
          </w:tcPr>
          <w:p w14:paraId="60FB2750" w14:textId="4516FA33" w:rsidR="00064225" w:rsidRPr="00064225" w:rsidRDefault="00064225" w:rsidP="00064225">
            <w:pPr>
              <w:rPr>
                <w:rFonts w:ascii="Jost" w:hAnsi="Jost"/>
                <w:bCs/>
                <w:sz w:val="22"/>
                <w:szCs w:val="22"/>
              </w:rPr>
            </w:pPr>
            <w:r w:rsidRPr="00064225">
              <w:rPr>
                <w:rFonts w:ascii="Jost" w:hAnsi="Jost"/>
                <w:color w:val="1F2328"/>
                <w:sz w:val="22"/>
                <w:szCs w:val="22"/>
                <w:lang w:eastAsia="lt-LT"/>
              </w:rPr>
              <w:t>Ar preliminarioje techninėje specifikacijoje (toliau – TS) nurodytas pirkimo objektas yra aiškus? (</w:t>
            </w:r>
            <w:r w:rsidRPr="00064225">
              <w:rPr>
                <w:rFonts w:ascii="Jost" w:hAnsi="Jost"/>
                <w:i/>
                <w:iCs/>
                <w:color w:val="1F2328"/>
                <w:sz w:val="22"/>
                <w:szCs w:val="22"/>
                <w:lang w:eastAsia="lt-LT"/>
              </w:rPr>
              <w:t>Jei ne, prašome nurodyti, kas neaišku ir ką turėtumėme patikslinti)</w:t>
            </w:r>
          </w:p>
        </w:tc>
        <w:tc>
          <w:tcPr>
            <w:tcW w:w="4451" w:type="dxa"/>
          </w:tcPr>
          <w:p w14:paraId="3CC4F15B" w14:textId="77777777" w:rsidR="00064225" w:rsidRPr="00064225" w:rsidRDefault="00064225" w:rsidP="00064225">
            <w:pPr>
              <w:rPr>
                <w:rFonts w:ascii="Jost" w:hAnsi="Jost"/>
                <w:bCs/>
                <w:sz w:val="22"/>
                <w:szCs w:val="22"/>
              </w:rPr>
            </w:pPr>
            <w:r w:rsidRPr="00064225">
              <w:rPr>
                <w:rFonts w:ascii="Jost" w:hAnsi="Jost"/>
                <w:bCs/>
                <w:sz w:val="22"/>
                <w:szCs w:val="22"/>
              </w:rPr>
              <w:t xml:space="preserve">Techninės specifikacijos punkte 1.1. nurodoma: "Tiekėjas turi užtikrinti, kad gamintojas nėra paskelbęs žinios apie siūlomos programinės įrangos gamybos arba tobulinimo nutraukimą (pvz., angl. end of life time ar Discontinued)." </w:t>
            </w:r>
          </w:p>
          <w:p w14:paraId="350BB311" w14:textId="49DF61BC" w:rsidR="00064225" w:rsidRPr="00064225" w:rsidRDefault="00064225" w:rsidP="00064225">
            <w:pPr>
              <w:rPr>
                <w:rFonts w:ascii="Jost" w:hAnsi="Jost"/>
                <w:bCs/>
                <w:sz w:val="22"/>
                <w:szCs w:val="22"/>
              </w:rPr>
            </w:pPr>
            <w:r w:rsidRPr="00064225">
              <w:rPr>
                <w:rFonts w:ascii="Jost" w:hAnsi="Jost"/>
                <w:bCs/>
                <w:sz w:val="22"/>
                <w:szCs w:val="22"/>
              </w:rPr>
              <w:t xml:space="preserve">Paslaugos perkamos 12 mėn. laikotarpiui, o EoL gali būti paskelbtas tarkim nuo 2030 metų. Todėl siūlome koreguoti sekantį punktą tokia formuluote: "Tiekėjas turi užtikrinti, kad gamintojas nėra paskelbęs žinios apie siūlomos </w:t>
            </w:r>
            <w:r w:rsidRPr="00064225">
              <w:rPr>
                <w:rFonts w:ascii="Jost" w:hAnsi="Jost"/>
                <w:bCs/>
                <w:sz w:val="22"/>
                <w:szCs w:val="22"/>
              </w:rPr>
              <w:lastRenderedPageBreak/>
              <w:t>programinės įrangos gamybos arba tobulinimo nutraukimą (pvz., angl. end of life time ar Discontinued) perkamo programinės įrangos FortiGate palaikymo laikotarpiu."</w:t>
            </w:r>
          </w:p>
        </w:tc>
        <w:tc>
          <w:tcPr>
            <w:tcW w:w="4792" w:type="dxa"/>
          </w:tcPr>
          <w:p w14:paraId="441B2A96" w14:textId="632F6B6D" w:rsidR="00064225" w:rsidRPr="00064225" w:rsidRDefault="00064225" w:rsidP="00064225">
            <w:pPr>
              <w:rPr>
                <w:rFonts w:ascii="Jost" w:hAnsi="Jost"/>
                <w:bCs/>
                <w:sz w:val="22"/>
                <w:szCs w:val="22"/>
              </w:rPr>
            </w:pPr>
            <w:r w:rsidRPr="00562008">
              <w:rPr>
                <w:rFonts w:ascii="Jost" w:hAnsi="Jost"/>
                <w:sz w:val="22"/>
                <w:szCs w:val="22"/>
              </w:rPr>
              <w:lastRenderedPageBreak/>
              <w:t xml:space="preserve">Dėkojame už pateiktą </w:t>
            </w:r>
            <w:r w:rsidR="002A533A" w:rsidRPr="00562008">
              <w:rPr>
                <w:rFonts w:ascii="Jost" w:hAnsi="Jost"/>
                <w:sz w:val="22"/>
                <w:szCs w:val="22"/>
              </w:rPr>
              <w:t>pastabą</w:t>
            </w:r>
            <w:r w:rsidRPr="00562008">
              <w:rPr>
                <w:rFonts w:ascii="Jost" w:hAnsi="Jost"/>
                <w:sz w:val="22"/>
                <w:szCs w:val="22"/>
              </w:rPr>
              <w:t>.</w:t>
            </w:r>
            <w:r w:rsidR="002A533A" w:rsidRPr="00562008">
              <w:rPr>
                <w:rFonts w:ascii="Jost" w:hAnsi="Jost"/>
                <w:sz w:val="22"/>
                <w:szCs w:val="22"/>
              </w:rPr>
              <w:t xml:space="preserve"> Atsakydami pranešame, kad </w:t>
            </w:r>
            <w:r w:rsidR="00562008" w:rsidRPr="00562008">
              <w:rPr>
                <w:rFonts w:ascii="Jost" w:hAnsi="Jost"/>
                <w:sz w:val="22"/>
                <w:szCs w:val="22"/>
              </w:rPr>
              <w:t>bus pakeista techninės specifikacijos 1.1.</w:t>
            </w:r>
            <w:r w:rsidR="00562008">
              <w:rPr>
                <w:rFonts w:ascii="Jost" w:hAnsi="Jost"/>
                <w:sz w:val="22"/>
                <w:szCs w:val="22"/>
              </w:rPr>
              <w:t xml:space="preserve"> punkto</w:t>
            </w:r>
            <w:r w:rsidR="00562008" w:rsidRPr="00562008">
              <w:rPr>
                <w:rFonts w:ascii="Jost" w:hAnsi="Jost"/>
                <w:sz w:val="22"/>
                <w:szCs w:val="22"/>
              </w:rPr>
              <w:t xml:space="preserve"> formuluotė į -  </w:t>
            </w:r>
            <w:r w:rsidR="00562008" w:rsidRPr="00562008">
              <w:rPr>
                <w:rFonts w:ascii="Jost" w:hAnsi="Jost"/>
                <w:i/>
                <w:iCs/>
                <w:sz w:val="22"/>
                <w:szCs w:val="22"/>
              </w:rPr>
              <w:t>Tiekėjas turi užtikrinti, kad gamintojas nėra paskelbęs žinios apie siūlomos programinės įrangos gamybos arba tobulinimo nutraukimą (pvz., angl. end of life time ar Discontinued) perkamo programinės įrangos FortiGate palaikymo laikotarpiu.</w:t>
            </w:r>
          </w:p>
        </w:tc>
      </w:tr>
      <w:tr w:rsidR="002A533A" w:rsidRPr="00CC6F5C" w14:paraId="79C26B9C" w14:textId="77777777" w:rsidTr="0025657F">
        <w:tc>
          <w:tcPr>
            <w:tcW w:w="560" w:type="dxa"/>
          </w:tcPr>
          <w:p w14:paraId="4203E67C" w14:textId="3B369C7D" w:rsidR="002A533A" w:rsidRPr="00CC6F5C" w:rsidRDefault="002A533A" w:rsidP="002A533A">
            <w:pPr>
              <w:rPr>
                <w:rFonts w:ascii="Jost" w:hAnsi="Jost"/>
                <w:sz w:val="22"/>
                <w:szCs w:val="22"/>
                <w:lang w:eastAsia="lt-LT"/>
              </w:rPr>
            </w:pPr>
            <w:r w:rsidRPr="00CC6F5C">
              <w:rPr>
                <w:rFonts w:ascii="Jost" w:hAnsi="Jost"/>
                <w:sz w:val="22"/>
                <w:szCs w:val="22"/>
                <w:lang w:eastAsia="lt-LT"/>
              </w:rPr>
              <w:t>2.</w:t>
            </w:r>
          </w:p>
        </w:tc>
        <w:tc>
          <w:tcPr>
            <w:tcW w:w="5360" w:type="dxa"/>
          </w:tcPr>
          <w:p w14:paraId="6A76E09F" w14:textId="1D895F5B" w:rsidR="002A533A" w:rsidRPr="00064225" w:rsidRDefault="002A533A" w:rsidP="002A533A">
            <w:pPr>
              <w:rPr>
                <w:rFonts w:ascii="Jost" w:hAnsi="Jost"/>
                <w:bCs/>
                <w:sz w:val="22"/>
                <w:szCs w:val="22"/>
              </w:rPr>
            </w:pPr>
            <w:r w:rsidRPr="00064225">
              <w:rPr>
                <w:rFonts w:ascii="Jost" w:hAnsi="Jost"/>
                <w:sz w:val="22"/>
                <w:szCs w:val="22"/>
              </w:rPr>
              <w:t xml:space="preserve">Ar TS nurodyti reikalavimai pirkimo objektui yra priimtini ir aiškūs </w:t>
            </w:r>
            <w:r w:rsidRPr="00064225">
              <w:rPr>
                <w:rFonts w:ascii="Jost" w:hAnsi="Jost"/>
                <w:i/>
                <w:iCs/>
                <w:sz w:val="22"/>
                <w:szCs w:val="22"/>
              </w:rPr>
              <w:t>(Jei ne, prašome pateikti argumentuotas pastabas, patikslinimus dėl konkrečių TS reikalavimų)</w:t>
            </w:r>
          </w:p>
        </w:tc>
        <w:tc>
          <w:tcPr>
            <w:tcW w:w="4451" w:type="dxa"/>
          </w:tcPr>
          <w:p w14:paraId="5F0BF0BA" w14:textId="77777777" w:rsidR="002A533A" w:rsidRPr="00064225" w:rsidRDefault="002A533A" w:rsidP="002A533A">
            <w:pPr>
              <w:rPr>
                <w:rFonts w:ascii="Jost" w:hAnsi="Jost"/>
                <w:bCs/>
                <w:sz w:val="22"/>
                <w:szCs w:val="22"/>
              </w:rPr>
            </w:pPr>
            <w:r w:rsidRPr="00064225">
              <w:rPr>
                <w:rFonts w:ascii="Jost" w:hAnsi="Jost"/>
                <w:bCs/>
                <w:sz w:val="22"/>
                <w:szCs w:val="22"/>
              </w:rPr>
              <w:t xml:space="preserve">Techninės specifikacijos punkte 1.1. nurodoma: "Tiekėjas turi užtikrinti, kad gamintojas nėra paskelbęs žinios apie siūlomos programinės įrangos gamybos arba tobulinimo nutraukimą (pvz., angl. end of life time ar Discontinued)." </w:t>
            </w:r>
          </w:p>
          <w:p w14:paraId="6D94287F" w14:textId="4C3601B3" w:rsidR="002A533A" w:rsidRPr="00064225" w:rsidRDefault="002A533A" w:rsidP="002A533A">
            <w:pPr>
              <w:rPr>
                <w:rFonts w:ascii="Jost" w:hAnsi="Jost"/>
                <w:bCs/>
                <w:sz w:val="22"/>
                <w:szCs w:val="22"/>
              </w:rPr>
            </w:pPr>
            <w:r w:rsidRPr="00064225">
              <w:rPr>
                <w:rFonts w:ascii="Jost" w:hAnsi="Jost"/>
                <w:bCs/>
                <w:sz w:val="22"/>
                <w:szCs w:val="22"/>
              </w:rPr>
              <w:t>Paslaugos perkamos 12 mėn. laikotarpiui, o EoL gali būti paskelbtas tarkim nuo 2030 metų. Todėl siūlome koreguoti sekantį punktą tokia formuluote: "Tiekėjas turi užtikrinti, kad gamintojas nėra paskelbęs žinios apie siūlomos programinės įrangos gamybos arba tobulinimo nutraukimą (pvz., angl. end of life time ar Discontinued) perkamo programinės įrangos FortiGate palaikymo laikotarpiu."</w:t>
            </w:r>
          </w:p>
        </w:tc>
        <w:tc>
          <w:tcPr>
            <w:tcW w:w="4792" w:type="dxa"/>
          </w:tcPr>
          <w:p w14:paraId="67E29030" w14:textId="733A5351" w:rsidR="002A533A" w:rsidRPr="00064225" w:rsidRDefault="00562008" w:rsidP="002A533A">
            <w:pPr>
              <w:rPr>
                <w:rFonts w:ascii="Jost" w:hAnsi="Jost"/>
                <w:sz w:val="22"/>
                <w:szCs w:val="22"/>
              </w:rPr>
            </w:pPr>
            <w:r w:rsidRPr="00562008">
              <w:rPr>
                <w:rFonts w:ascii="Jost" w:hAnsi="Jost"/>
                <w:sz w:val="22"/>
                <w:szCs w:val="22"/>
              </w:rPr>
              <w:t>Dėkojame už pateiktą pastabą. Atsakydami pranešame, kad bus pakeista techninės specifikacijos 1.1.</w:t>
            </w:r>
            <w:r>
              <w:rPr>
                <w:rFonts w:ascii="Jost" w:hAnsi="Jost"/>
                <w:sz w:val="22"/>
                <w:szCs w:val="22"/>
              </w:rPr>
              <w:t xml:space="preserve"> punkto</w:t>
            </w:r>
            <w:r w:rsidRPr="00562008">
              <w:rPr>
                <w:rFonts w:ascii="Jost" w:hAnsi="Jost"/>
                <w:sz w:val="22"/>
                <w:szCs w:val="22"/>
              </w:rPr>
              <w:t xml:space="preserve"> formuluotė į -  </w:t>
            </w:r>
            <w:r w:rsidRPr="00562008">
              <w:rPr>
                <w:rFonts w:ascii="Jost" w:hAnsi="Jost"/>
                <w:i/>
                <w:iCs/>
                <w:sz w:val="22"/>
                <w:szCs w:val="22"/>
              </w:rPr>
              <w:t>Tiekėjas turi užtikrinti, kad gamintojas nėra paskelbęs žinios apie siūlomos programinės įrangos gamybos arba tobulinimo nutraukimą (pvz., angl. end of life time ar Discontinued) perkamo programinės įrangos FortiGate palaikymo laikotarpiu.</w:t>
            </w:r>
          </w:p>
        </w:tc>
      </w:tr>
      <w:tr w:rsidR="002A533A" w:rsidRPr="00CC6F5C" w14:paraId="53A12070" w14:textId="77777777" w:rsidTr="0025657F">
        <w:tc>
          <w:tcPr>
            <w:tcW w:w="560" w:type="dxa"/>
          </w:tcPr>
          <w:p w14:paraId="7389C364" w14:textId="59AB7B0F" w:rsidR="002A533A" w:rsidRPr="00CC6F5C" w:rsidRDefault="002A533A" w:rsidP="002A533A">
            <w:pPr>
              <w:rPr>
                <w:rFonts w:ascii="Jost" w:hAnsi="Jost"/>
                <w:sz w:val="22"/>
                <w:szCs w:val="22"/>
              </w:rPr>
            </w:pPr>
            <w:r w:rsidRPr="00CC6F5C">
              <w:rPr>
                <w:rFonts w:ascii="Jost" w:hAnsi="Jost"/>
                <w:sz w:val="22"/>
                <w:szCs w:val="22"/>
              </w:rPr>
              <w:t>3.</w:t>
            </w:r>
          </w:p>
        </w:tc>
        <w:tc>
          <w:tcPr>
            <w:tcW w:w="5360" w:type="dxa"/>
          </w:tcPr>
          <w:p w14:paraId="4D985988" w14:textId="5EE3617B" w:rsidR="002A533A" w:rsidRPr="00064225" w:rsidRDefault="002A533A" w:rsidP="002A533A">
            <w:pPr>
              <w:rPr>
                <w:rFonts w:ascii="Jost" w:hAnsi="Jost"/>
                <w:bCs/>
                <w:sz w:val="22"/>
                <w:szCs w:val="22"/>
              </w:rPr>
            </w:pPr>
            <w:r w:rsidRPr="00064225">
              <w:rPr>
                <w:rFonts w:ascii="Jost" w:hAnsi="Jost"/>
                <w:sz w:val="22"/>
                <w:szCs w:val="22"/>
              </w:rPr>
              <w:t xml:space="preserve">Ar TS yra pakankamai išsami, konkreti ir aiški, ar joje yra visa informacija, reikalinga tinkamam pasiūlymo parengimui bei deklaruojamų tikslų pasiekimui </w:t>
            </w:r>
            <w:r w:rsidRPr="00064225">
              <w:rPr>
                <w:rFonts w:ascii="Jost" w:hAnsi="Jost"/>
                <w:i/>
                <w:iCs/>
                <w:sz w:val="22"/>
                <w:szCs w:val="22"/>
              </w:rPr>
              <w:t>(jei ne, prašome pateikti argumentuotas pastabas, patikslinimus dėl konkrečių TS reikalavimų)</w:t>
            </w:r>
            <w:r w:rsidRPr="00064225">
              <w:rPr>
                <w:rFonts w:ascii="Jost" w:hAnsi="Jost"/>
                <w:sz w:val="22"/>
                <w:szCs w:val="22"/>
              </w:rPr>
              <w:t>?</w:t>
            </w:r>
          </w:p>
        </w:tc>
        <w:tc>
          <w:tcPr>
            <w:tcW w:w="4451" w:type="dxa"/>
          </w:tcPr>
          <w:p w14:paraId="0F1FAD75" w14:textId="77777777" w:rsidR="002A533A" w:rsidRPr="00064225" w:rsidRDefault="002A533A" w:rsidP="002A533A">
            <w:pPr>
              <w:rPr>
                <w:rFonts w:ascii="Jost" w:hAnsi="Jost"/>
                <w:bCs/>
                <w:sz w:val="22"/>
                <w:szCs w:val="22"/>
              </w:rPr>
            </w:pPr>
            <w:r w:rsidRPr="00064225">
              <w:rPr>
                <w:rFonts w:ascii="Jost" w:hAnsi="Jost"/>
                <w:bCs/>
                <w:sz w:val="22"/>
                <w:szCs w:val="22"/>
              </w:rPr>
              <w:t>Techninės specifikacijos 2.3 punkte nurodoma: "</w:t>
            </w:r>
            <w:r w:rsidRPr="00064225">
              <w:rPr>
                <w:sz w:val="22"/>
                <w:szCs w:val="22"/>
              </w:rPr>
              <w:t xml:space="preserve"> </w:t>
            </w:r>
            <w:r w:rsidRPr="00064225">
              <w:rPr>
                <w:rFonts w:ascii="Jost" w:hAnsi="Jost"/>
                <w:bCs/>
                <w:sz w:val="22"/>
                <w:szCs w:val="22"/>
              </w:rPr>
              <w:t>Prenumeratos tipo (subscription base) FortiManager –VM (1 – 10 prietaisų) su AI įskiepiu Nr. 3</w:t>
            </w:r>
          </w:p>
          <w:p w14:paraId="4D4E156E" w14:textId="77777777" w:rsidR="002A533A" w:rsidRPr="00064225" w:rsidRDefault="002A533A" w:rsidP="002A533A">
            <w:pPr>
              <w:rPr>
                <w:rFonts w:ascii="Jost" w:hAnsi="Jost"/>
                <w:bCs/>
                <w:sz w:val="22"/>
                <w:szCs w:val="22"/>
              </w:rPr>
            </w:pPr>
            <w:r w:rsidRPr="00064225">
              <w:rPr>
                <w:rFonts w:ascii="Jost" w:hAnsi="Jost"/>
                <w:bCs/>
                <w:sz w:val="22"/>
                <w:szCs w:val="22"/>
              </w:rPr>
              <w:t xml:space="preserve">„FortiManager - VM Subscription license for 10 devices/vdoms managed by FortiManager VM S-series, including FortiCare Premium“ programinės įrangos palaikymas su AI įskiepiu. Programinė įranga turi būti skirta 10 prietaisų palaikymui su 2 000 000 AI taškų. Garantinio aptarnavimo metu Tiekėjo (gamintojo) reakcijos laikas turi būti ne ilgesnis nei 4 darbo valandos nuo pranešimo apie įrangos gedimą gavimo momento. Tiekėjas (gamintojas) informuoja apie gedimo įvertinimą kiek įmanoma greičiau, bet ne vėliau kaip per 1 </w:t>
            </w:r>
            <w:r w:rsidRPr="00064225">
              <w:rPr>
                <w:rFonts w:ascii="Jost" w:hAnsi="Jost"/>
                <w:bCs/>
                <w:sz w:val="22"/>
                <w:szCs w:val="22"/>
              </w:rPr>
              <w:lastRenderedPageBreak/>
              <w:t>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p>
          <w:p w14:paraId="4798F214" w14:textId="77777777" w:rsidR="002A533A" w:rsidRPr="00064225" w:rsidRDefault="002A533A" w:rsidP="002A533A">
            <w:pPr>
              <w:rPr>
                <w:rFonts w:ascii="Jost" w:hAnsi="Jost"/>
                <w:bCs/>
                <w:sz w:val="22"/>
                <w:szCs w:val="22"/>
              </w:rPr>
            </w:pPr>
          </w:p>
          <w:p w14:paraId="68AF9916" w14:textId="518BD04B" w:rsidR="002A533A" w:rsidRPr="00064225" w:rsidRDefault="002A533A" w:rsidP="002A533A">
            <w:pPr>
              <w:rPr>
                <w:rFonts w:ascii="Jost" w:hAnsi="Jost"/>
                <w:bCs/>
                <w:sz w:val="22"/>
                <w:szCs w:val="22"/>
              </w:rPr>
            </w:pPr>
            <w:r w:rsidRPr="00064225">
              <w:rPr>
                <w:rFonts w:ascii="Jost" w:hAnsi="Jost"/>
                <w:bCs/>
                <w:sz w:val="22"/>
                <w:szCs w:val="22"/>
              </w:rPr>
              <w:t>Rekomenduojame nurodyti paslaugų laikotarpį, pvz. 12 mėn.</w:t>
            </w:r>
          </w:p>
        </w:tc>
        <w:tc>
          <w:tcPr>
            <w:tcW w:w="4792" w:type="dxa"/>
          </w:tcPr>
          <w:p w14:paraId="6ACBA160" w14:textId="77777777" w:rsidR="00562008" w:rsidRPr="00562008" w:rsidRDefault="00562008" w:rsidP="00562008">
            <w:pPr>
              <w:rPr>
                <w:rFonts w:ascii="Jost" w:hAnsi="Jost"/>
                <w:i/>
                <w:iCs/>
                <w:sz w:val="22"/>
                <w:szCs w:val="22"/>
              </w:rPr>
            </w:pPr>
            <w:r w:rsidRPr="00562008">
              <w:rPr>
                <w:rFonts w:ascii="Jost" w:hAnsi="Jost"/>
                <w:sz w:val="22"/>
                <w:szCs w:val="22"/>
              </w:rPr>
              <w:lastRenderedPageBreak/>
              <w:t xml:space="preserve">Dėkojame už pateiktą pastabą. Atsakydami pranešame, kad bus pakeista techninės specifikacijos </w:t>
            </w:r>
            <w:r>
              <w:rPr>
                <w:rFonts w:ascii="Jost" w:hAnsi="Jost"/>
                <w:sz w:val="22"/>
                <w:szCs w:val="22"/>
              </w:rPr>
              <w:t>2.3.</w:t>
            </w:r>
            <w:r w:rsidRPr="00562008">
              <w:rPr>
                <w:rFonts w:ascii="Jost" w:hAnsi="Jost"/>
                <w:sz w:val="22"/>
                <w:szCs w:val="22"/>
              </w:rPr>
              <w:t xml:space="preserve"> formuluotė į -  </w:t>
            </w:r>
            <w:r w:rsidRPr="00562008">
              <w:rPr>
                <w:rFonts w:ascii="Jost" w:hAnsi="Jost"/>
                <w:i/>
                <w:iCs/>
                <w:sz w:val="22"/>
                <w:szCs w:val="22"/>
              </w:rPr>
              <w:t>Prenumeratos tipo (subscription base) FortiManager –VM (1 – 10 prietaisų) su AI įskiepiu Nr. 3</w:t>
            </w:r>
          </w:p>
          <w:p w14:paraId="3390C34D" w14:textId="5196F76C" w:rsidR="002A533A" w:rsidRPr="00064225" w:rsidRDefault="00562008" w:rsidP="00562008">
            <w:pPr>
              <w:rPr>
                <w:rFonts w:ascii="Jost" w:hAnsi="Jost"/>
                <w:sz w:val="22"/>
                <w:szCs w:val="22"/>
              </w:rPr>
            </w:pPr>
            <w:r w:rsidRPr="00562008">
              <w:rPr>
                <w:rFonts w:ascii="Jost" w:hAnsi="Jost"/>
                <w:i/>
                <w:iCs/>
                <w:sz w:val="22"/>
                <w:szCs w:val="22"/>
              </w:rPr>
              <w:t>„FortiManager - VM Subscription license for 10 devices/vdoms managed by FortiManager VM S-series, including FortiCare Premium“ programinės įrangos palaikymas su AI įskiepiu. Programinė įranga turi būti skirta 10 prietaisų palaikymui su 2 000 000 AI taškų</w:t>
            </w:r>
            <w:r>
              <w:rPr>
                <w:rFonts w:ascii="Jost" w:hAnsi="Jost"/>
                <w:i/>
                <w:iCs/>
                <w:sz w:val="22"/>
                <w:szCs w:val="22"/>
              </w:rPr>
              <w:t>.</w:t>
            </w:r>
            <w:r w:rsidRPr="00562008">
              <w:rPr>
                <w:rFonts w:ascii="Jost" w:hAnsi="Jost"/>
                <w:i/>
                <w:iCs/>
                <w:sz w:val="22"/>
                <w:szCs w:val="22"/>
              </w:rPr>
              <w:t xml:space="preserve"> Gamintojo garantuojamas 12 mėn. nemokamas garantinis aptarnavimas bei atnaujinimų teikimas garantiniu laikotarpiu. Garantinio aptarnavimo metu Tiekėjo (gamintojo) reakcijos laikas turi būti ne ilgesnis nei 4 darbo valandos nuo pranešimo apie įrangos gedimą </w:t>
            </w:r>
            <w:r w:rsidRPr="00562008">
              <w:rPr>
                <w:rFonts w:ascii="Jost" w:hAnsi="Jost"/>
                <w:i/>
                <w:iCs/>
                <w:sz w:val="22"/>
                <w:szCs w:val="22"/>
              </w:rPr>
              <w:lastRenderedPageBreak/>
              <w:t>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p>
        </w:tc>
      </w:tr>
      <w:tr w:rsidR="002A533A" w:rsidRPr="00CC6F5C" w14:paraId="268B6CA9" w14:textId="77777777" w:rsidTr="00B46300">
        <w:tc>
          <w:tcPr>
            <w:tcW w:w="560" w:type="dxa"/>
          </w:tcPr>
          <w:p w14:paraId="4A5E1451" w14:textId="7388D2E1" w:rsidR="002A533A" w:rsidRPr="00CC6F5C" w:rsidRDefault="002A533A" w:rsidP="002A533A">
            <w:pPr>
              <w:rPr>
                <w:rFonts w:ascii="Jost" w:hAnsi="Jost"/>
                <w:bCs/>
                <w:sz w:val="22"/>
                <w:szCs w:val="22"/>
              </w:rPr>
            </w:pPr>
            <w:r w:rsidRPr="00CC6F5C">
              <w:rPr>
                <w:rFonts w:ascii="Jost" w:hAnsi="Jost"/>
                <w:bCs/>
                <w:sz w:val="22"/>
                <w:szCs w:val="22"/>
              </w:rPr>
              <w:lastRenderedPageBreak/>
              <w:t>4.</w:t>
            </w:r>
          </w:p>
        </w:tc>
        <w:tc>
          <w:tcPr>
            <w:tcW w:w="5360" w:type="dxa"/>
          </w:tcPr>
          <w:p w14:paraId="15C57EA9" w14:textId="541F9422" w:rsidR="002A533A" w:rsidRPr="00064225" w:rsidRDefault="002A533A" w:rsidP="002A533A">
            <w:pPr>
              <w:rPr>
                <w:rFonts w:ascii="Jost" w:hAnsi="Jost"/>
                <w:bCs/>
                <w:sz w:val="22"/>
                <w:szCs w:val="22"/>
              </w:rPr>
            </w:pPr>
            <w:r w:rsidRPr="00064225">
              <w:rPr>
                <w:rFonts w:ascii="Jost" w:hAnsi="Jost"/>
                <w:bCs/>
                <w:sz w:val="22"/>
                <w:szCs w:val="22"/>
              </w:rPr>
              <w:t xml:space="preserve">Ar TS yra reikalavimų, kurie riboja konkurenciją bei yra sunkiai įgyvendinami? </w:t>
            </w:r>
            <w:r w:rsidRPr="00064225">
              <w:rPr>
                <w:rFonts w:ascii="Jost" w:hAnsi="Jost"/>
                <w:sz w:val="22"/>
                <w:szCs w:val="22"/>
                <w:lang w:eastAsia="lt-LT"/>
              </w:rPr>
              <w:t>(</w:t>
            </w:r>
            <w:r w:rsidRPr="00064225">
              <w:rPr>
                <w:rFonts w:ascii="Jost" w:hAnsi="Jost"/>
                <w:i/>
                <w:iCs/>
                <w:sz w:val="22"/>
                <w:szCs w:val="22"/>
                <w:lang w:eastAsia="lt-LT"/>
              </w:rPr>
              <w:t>jei taip, prašome nurodyti šiuos reikalavimus)</w:t>
            </w:r>
          </w:p>
        </w:tc>
        <w:tc>
          <w:tcPr>
            <w:tcW w:w="4451" w:type="dxa"/>
            <w:vAlign w:val="center"/>
          </w:tcPr>
          <w:p w14:paraId="5498DC28" w14:textId="19B547DC" w:rsidR="002A533A" w:rsidRPr="00064225" w:rsidRDefault="002A533A" w:rsidP="00B46300">
            <w:pPr>
              <w:jc w:val="center"/>
              <w:rPr>
                <w:rFonts w:ascii="Jost" w:hAnsi="Jost"/>
                <w:bCs/>
                <w:sz w:val="22"/>
                <w:szCs w:val="22"/>
              </w:rPr>
            </w:pPr>
            <w:r w:rsidRPr="00064225">
              <w:rPr>
                <w:rFonts w:ascii="Jost" w:hAnsi="Jost"/>
                <w:bCs/>
                <w:sz w:val="22"/>
                <w:szCs w:val="22"/>
              </w:rPr>
              <w:t>–</w:t>
            </w:r>
          </w:p>
        </w:tc>
        <w:tc>
          <w:tcPr>
            <w:tcW w:w="4792" w:type="dxa"/>
            <w:vAlign w:val="center"/>
          </w:tcPr>
          <w:p w14:paraId="0742BE4E" w14:textId="3CCBA00F" w:rsidR="002A533A" w:rsidRPr="00064225" w:rsidRDefault="002A533A" w:rsidP="00B46300">
            <w:pPr>
              <w:jc w:val="center"/>
              <w:rPr>
                <w:rFonts w:ascii="Jost" w:hAnsi="Jost"/>
                <w:sz w:val="22"/>
                <w:szCs w:val="22"/>
                <w:highlight w:val="yellow"/>
              </w:rPr>
            </w:pPr>
            <w:r w:rsidRPr="00064225">
              <w:rPr>
                <w:rFonts w:ascii="Jost" w:hAnsi="Jost"/>
                <w:bCs/>
                <w:sz w:val="22"/>
                <w:szCs w:val="22"/>
              </w:rPr>
              <w:t>–</w:t>
            </w:r>
          </w:p>
        </w:tc>
      </w:tr>
      <w:tr w:rsidR="002A533A" w:rsidRPr="00CC6F5C" w14:paraId="2EFAB815" w14:textId="77777777" w:rsidTr="00B46300">
        <w:tc>
          <w:tcPr>
            <w:tcW w:w="560" w:type="dxa"/>
          </w:tcPr>
          <w:p w14:paraId="6619BA4C" w14:textId="51575178" w:rsidR="002A533A" w:rsidRPr="00CC6F5C" w:rsidRDefault="002A533A" w:rsidP="002A533A">
            <w:pPr>
              <w:rPr>
                <w:rFonts w:ascii="Jost" w:hAnsi="Jost"/>
                <w:sz w:val="22"/>
                <w:szCs w:val="22"/>
              </w:rPr>
            </w:pPr>
            <w:r w:rsidRPr="00CC6F5C">
              <w:rPr>
                <w:rFonts w:ascii="Jost" w:hAnsi="Jost"/>
                <w:sz w:val="22"/>
                <w:szCs w:val="22"/>
              </w:rPr>
              <w:t>5.</w:t>
            </w:r>
          </w:p>
        </w:tc>
        <w:tc>
          <w:tcPr>
            <w:tcW w:w="5360" w:type="dxa"/>
          </w:tcPr>
          <w:p w14:paraId="3F69E3AA" w14:textId="5A82BE22" w:rsidR="002A533A" w:rsidRPr="00064225" w:rsidRDefault="002A533A" w:rsidP="002A533A">
            <w:pPr>
              <w:rPr>
                <w:rFonts w:ascii="Jost" w:hAnsi="Jost"/>
                <w:bCs/>
                <w:sz w:val="22"/>
                <w:szCs w:val="22"/>
              </w:rPr>
            </w:pPr>
            <w:r w:rsidRPr="00064225">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064225">
              <w:rPr>
                <w:rFonts w:ascii="Jost" w:hAnsi="Jost"/>
                <w:i/>
                <w:iCs/>
                <w:sz w:val="22"/>
                <w:szCs w:val="22"/>
              </w:rPr>
              <w:t>prašome pateikti konkrečius pasiūlymus)</w:t>
            </w:r>
          </w:p>
        </w:tc>
        <w:tc>
          <w:tcPr>
            <w:tcW w:w="4451" w:type="dxa"/>
            <w:vAlign w:val="center"/>
          </w:tcPr>
          <w:p w14:paraId="5C4FC92C" w14:textId="0AE4EA4F" w:rsidR="002A533A" w:rsidRPr="00064225" w:rsidRDefault="002A533A" w:rsidP="00B46300">
            <w:pPr>
              <w:jc w:val="center"/>
              <w:rPr>
                <w:rFonts w:ascii="Jost" w:hAnsi="Jost"/>
                <w:bCs/>
                <w:sz w:val="22"/>
                <w:szCs w:val="22"/>
              </w:rPr>
            </w:pPr>
            <w:r w:rsidRPr="00064225">
              <w:rPr>
                <w:rFonts w:ascii="Jost" w:hAnsi="Jost"/>
                <w:bCs/>
                <w:sz w:val="22"/>
                <w:szCs w:val="22"/>
              </w:rPr>
              <w:t>–</w:t>
            </w:r>
          </w:p>
        </w:tc>
        <w:tc>
          <w:tcPr>
            <w:tcW w:w="4792" w:type="dxa"/>
            <w:vAlign w:val="center"/>
          </w:tcPr>
          <w:p w14:paraId="7BE583B5" w14:textId="045D5079" w:rsidR="002A533A" w:rsidRPr="00064225" w:rsidRDefault="002A533A" w:rsidP="00B46300">
            <w:pPr>
              <w:jc w:val="center"/>
              <w:rPr>
                <w:rFonts w:ascii="Jost" w:hAnsi="Jost"/>
                <w:sz w:val="22"/>
                <w:szCs w:val="22"/>
              </w:rPr>
            </w:pPr>
            <w:r w:rsidRPr="00064225">
              <w:rPr>
                <w:rFonts w:ascii="Jost" w:hAnsi="Jost"/>
                <w:bCs/>
                <w:sz w:val="22"/>
                <w:szCs w:val="22"/>
              </w:rPr>
              <w:t>–</w:t>
            </w:r>
          </w:p>
        </w:tc>
      </w:tr>
      <w:tr w:rsidR="002A533A" w:rsidRPr="00CC6F5C" w14:paraId="15E340EC" w14:textId="77777777" w:rsidTr="00B46300">
        <w:tc>
          <w:tcPr>
            <w:tcW w:w="560" w:type="dxa"/>
          </w:tcPr>
          <w:p w14:paraId="4B7CB046" w14:textId="4EF96F16" w:rsidR="002A533A" w:rsidRPr="00CC6F5C" w:rsidRDefault="002A533A" w:rsidP="002A533A">
            <w:pPr>
              <w:rPr>
                <w:rFonts w:ascii="Jost" w:hAnsi="Jost"/>
                <w:sz w:val="22"/>
                <w:szCs w:val="22"/>
              </w:rPr>
            </w:pPr>
            <w:r w:rsidRPr="00CC6F5C">
              <w:rPr>
                <w:rFonts w:ascii="Jost" w:hAnsi="Jost"/>
                <w:sz w:val="22"/>
                <w:szCs w:val="22"/>
              </w:rPr>
              <w:t>6.</w:t>
            </w:r>
          </w:p>
        </w:tc>
        <w:tc>
          <w:tcPr>
            <w:tcW w:w="5360" w:type="dxa"/>
          </w:tcPr>
          <w:p w14:paraId="64C4F9C3" w14:textId="77777777" w:rsidR="002A533A" w:rsidRPr="00064225" w:rsidRDefault="002A533A" w:rsidP="002A533A">
            <w:pPr>
              <w:tabs>
                <w:tab w:val="left" w:pos="284"/>
                <w:tab w:val="left" w:pos="709"/>
              </w:tabs>
              <w:contextualSpacing/>
              <w:rPr>
                <w:rFonts w:ascii="Jost" w:eastAsia="Calibri" w:hAnsi="Jost"/>
                <w:sz w:val="22"/>
                <w:szCs w:val="22"/>
              </w:rPr>
            </w:pPr>
            <w:r w:rsidRPr="00064225">
              <w:rPr>
                <w:rFonts w:ascii="Jost" w:hAnsi="Jost"/>
                <w:sz w:val="22"/>
                <w:szCs w:val="22"/>
              </w:rPr>
              <w:t>Ar turite pastabų, klausimų techninės specifikacijos projektui?</w:t>
            </w:r>
          </w:p>
          <w:p w14:paraId="73319F69" w14:textId="73AE9EC1" w:rsidR="002A533A" w:rsidRPr="00064225" w:rsidRDefault="002A533A" w:rsidP="002A533A">
            <w:pPr>
              <w:rPr>
                <w:rFonts w:ascii="Jost" w:hAnsi="Jost"/>
                <w:bCs/>
                <w:sz w:val="22"/>
                <w:szCs w:val="22"/>
              </w:rPr>
            </w:pPr>
            <w:r w:rsidRPr="00064225">
              <w:rPr>
                <w:rFonts w:ascii="Jost" w:hAnsi="Jost"/>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4451" w:type="dxa"/>
            <w:vAlign w:val="center"/>
          </w:tcPr>
          <w:p w14:paraId="56A1DB6B" w14:textId="738BEEF7" w:rsidR="002A533A" w:rsidRPr="00064225" w:rsidRDefault="002A533A" w:rsidP="00B46300">
            <w:pPr>
              <w:jc w:val="center"/>
              <w:rPr>
                <w:rFonts w:ascii="Jost" w:hAnsi="Jost"/>
                <w:bCs/>
                <w:sz w:val="22"/>
                <w:szCs w:val="22"/>
              </w:rPr>
            </w:pPr>
            <w:r w:rsidRPr="00064225">
              <w:rPr>
                <w:rFonts w:ascii="Jost" w:hAnsi="Jost"/>
                <w:bCs/>
                <w:sz w:val="22"/>
                <w:szCs w:val="22"/>
              </w:rPr>
              <w:t>–</w:t>
            </w:r>
          </w:p>
        </w:tc>
        <w:tc>
          <w:tcPr>
            <w:tcW w:w="4792" w:type="dxa"/>
            <w:vAlign w:val="center"/>
          </w:tcPr>
          <w:p w14:paraId="4FA20694" w14:textId="5A5B80AD" w:rsidR="002A533A" w:rsidRPr="00064225" w:rsidRDefault="002A533A" w:rsidP="00B46300">
            <w:pPr>
              <w:jc w:val="center"/>
              <w:rPr>
                <w:rFonts w:ascii="Jost" w:hAnsi="Jost"/>
                <w:bCs/>
                <w:sz w:val="22"/>
                <w:szCs w:val="22"/>
              </w:rPr>
            </w:pPr>
            <w:r w:rsidRPr="00064225">
              <w:rPr>
                <w:rFonts w:ascii="Jost" w:hAnsi="Jost"/>
                <w:bCs/>
                <w:sz w:val="22"/>
                <w:szCs w:val="22"/>
              </w:rPr>
              <w:t>–</w:t>
            </w:r>
          </w:p>
        </w:tc>
      </w:tr>
      <w:tr w:rsidR="002A533A" w:rsidRPr="00CC6F5C" w14:paraId="47761A30" w14:textId="77777777" w:rsidTr="00B46300">
        <w:tc>
          <w:tcPr>
            <w:tcW w:w="560" w:type="dxa"/>
          </w:tcPr>
          <w:p w14:paraId="39FF61EC" w14:textId="5122203B" w:rsidR="002A533A" w:rsidRPr="00CC6F5C" w:rsidRDefault="002A533A" w:rsidP="002A533A">
            <w:pPr>
              <w:tabs>
                <w:tab w:val="left" w:pos="284"/>
                <w:tab w:val="left" w:pos="709"/>
              </w:tabs>
              <w:contextualSpacing/>
              <w:rPr>
                <w:rFonts w:ascii="Jost" w:hAnsi="Jost"/>
                <w:sz w:val="22"/>
                <w:szCs w:val="22"/>
              </w:rPr>
            </w:pPr>
            <w:r w:rsidRPr="00CC6F5C">
              <w:rPr>
                <w:rFonts w:ascii="Jost" w:hAnsi="Jost"/>
                <w:sz w:val="22"/>
                <w:szCs w:val="22"/>
              </w:rPr>
              <w:t>7.</w:t>
            </w:r>
          </w:p>
        </w:tc>
        <w:tc>
          <w:tcPr>
            <w:tcW w:w="5360" w:type="dxa"/>
          </w:tcPr>
          <w:p w14:paraId="35A51398" w14:textId="0D0D480E" w:rsidR="002A533A" w:rsidRPr="00064225" w:rsidRDefault="002A533A" w:rsidP="002A533A">
            <w:pPr>
              <w:rPr>
                <w:rFonts w:ascii="Jost" w:hAnsi="Jost"/>
                <w:sz w:val="22"/>
                <w:szCs w:val="22"/>
                <w:lang w:eastAsia="lt-LT"/>
              </w:rPr>
            </w:pPr>
            <w:r w:rsidRPr="00064225">
              <w:rPr>
                <w:rFonts w:ascii="Jost" w:eastAsia="Calibri" w:hAnsi="Jost"/>
                <w:sz w:val="22"/>
                <w:szCs w:val="22"/>
              </w:rPr>
              <w:t>Kokia būtų preliminari paslaugų kaina, Eur be PVM? (</w:t>
            </w:r>
            <w:r w:rsidRPr="00064225">
              <w:rPr>
                <w:rFonts w:ascii="Jost" w:eastAsia="Calibri" w:hAnsi="Jost"/>
                <w:i/>
                <w:iCs/>
                <w:sz w:val="22"/>
                <w:szCs w:val="22"/>
              </w:rPr>
              <w:t>prašoma pirkimo vertės nustatymo tikslais, nebus viešinama</w:t>
            </w:r>
            <w:r w:rsidRPr="00064225">
              <w:rPr>
                <w:rFonts w:ascii="Jost" w:eastAsia="Calibri" w:hAnsi="Jost"/>
                <w:sz w:val="22"/>
                <w:szCs w:val="22"/>
              </w:rPr>
              <w:t xml:space="preserve">) </w:t>
            </w:r>
            <w:r w:rsidRPr="00064225">
              <w:rPr>
                <w:rFonts w:ascii="Jost" w:hAnsi="Jost"/>
                <w:color w:val="000000" w:themeColor="text1"/>
                <w:sz w:val="22"/>
                <w:szCs w:val="22"/>
              </w:rPr>
              <w:t>Kokie veiksniai turi įtakos pirkimo objekto kainai?</w:t>
            </w:r>
          </w:p>
        </w:tc>
        <w:tc>
          <w:tcPr>
            <w:tcW w:w="4451" w:type="dxa"/>
            <w:vAlign w:val="center"/>
          </w:tcPr>
          <w:p w14:paraId="18ED7EC5" w14:textId="2B642D61" w:rsidR="002A533A" w:rsidRPr="00B46300" w:rsidRDefault="00B46300" w:rsidP="00B46300">
            <w:pPr>
              <w:jc w:val="center"/>
              <w:rPr>
                <w:rFonts w:ascii="Jost" w:hAnsi="Jost"/>
                <w:bCs/>
                <w:i/>
                <w:iCs/>
                <w:sz w:val="22"/>
                <w:szCs w:val="22"/>
                <w:highlight w:val="yellow"/>
              </w:rPr>
            </w:pPr>
            <w:r w:rsidRPr="00B46300">
              <w:rPr>
                <w:rFonts w:ascii="Jost" w:hAnsi="Jost"/>
                <w:bCs/>
                <w:i/>
                <w:iCs/>
                <w:sz w:val="22"/>
                <w:szCs w:val="22"/>
              </w:rPr>
              <w:t>(konfidenciali informacija)</w:t>
            </w:r>
          </w:p>
        </w:tc>
        <w:tc>
          <w:tcPr>
            <w:tcW w:w="4792" w:type="dxa"/>
            <w:vAlign w:val="center"/>
          </w:tcPr>
          <w:p w14:paraId="2482C2C1" w14:textId="017F9F92" w:rsidR="002A533A" w:rsidRPr="00064225" w:rsidRDefault="00B46300" w:rsidP="00B46300">
            <w:pPr>
              <w:tabs>
                <w:tab w:val="left" w:pos="272"/>
              </w:tabs>
              <w:jc w:val="center"/>
              <w:rPr>
                <w:rFonts w:ascii="Jost" w:hAnsi="Jost"/>
                <w:sz w:val="22"/>
                <w:szCs w:val="22"/>
              </w:rPr>
            </w:pPr>
            <w:r w:rsidRPr="00B46300">
              <w:rPr>
                <w:rFonts w:ascii="Jost" w:hAnsi="Jost"/>
                <w:bCs/>
                <w:i/>
                <w:iCs/>
                <w:sz w:val="22"/>
                <w:szCs w:val="22"/>
              </w:rPr>
              <w:t>(konfidenciali informacija)</w:t>
            </w:r>
          </w:p>
        </w:tc>
      </w:tr>
      <w:tr w:rsidR="002A533A" w:rsidRPr="00CC6F5C" w14:paraId="248EC8EF" w14:textId="77777777" w:rsidTr="00B46300">
        <w:tc>
          <w:tcPr>
            <w:tcW w:w="560" w:type="dxa"/>
          </w:tcPr>
          <w:p w14:paraId="6E573828" w14:textId="169644B6" w:rsidR="002A533A" w:rsidRPr="00CC6F5C" w:rsidRDefault="002A533A" w:rsidP="002A533A">
            <w:pPr>
              <w:tabs>
                <w:tab w:val="left" w:pos="284"/>
                <w:tab w:val="left" w:pos="709"/>
              </w:tabs>
              <w:contextualSpacing/>
              <w:rPr>
                <w:rFonts w:ascii="Jost" w:hAnsi="Jost"/>
                <w:sz w:val="22"/>
                <w:szCs w:val="22"/>
              </w:rPr>
            </w:pPr>
            <w:r w:rsidRPr="00CC6F5C">
              <w:rPr>
                <w:rFonts w:ascii="Jost" w:hAnsi="Jost"/>
                <w:sz w:val="22"/>
                <w:szCs w:val="22"/>
              </w:rPr>
              <w:t>8.</w:t>
            </w:r>
          </w:p>
        </w:tc>
        <w:tc>
          <w:tcPr>
            <w:tcW w:w="5360" w:type="dxa"/>
          </w:tcPr>
          <w:p w14:paraId="231245A7" w14:textId="5191F0F7" w:rsidR="002A533A" w:rsidRPr="00064225" w:rsidRDefault="002A533A" w:rsidP="002A533A">
            <w:pPr>
              <w:rPr>
                <w:rFonts w:ascii="Jost" w:hAnsi="Jost"/>
                <w:sz w:val="22"/>
                <w:szCs w:val="22"/>
                <w:lang w:eastAsia="lt-LT"/>
              </w:rPr>
            </w:pPr>
            <w:r w:rsidRPr="00064225">
              <w:rPr>
                <w:rFonts w:ascii="Jost" w:hAnsi="Jost"/>
                <w:sz w:val="22"/>
                <w:szCs w:val="22"/>
              </w:rPr>
              <w:t xml:space="preserve">Kokie kvalifikacijos reikalavimai, Jūsų nuomone, turėtų būti keliami tiekėjams, ketinantiems dalyvauti pirkimo procedūroje? </w:t>
            </w:r>
            <w:r w:rsidRPr="00064225">
              <w:rPr>
                <w:rFonts w:ascii="Jost" w:hAnsi="Jost"/>
                <w:i/>
                <w:iCs/>
                <w:sz w:val="22"/>
                <w:szCs w:val="22"/>
              </w:rPr>
              <w:t>Prašome pagrįsti.</w:t>
            </w:r>
          </w:p>
        </w:tc>
        <w:tc>
          <w:tcPr>
            <w:tcW w:w="4451" w:type="dxa"/>
            <w:vAlign w:val="center"/>
          </w:tcPr>
          <w:p w14:paraId="0F06D989" w14:textId="7764E240" w:rsidR="002A533A" w:rsidRPr="00064225" w:rsidRDefault="002A533A" w:rsidP="00B46300">
            <w:pPr>
              <w:pStyle w:val="ListParagraph"/>
              <w:ind w:left="0"/>
              <w:jc w:val="center"/>
              <w:rPr>
                <w:rFonts w:ascii="Jost" w:hAnsi="Jost"/>
                <w:sz w:val="22"/>
                <w:szCs w:val="22"/>
              </w:rPr>
            </w:pPr>
            <w:r w:rsidRPr="00064225">
              <w:rPr>
                <w:rFonts w:ascii="Jost" w:hAnsi="Jost"/>
                <w:bCs/>
                <w:sz w:val="22"/>
                <w:szCs w:val="22"/>
              </w:rPr>
              <w:t>–</w:t>
            </w:r>
          </w:p>
        </w:tc>
        <w:tc>
          <w:tcPr>
            <w:tcW w:w="4792" w:type="dxa"/>
            <w:vAlign w:val="center"/>
          </w:tcPr>
          <w:p w14:paraId="14D40349" w14:textId="4000830B" w:rsidR="002A533A" w:rsidRPr="00064225" w:rsidRDefault="002A533A" w:rsidP="00B46300">
            <w:pPr>
              <w:tabs>
                <w:tab w:val="left" w:pos="272"/>
              </w:tabs>
              <w:jc w:val="center"/>
              <w:rPr>
                <w:rFonts w:ascii="Jost" w:hAnsi="Jost"/>
                <w:sz w:val="22"/>
                <w:szCs w:val="22"/>
              </w:rPr>
            </w:pPr>
            <w:r w:rsidRPr="00064225">
              <w:rPr>
                <w:rFonts w:ascii="Jost" w:hAnsi="Jost"/>
                <w:bCs/>
                <w:sz w:val="22"/>
                <w:szCs w:val="22"/>
              </w:rPr>
              <w:t>–</w:t>
            </w:r>
          </w:p>
        </w:tc>
      </w:tr>
      <w:tr w:rsidR="002A533A" w:rsidRPr="00CC6F5C" w14:paraId="5207E560" w14:textId="77777777" w:rsidTr="00B46300">
        <w:tc>
          <w:tcPr>
            <w:tcW w:w="560" w:type="dxa"/>
          </w:tcPr>
          <w:p w14:paraId="7970F3AC" w14:textId="4FABF371" w:rsidR="002A533A" w:rsidRPr="00CC6F5C" w:rsidRDefault="002A533A" w:rsidP="002A533A">
            <w:pPr>
              <w:tabs>
                <w:tab w:val="left" w:pos="284"/>
                <w:tab w:val="left" w:pos="709"/>
              </w:tabs>
              <w:contextualSpacing/>
              <w:rPr>
                <w:rFonts w:ascii="Jost" w:hAnsi="Jost"/>
                <w:sz w:val="22"/>
                <w:szCs w:val="22"/>
              </w:rPr>
            </w:pPr>
            <w:r w:rsidRPr="00CC6F5C">
              <w:rPr>
                <w:rFonts w:ascii="Jost" w:hAnsi="Jost"/>
                <w:sz w:val="22"/>
                <w:szCs w:val="22"/>
              </w:rPr>
              <w:lastRenderedPageBreak/>
              <w:t>9.</w:t>
            </w:r>
          </w:p>
        </w:tc>
        <w:tc>
          <w:tcPr>
            <w:tcW w:w="5360" w:type="dxa"/>
          </w:tcPr>
          <w:p w14:paraId="7D4117E0" w14:textId="66D61031" w:rsidR="002A533A" w:rsidRPr="00064225" w:rsidRDefault="002A533A" w:rsidP="002A533A">
            <w:pPr>
              <w:rPr>
                <w:rFonts w:ascii="Jost" w:hAnsi="Jost"/>
                <w:sz w:val="22"/>
                <w:szCs w:val="22"/>
                <w:lang w:eastAsia="lt-LT"/>
              </w:rPr>
            </w:pPr>
            <w:r w:rsidRPr="00064225">
              <w:rPr>
                <w:rFonts w:ascii="Jost" w:hAnsi="Jost"/>
                <w:sz w:val="22"/>
                <w:szCs w:val="22"/>
              </w:rPr>
              <w:t xml:space="preserve">Kokie specialistai, Jūsų nuomone, turėtų dalyvauti sutarties vykdyme, kad sutartis būtų įvykdyta laiku ir kokybiškai? </w:t>
            </w:r>
            <w:r w:rsidRPr="00064225">
              <w:rPr>
                <w:rFonts w:ascii="Jost" w:hAnsi="Jost"/>
                <w:i/>
                <w:iCs/>
                <w:sz w:val="22"/>
                <w:szCs w:val="22"/>
              </w:rPr>
              <w:t>Prašome pagrįsti.</w:t>
            </w:r>
          </w:p>
        </w:tc>
        <w:tc>
          <w:tcPr>
            <w:tcW w:w="4451" w:type="dxa"/>
            <w:vAlign w:val="center"/>
          </w:tcPr>
          <w:p w14:paraId="453DD919" w14:textId="7448B3C6" w:rsidR="002A533A" w:rsidRPr="00064225" w:rsidRDefault="002A533A" w:rsidP="00B46300">
            <w:pPr>
              <w:pStyle w:val="Default"/>
              <w:jc w:val="center"/>
              <w:rPr>
                <w:rFonts w:ascii="Jost" w:hAnsi="Jost"/>
                <w:color w:val="auto"/>
                <w:sz w:val="22"/>
                <w:szCs w:val="22"/>
                <w:lang w:val="lt-LT"/>
              </w:rPr>
            </w:pPr>
            <w:r w:rsidRPr="00064225">
              <w:rPr>
                <w:rFonts w:ascii="Jost" w:hAnsi="Jost"/>
                <w:bCs/>
                <w:sz w:val="22"/>
                <w:szCs w:val="22"/>
              </w:rPr>
              <w:t>–</w:t>
            </w:r>
          </w:p>
        </w:tc>
        <w:tc>
          <w:tcPr>
            <w:tcW w:w="4792" w:type="dxa"/>
            <w:vAlign w:val="center"/>
          </w:tcPr>
          <w:p w14:paraId="70BE5D22" w14:textId="6EB02478" w:rsidR="002A533A" w:rsidRPr="00064225" w:rsidRDefault="002A533A" w:rsidP="00B46300">
            <w:pPr>
              <w:tabs>
                <w:tab w:val="left" w:pos="272"/>
              </w:tabs>
              <w:jc w:val="center"/>
              <w:rPr>
                <w:rFonts w:ascii="Jost" w:hAnsi="Jost"/>
                <w:sz w:val="22"/>
                <w:szCs w:val="22"/>
              </w:rPr>
            </w:pPr>
            <w:r w:rsidRPr="00064225">
              <w:rPr>
                <w:rFonts w:ascii="Jost" w:hAnsi="Jost"/>
                <w:bCs/>
                <w:sz w:val="22"/>
                <w:szCs w:val="22"/>
              </w:rPr>
              <w:t>–</w:t>
            </w:r>
          </w:p>
        </w:tc>
      </w:tr>
      <w:tr w:rsidR="002A533A" w:rsidRPr="00CC6F5C" w14:paraId="609D9E1F" w14:textId="77777777" w:rsidTr="00B46300">
        <w:tc>
          <w:tcPr>
            <w:tcW w:w="560" w:type="dxa"/>
          </w:tcPr>
          <w:p w14:paraId="4ADED331" w14:textId="650BC206" w:rsidR="002A533A" w:rsidRPr="00CC6F5C" w:rsidRDefault="002A533A" w:rsidP="002A533A">
            <w:pPr>
              <w:tabs>
                <w:tab w:val="left" w:pos="284"/>
                <w:tab w:val="left" w:pos="709"/>
              </w:tabs>
              <w:contextualSpacing/>
              <w:rPr>
                <w:rFonts w:ascii="Jost" w:hAnsi="Jost"/>
                <w:sz w:val="22"/>
                <w:szCs w:val="22"/>
              </w:rPr>
            </w:pPr>
            <w:r>
              <w:rPr>
                <w:rFonts w:ascii="Jost" w:hAnsi="Jost"/>
                <w:sz w:val="22"/>
                <w:szCs w:val="22"/>
              </w:rPr>
              <w:t>10.</w:t>
            </w:r>
          </w:p>
        </w:tc>
        <w:tc>
          <w:tcPr>
            <w:tcW w:w="5360" w:type="dxa"/>
          </w:tcPr>
          <w:p w14:paraId="6158E141" w14:textId="3D38072F" w:rsidR="002A533A" w:rsidRPr="00064225" w:rsidRDefault="002A533A" w:rsidP="002A533A">
            <w:pPr>
              <w:rPr>
                <w:rFonts w:ascii="Jost" w:hAnsi="Jost"/>
                <w:sz w:val="22"/>
                <w:szCs w:val="22"/>
                <w:lang w:eastAsia="lt-LT"/>
              </w:rPr>
            </w:pPr>
            <w:r w:rsidRPr="00064225">
              <w:rPr>
                <w:rFonts w:ascii="Jost" w:eastAsia="Calibri" w:hAnsi="Jost"/>
                <w:sz w:val="22"/>
                <w:szCs w:val="22"/>
              </w:rPr>
              <w:t>Prašome įvardyti kitą Jūsų nuomone reikšmingą informaciją tinkamam šių paslaugų suteikimui.</w:t>
            </w:r>
          </w:p>
        </w:tc>
        <w:tc>
          <w:tcPr>
            <w:tcW w:w="4451" w:type="dxa"/>
            <w:vAlign w:val="center"/>
          </w:tcPr>
          <w:p w14:paraId="29C66E61" w14:textId="24259CF5" w:rsidR="002A533A" w:rsidRPr="00064225" w:rsidRDefault="002A533A" w:rsidP="00B46300">
            <w:pPr>
              <w:pStyle w:val="Default"/>
              <w:jc w:val="center"/>
              <w:rPr>
                <w:rFonts w:ascii="Jost" w:hAnsi="Jost"/>
                <w:color w:val="auto"/>
                <w:sz w:val="22"/>
                <w:szCs w:val="22"/>
                <w:lang w:val="lt-LT"/>
              </w:rPr>
            </w:pPr>
            <w:r w:rsidRPr="00064225">
              <w:rPr>
                <w:rFonts w:ascii="Jost" w:hAnsi="Jost"/>
                <w:bCs/>
                <w:sz w:val="22"/>
                <w:szCs w:val="22"/>
              </w:rPr>
              <w:t>–</w:t>
            </w:r>
          </w:p>
        </w:tc>
        <w:tc>
          <w:tcPr>
            <w:tcW w:w="4792" w:type="dxa"/>
            <w:vAlign w:val="center"/>
          </w:tcPr>
          <w:p w14:paraId="3C854B11" w14:textId="767409E0" w:rsidR="002A533A" w:rsidRPr="00064225" w:rsidRDefault="002A533A" w:rsidP="00B46300">
            <w:pPr>
              <w:tabs>
                <w:tab w:val="left" w:pos="272"/>
              </w:tabs>
              <w:jc w:val="center"/>
              <w:rPr>
                <w:rFonts w:ascii="Jost" w:hAnsi="Jost"/>
                <w:sz w:val="22"/>
                <w:szCs w:val="22"/>
              </w:rPr>
            </w:pPr>
            <w:r w:rsidRPr="00064225">
              <w:rPr>
                <w:rFonts w:ascii="Jost" w:hAnsi="Jost"/>
                <w:bCs/>
                <w:sz w:val="22"/>
                <w:szCs w:val="22"/>
              </w:rPr>
              <w:t>–</w:t>
            </w:r>
          </w:p>
        </w:tc>
      </w:tr>
    </w:tbl>
    <w:p w14:paraId="78FE7D07" w14:textId="77777777" w:rsidR="008E0832" w:rsidRPr="00CC6F5C" w:rsidRDefault="008E0832" w:rsidP="002F4E59">
      <w:pPr>
        <w:jc w:val="center"/>
        <w:rPr>
          <w:rFonts w:ascii="Jost" w:hAnsi="Jost"/>
          <w:sz w:val="22"/>
          <w:szCs w:val="22"/>
        </w:rPr>
      </w:pPr>
    </w:p>
    <w:p w14:paraId="662D3EB4" w14:textId="77777777" w:rsidR="006001F1" w:rsidRPr="00CC6F5C" w:rsidRDefault="006001F1" w:rsidP="002F4E59">
      <w:pPr>
        <w:jc w:val="center"/>
        <w:rPr>
          <w:rFonts w:ascii="Jost" w:hAnsi="Jost"/>
          <w:sz w:val="22"/>
          <w:szCs w:val="22"/>
        </w:rPr>
      </w:pPr>
    </w:p>
    <w:tbl>
      <w:tblPr>
        <w:tblStyle w:val="TableGrid"/>
        <w:tblW w:w="15163" w:type="dxa"/>
        <w:tblLook w:val="04A0" w:firstRow="1" w:lastRow="0" w:firstColumn="1" w:lastColumn="0" w:noHBand="0" w:noVBand="1"/>
      </w:tblPr>
      <w:tblGrid>
        <w:gridCol w:w="3823"/>
        <w:gridCol w:w="11340"/>
      </w:tblGrid>
      <w:tr w:rsidR="001D04EE" w:rsidRPr="00CC6F5C" w14:paraId="33588B88" w14:textId="77777777" w:rsidTr="00605BBC">
        <w:tc>
          <w:tcPr>
            <w:tcW w:w="3823" w:type="dxa"/>
            <w:shd w:val="clear" w:color="auto" w:fill="E2EFD9" w:themeFill="accent6" w:themeFillTint="33"/>
            <w:vAlign w:val="center"/>
          </w:tcPr>
          <w:p w14:paraId="2FDAC0F4" w14:textId="73A63BBE" w:rsidR="00605BBC" w:rsidRPr="00CC6F5C" w:rsidRDefault="00605BBC" w:rsidP="00605BBC">
            <w:pPr>
              <w:tabs>
                <w:tab w:val="left" w:pos="284"/>
                <w:tab w:val="left" w:pos="709"/>
              </w:tabs>
              <w:contextualSpacing/>
              <w:jc w:val="center"/>
              <w:rPr>
                <w:rFonts w:ascii="Jost" w:hAnsi="Jost"/>
                <w:sz w:val="22"/>
                <w:szCs w:val="22"/>
              </w:rPr>
            </w:pPr>
            <w:r w:rsidRPr="00CC6F5C">
              <w:rPr>
                <w:rFonts w:ascii="Jost" w:hAnsi="Jost"/>
                <w:b/>
                <w:bCs/>
                <w:sz w:val="22"/>
                <w:szCs w:val="22"/>
              </w:rPr>
              <w:t>IŠVADOS:</w:t>
            </w:r>
          </w:p>
        </w:tc>
        <w:tc>
          <w:tcPr>
            <w:tcW w:w="11340" w:type="dxa"/>
          </w:tcPr>
          <w:p w14:paraId="0C257BF2" w14:textId="77777777" w:rsidR="00605BBC" w:rsidRPr="00CC6F5C" w:rsidRDefault="00605BBC" w:rsidP="000833DA">
            <w:pPr>
              <w:pStyle w:val="ListParagraph"/>
              <w:numPr>
                <w:ilvl w:val="0"/>
                <w:numId w:val="4"/>
              </w:numPr>
              <w:ind w:left="372" w:hanging="226"/>
              <w:rPr>
                <w:rFonts w:ascii="Jost" w:eastAsiaTheme="minorHAnsi" w:hAnsi="Jost"/>
                <w:sz w:val="22"/>
                <w:szCs w:val="22"/>
              </w:rPr>
            </w:pPr>
            <w:r w:rsidRPr="00CC6F5C">
              <w:rPr>
                <w:rFonts w:ascii="Jost" w:hAnsi="Jost"/>
                <w:i/>
                <w:sz w:val="22"/>
                <w:szCs w:val="22"/>
              </w:rPr>
              <w:t xml:space="preserve">Rinkos konsultacijos metu surinkti duomenys bus naudojami rengiant numatomo vykdyti viešojo pirkimo dokumentus; </w:t>
            </w:r>
          </w:p>
          <w:p w14:paraId="2189824D" w14:textId="1B57A36E" w:rsidR="00605BBC" w:rsidRPr="00CC6F5C" w:rsidRDefault="00605BBC" w:rsidP="000833DA">
            <w:pPr>
              <w:pStyle w:val="ListParagraph"/>
              <w:numPr>
                <w:ilvl w:val="0"/>
                <w:numId w:val="4"/>
              </w:numPr>
              <w:ind w:left="372" w:hanging="226"/>
              <w:rPr>
                <w:rFonts w:ascii="Jost" w:eastAsiaTheme="minorHAnsi" w:hAnsi="Jost"/>
                <w:sz w:val="22"/>
                <w:szCs w:val="22"/>
              </w:rPr>
            </w:pPr>
            <w:r w:rsidRPr="00CC6F5C">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CC6F5C" w:rsidRDefault="005C282A" w:rsidP="006F7D78">
      <w:pPr>
        <w:autoSpaceDE w:val="0"/>
        <w:autoSpaceDN w:val="0"/>
        <w:adjustRightInd w:val="0"/>
        <w:rPr>
          <w:rFonts w:ascii="Jost" w:eastAsiaTheme="minorHAnsi" w:hAnsi="Jost"/>
          <w:sz w:val="22"/>
          <w:szCs w:val="22"/>
        </w:rPr>
      </w:pPr>
    </w:p>
    <w:p w14:paraId="1F94C43A" w14:textId="43E67D0D" w:rsidR="006F7D78" w:rsidRPr="00CC6F5C" w:rsidRDefault="006F7D78" w:rsidP="00B02CAA">
      <w:pPr>
        <w:autoSpaceDE w:val="0"/>
        <w:autoSpaceDN w:val="0"/>
        <w:adjustRightInd w:val="0"/>
        <w:rPr>
          <w:rFonts w:ascii="Jost" w:eastAsiaTheme="minorHAnsi" w:hAnsi="Jost"/>
          <w:sz w:val="22"/>
          <w:szCs w:val="22"/>
        </w:rPr>
      </w:pPr>
      <w:r w:rsidRPr="00CC6F5C">
        <w:rPr>
          <w:rFonts w:ascii="Jost" w:eastAsiaTheme="minorHAnsi" w:hAnsi="Jost"/>
          <w:sz w:val="22"/>
          <w:szCs w:val="22"/>
        </w:rPr>
        <w:t>Perkančioji organizacija artimiausiu metu planuoja skelbti skelbimą apie pirkimą. Prašome sekti informaciją Centriniame viešųjų pirkimų portale</w:t>
      </w:r>
      <w:r w:rsidR="00B02CAA" w:rsidRPr="00CC6F5C">
        <w:rPr>
          <w:rFonts w:ascii="Jost" w:eastAsiaTheme="minorHAnsi" w:hAnsi="Jost"/>
          <w:sz w:val="22"/>
          <w:szCs w:val="22"/>
        </w:rPr>
        <w:t xml:space="preserve"> </w:t>
      </w:r>
      <w:r w:rsidRPr="00CC6F5C">
        <w:rPr>
          <w:rFonts w:ascii="Jost" w:eastAsiaTheme="minorHAnsi" w:hAnsi="Jost"/>
          <w:sz w:val="22"/>
          <w:szCs w:val="22"/>
        </w:rPr>
        <w:t>(</w:t>
      </w:r>
      <w:hyperlink r:id="rId11" w:history="1">
        <w:r w:rsidRPr="00CC6F5C">
          <w:rPr>
            <w:rStyle w:val="Hyperlink"/>
            <w:rFonts w:ascii="Jost" w:eastAsiaTheme="minorHAnsi" w:hAnsi="Jost"/>
            <w:color w:val="auto"/>
            <w:sz w:val="22"/>
            <w:szCs w:val="22"/>
          </w:rPr>
          <w:t>www.cvpp.lt</w:t>
        </w:r>
      </w:hyperlink>
      <w:r w:rsidRPr="00CC6F5C">
        <w:rPr>
          <w:rFonts w:ascii="Jost" w:eastAsiaTheme="minorHAnsi" w:hAnsi="Jost"/>
          <w:sz w:val="22"/>
          <w:szCs w:val="22"/>
        </w:rPr>
        <w:t>).</w:t>
      </w:r>
    </w:p>
    <w:p w14:paraId="4BAFED55" w14:textId="5A94F556" w:rsidR="00F93420" w:rsidRPr="00CC6F5C" w:rsidRDefault="00F93420" w:rsidP="003678B0">
      <w:pPr>
        <w:jc w:val="center"/>
        <w:rPr>
          <w:rFonts w:ascii="Jost" w:hAnsi="Jost"/>
          <w:b/>
          <w:sz w:val="22"/>
          <w:szCs w:val="22"/>
        </w:rPr>
      </w:pPr>
      <w:r w:rsidRPr="00CC6F5C">
        <w:rPr>
          <w:rFonts w:ascii="Jost" w:hAnsi="Jost"/>
          <w:b/>
          <w:sz w:val="22"/>
          <w:szCs w:val="22"/>
        </w:rPr>
        <w:t>_________________</w:t>
      </w:r>
    </w:p>
    <w:sectPr w:rsidR="00F93420" w:rsidRPr="00CC6F5C"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AA82" w14:textId="77777777" w:rsidR="00F23EDA" w:rsidRDefault="00F23EDA" w:rsidP="00794BCE">
      <w:r>
        <w:separator/>
      </w:r>
    </w:p>
  </w:endnote>
  <w:endnote w:type="continuationSeparator" w:id="0">
    <w:p w14:paraId="64BA96A6" w14:textId="77777777" w:rsidR="00F23EDA" w:rsidRDefault="00F23EDA"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Footer"/>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60A7" w14:textId="77777777" w:rsidR="00F23EDA" w:rsidRDefault="00F23EDA" w:rsidP="00794BCE">
      <w:r>
        <w:separator/>
      </w:r>
    </w:p>
  </w:footnote>
  <w:footnote w:type="continuationSeparator" w:id="0">
    <w:p w14:paraId="55B86502" w14:textId="77777777" w:rsidR="00F23EDA" w:rsidRDefault="00F23EDA"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4E8A" w14:textId="1E083F0A" w:rsidR="00824A8C" w:rsidRPr="00824A8C" w:rsidRDefault="00824A8C" w:rsidP="00824A8C">
    <w:pPr>
      <w:pStyle w:val="Header"/>
      <w:ind w:right="-284"/>
      <w:jc w:val="right"/>
      <w:rPr>
        <w:rFonts w:ascii="Jost" w:hAnsi="Jost"/>
        <w:sz w:val="22"/>
        <w:szCs w:val="18"/>
      </w:rPr>
    </w:pPr>
    <w:r w:rsidRPr="00824A8C">
      <w:rPr>
        <w:rFonts w:ascii="Jost" w:hAnsi="Jost"/>
        <w:sz w:val="22"/>
        <w:szCs w:val="18"/>
      </w:rPr>
      <w:t xml:space="preserve">Viešojo pirkimo komisijos protokolo Nr. </w:t>
    </w:r>
    <w:r w:rsidR="003C4BB1">
      <w:rPr>
        <w:rFonts w:ascii="Jost" w:hAnsi="Jost"/>
        <w:sz w:val="22"/>
        <w:szCs w:val="18"/>
      </w:rPr>
      <w:t>2</w:t>
    </w:r>
  </w:p>
  <w:p w14:paraId="078641FC" w14:textId="16FCF323" w:rsidR="00824A8C" w:rsidRPr="00824A8C" w:rsidRDefault="00824A8C" w:rsidP="00824A8C">
    <w:pPr>
      <w:pStyle w:val="Header"/>
      <w:ind w:right="-284"/>
      <w:jc w:val="right"/>
      <w:rPr>
        <w:rFonts w:ascii="Jost" w:hAnsi="Jost"/>
        <w:sz w:val="22"/>
        <w:szCs w:val="18"/>
      </w:rPr>
    </w:pPr>
    <w:r w:rsidRPr="00824A8C">
      <w:rPr>
        <w:rFonts w:ascii="Jost" w:hAnsi="Jost"/>
        <w:sz w:val="22"/>
        <w:szCs w:val="18"/>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345ADF"/>
    <w:multiLevelType w:val="hybridMultilevel"/>
    <w:tmpl w:val="943A01E2"/>
    <w:lvl w:ilvl="0" w:tplc="A12A5E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7" w15:restartNumberingAfterBreak="0">
    <w:nsid w:val="21FD248D"/>
    <w:multiLevelType w:val="hybridMultilevel"/>
    <w:tmpl w:val="B77A4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659B0"/>
    <w:multiLevelType w:val="hybridMultilevel"/>
    <w:tmpl w:val="3886FBC0"/>
    <w:lvl w:ilvl="0" w:tplc="EB9C603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1"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0872FA"/>
    <w:multiLevelType w:val="hybridMultilevel"/>
    <w:tmpl w:val="B77A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607107">
    <w:abstractNumId w:val="9"/>
  </w:num>
  <w:num w:numId="2" w16cid:durableId="1135560581">
    <w:abstractNumId w:val="1"/>
  </w:num>
  <w:num w:numId="3" w16cid:durableId="490294884">
    <w:abstractNumId w:val="16"/>
  </w:num>
  <w:num w:numId="4" w16cid:durableId="15154896">
    <w:abstractNumId w:val="13"/>
  </w:num>
  <w:num w:numId="5" w16cid:durableId="1717389553">
    <w:abstractNumId w:val="0"/>
  </w:num>
  <w:num w:numId="6" w16cid:durableId="451287927">
    <w:abstractNumId w:val="10"/>
  </w:num>
  <w:num w:numId="7" w16cid:durableId="1715615039">
    <w:abstractNumId w:val="6"/>
  </w:num>
  <w:num w:numId="8" w16cid:durableId="437213509">
    <w:abstractNumId w:val="18"/>
  </w:num>
  <w:num w:numId="9" w16cid:durableId="1747992762">
    <w:abstractNumId w:val="12"/>
  </w:num>
  <w:num w:numId="10" w16cid:durableId="102238445">
    <w:abstractNumId w:val="2"/>
  </w:num>
  <w:num w:numId="11" w16cid:durableId="1296833117">
    <w:abstractNumId w:val="3"/>
  </w:num>
  <w:num w:numId="12" w16cid:durableId="129902242">
    <w:abstractNumId w:val="14"/>
  </w:num>
  <w:num w:numId="13" w16cid:durableId="57873000">
    <w:abstractNumId w:val="15"/>
  </w:num>
  <w:num w:numId="14" w16cid:durableId="1785073656">
    <w:abstractNumId w:val="4"/>
  </w:num>
  <w:num w:numId="15" w16cid:durableId="468404162">
    <w:abstractNumId w:val="11"/>
  </w:num>
  <w:num w:numId="16" w16cid:durableId="1353410144">
    <w:abstractNumId w:val="17"/>
  </w:num>
  <w:num w:numId="17" w16cid:durableId="284653074">
    <w:abstractNumId w:val="19"/>
  </w:num>
  <w:num w:numId="18" w16cid:durableId="1914199337">
    <w:abstractNumId w:val="7"/>
  </w:num>
  <w:num w:numId="19" w16cid:durableId="297154623">
    <w:abstractNumId w:val="8"/>
  </w:num>
  <w:num w:numId="20" w16cid:durableId="140471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08E"/>
    <w:rsid w:val="00016BAF"/>
    <w:rsid w:val="000179DD"/>
    <w:rsid w:val="00017E09"/>
    <w:rsid w:val="00020E3E"/>
    <w:rsid w:val="00023F4F"/>
    <w:rsid w:val="00023FB9"/>
    <w:rsid w:val="00046D53"/>
    <w:rsid w:val="000502D1"/>
    <w:rsid w:val="000544A1"/>
    <w:rsid w:val="000557F9"/>
    <w:rsid w:val="00063B33"/>
    <w:rsid w:val="00064225"/>
    <w:rsid w:val="000776FD"/>
    <w:rsid w:val="000833DA"/>
    <w:rsid w:val="000876D5"/>
    <w:rsid w:val="00090803"/>
    <w:rsid w:val="00091709"/>
    <w:rsid w:val="00096210"/>
    <w:rsid w:val="00097855"/>
    <w:rsid w:val="000A2589"/>
    <w:rsid w:val="000A2AAC"/>
    <w:rsid w:val="000A6803"/>
    <w:rsid w:val="000B1CA4"/>
    <w:rsid w:val="000B3E49"/>
    <w:rsid w:val="000C03AD"/>
    <w:rsid w:val="000C451F"/>
    <w:rsid w:val="000C532F"/>
    <w:rsid w:val="000C612F"/>
    <w:rsid w:val="000D39DA"/>
    <w:rsid w:val="000D5A62"/>
    <w:rsid w:val="000E14CA"/>
    <w:rsid w:val="000E2AFD"/>
    <w:rsid w:val="000E408C"/>
    <w:rsid w:val="000E6549"/>
    <w:rsid w:val="000E6E8B"/>
    <w:rsid w:val="000E7FE7"/>
    <w:rsid w:val="000F57BB"/>
    <w:rsid w:val="00102DAC"/>
    <w:rsid w:val="00102E51"/>
    <w:rsid w:val="00102F29"/>
    <w:rsid w:val="001062C7"/>
    <w:rsid w:val="0011137B"/>
    <w:rsid w:val="0013031E"/>
    <w:rsid w:val="00131C9F"/>
    <w:rsid w:val="00137E92"/>
    <w:rsid w:val="001472F1"/>
    <w:rsid w:val="00151FC0"/>
    <w:rsid w:val="0015357D"/>
    <w:rsid w:val="001536FD"/>
    <w:rsid w:val="00153AC9"/>
    <w:rsid w:val="00180F4E"/>
    <w:rsid w:val="0018206C"/>
    <w:rsid w:val="001865F9"/>
    <w:rsid w:val="00193FA5"/>
    <w:rsid w:val="00195E1A"/>
    <w:rsid w:val="001963EB"/>
    <w:rsid w:val="001A53CA"/>
    <w:rsid w:val="001A6A85"/>
    <w:rsid w:val="001B1D6A"/>
    <w:rsid w:val="001C1BB4"/>
    <w:rsid w:val="001C2EE7"/>
    <w:rsid w:val="001C42D3"/>
    <w:rsid w:val="001C4F35"/>
    <w:rsid w:val="001C510F"/>
    <w:rsid w:val="001C7422"/>
    <w:rsid w:val="001D04EE"/>
    <w:rsid w:val="001D1970"/>
    <w:rsid w:val="001D270D"/>
    <w:rsid w:val="001D6382"/>
    <w:rsid w:val="001D7CD3"/>
    <w:rsid w:val="001D7DA3"/>
    <w:rsid w:val="001F4DE7"/>
    <w:rsid w:val="001F566C"/>
    <w:rsid w:val="001F6DAD"/>
    <w:rsid w:val="001F7875"/>
    <w:rsid w:val="001F7F98"/>
    <w:rsid w:val="00207E12"/>
    <w:rsid w:val="00211145"/>
    <w:rsid w:val="002113A1"/>
    <w:rsid w:val="00213165"/>
    <w:rsid w:val="00213F62"/>
    <w:rsid w:val="00220D4F"/>
    <w:rsid w:val="00222562"/>
    <w:rsid w:val="002255A9"/>
    <w:rsid w:val="00230D3E"/>
    <w:rsid w:val="00231A90"/>
    <w:rsid w:val="00232A77"/>
    <w:rsid w:val="00233B81"/>
    <w:rsid w:val="00235630"/>
    <w:rsid w:val="00236E28"/>
    <w:rsid w:val="00247FC5"/>
    <w:rsid w:val="0025657F"/>
    <w:rsid w:val="0026046B"/>
    <w:rsid w:val="002637A6"/>
    <w:rsid w:val="00263EE5"/>
    <w:rsid w:val="00265602"/>
    <w:rsid w:val="00271E03"/>
    <w:rsid w:val="002760FE"/>
    <w:rsid w:val="00282362"/>
    <w:rsid w:val="00287012"/>
    <w:rsid w:val="00291761"/>
    <w:rsid w:val="00295106"/>
    <w:rsid w:val="002A10A4"/>
    <w:rsid w:val="002A2A4C"/>
    <w:rsid w:val="002A3D61"/>
    <w:rsid w:val="002A533A"/>
    <w:rsid w:val="002A7F42"/>
    <w:rsid w:val="002B3717"/>
    <w:rsid w:val="002B76DC"/>
    <w:rsid w:val="002C34E1"/>
    <w:rsid w:val="002C4F84"/>
    <w:rsid w:val="002C62F8"/>
    <w:rsid w:val="002C6F99"/>
    <w:rsid w:val="002D1EF2"/>
    <w:rsid w:val="002D23A5"/>
    <w:rsid w:val="002D2C21"/>
    <w:rsid w:val="002D37CD"/>
    <w:rsid w:val="002E0610"/>
    <w:rsid w:val="002E392A"/>
    <w:rsid w:val="002E6E16"/>
    <w:rsid w:val="002F0468"/>
    <w:rsid w:val="002F4E59"/>
    <w:rsid w:val="002F6436"/>
    <w:rsid w:val="0030452B"/>
    <w:rsid w:val="00310341"/>
    <w:rsid w:val="00314F30"/>
    <w:rsid w:val="003157D5"/>
    <w:rsid w:val="003167DA"/>
    <w:rsid w:val="003253DC"/>
    <w:rsid w:val="003262F8"/>
    <w:rsid w:val="00326C7F"/>
    <w:rsid w:val="00326D0E"/>
    <w:rsid w:val="00333AF7"/>
    <w:rsid w:val="003348D7"/>
    <w:rsid w:val="00334DBD"/>
    <w:rsid w:val="00335759"/>
    <w:rsid w:val="00337AF5"/>
    <w:rsid w:val="00344AEC"/>
    <w:rsid w:val="003461E2"/>
    <w:rsid w:val="00346C89"/>
    <w:rsid w:val="003558F5"/>
    <w:rsid w:val="00356782"/>
    <w:rsid w:val="00361249"/>
    <w:rsid w:val="00364DCB"/>
    <w:rsid w:val="003678B0"/>
    <w:rsid w:val="00374868"/>
    <w:rsid w:val="00380A95"/>
    <w:rsid w:val="00382678"/>
    <w:rsid w:val="0038389C"/>
    <w:rsid w:val="00386E6A"/>
    <w:rsid w:val="003A2F99"/>
    <w:rsid w:val="003A5105"/>
    <w:rsid w:val="003A568D"/>
    <w:rsid w:val="003A5E6D"/>
    <w:rsid w:val="003B2F73"/>
    <w:rsid w:val="003C4BB1"/>
    <w:rsid w:val="003C5D68"/>
    <w:rsid w:val="003D32CE"/>
    <w:rsid w:val="003E1D39"/>
    <w:rsid w:val="003E2E85"/>
    <w:rsid w:val="003E3685"/>
    <w:rsid w:val="003E4E9E"/>
    <w:rsid w:val="003F1A03"/>
    <w:rsid w:val="003F3588"/>
    <w:rsid w:val="004022FD"/>
    <w:rsid w:val="0040394C"/>
    <w:rsid w:val="00405678"/>
    <w:rsid w:val="00405988"/>
    <w:rsid w:val="00411102"/>
    <w:rsid w:val="0041199D"/>
    <w:rsid w:val="004170FB"/>
    <w:rsid w:val="004249F8"/>
    <w:rsid w:val="00426ACC"/>
    <w:rsid w:val="00427655"/>
    <w:rsid w:val="004432AE"/>
    <w:rsid w:val="004456D7"/>
    <w:rsid w:val="00455F0C"/>
    <w:rsid w:val="00456DB0"/>
    <w:rsid w:val="00465842"/>
    <w:rsid w:val="004711ED"/>
    <w:rsid w:val="00473D49"/>
    <w:rsid w:val="00473D71"/>
    <w:rsid w:val="00474B90"/>
    <w:rsid w:val="0047711A"/>
    <w:rsid w:val="0048074E"/>
    <w:rsid w:val="004914D6"/>
    <w:rsid w:val="004915FB"/>
    <w:rsid w:val="0049292B"/>
    <w:rsid w:val="00494F76"/>
    <w:rsid w:val="00495273"/>
    <w:rsid w:val="00495D7C"/>
    <w:rsid w:val="004975B3"/>
    <w:rsid w:val="004978D9"/>
    <w:rsid w:val="004A0B09"/>
    <w:rsid w:val="004A4294"/>
    <w:rsid w:val="004A4A02"/>
    <w:rsid w:val="004A5A40"/>
    <w:rsid w:val="004B1134"/>
    <w:rsid w:val="004C05D6"/>
    <w:rsid w:val="004C0D98"/>
    <w:rsid w:val="004C546C"/>
    <w:rsid w:val="004C773A"/>
    <w:rsid w:val="004E2FD4"/>
    <w:rsid w:val="004F4E6D"/>
    <w:rsid w:val="004F5982"/>
    <w:rsid w:val="005043D3"/>
    <w:rsid w:val="005124B0"/>
    <w:rsid w:val="00514F30"/>
    <w:rsid w:val="00520FE9"/>
    <w:rsid w:val="0052154A"/>
    <w:rsid w:val="00521FAF"/>
    <w:rsid w:val="005262AE"/>
    <w:rsid w:val="00526464"/>
    <w:rsid w:val="00535BCB"/>
    <w:rsid w:val="0054002F"/>
    <w:rsid w:val="00550BF9"/>
    <w:rsid w:val="005545EC"/>
    <w:rsid w:val="00562008"/>
    <w:rsid w:val="00565223"/>
    <w:rsid w:val="0057115A"/>
    <w:rsid w:val="005776F0"/>
    <w:rsid w:val="0058027F"/>
    <w:rsid w:val="005803BE"/>
    <w:rsid w:val="00585607"/>
    <w:rsid w:val="0059123F"/>
    <w:rsid w:val="005918F3"/>
    <w:rsid w:val="005A1EA5"/>
    <w:rsid w:val="005B65A7"/>
    <w:rsid w:val="005B73C5"/>
    <w:rsid w:val="005C282A"/>
    <w:rsid w:val="005C70A8"/>
    <w:rsid w:val="005D18AE"/>
    <w:rsid w:val="005D7509"/>
    <w:rsid w:val="005E09C9"/>
    <w:rsid w:val="005E2ABB"/>
    <w:rsid w:val="005E3C9E"/>
    <w:rsid w:val="005E599E"/>
    <w:rsid w:val="005E5D0F"/>
    <w:rsid w:val="005F4C08"/>
    <w:rsid w:val="005F643D"/>
    <w:rsid w:val="005F7E69"/>
    <w:rsid w:val="006001F1"/>
    <w:rsid w:val="00605BBC"/>
    <w:rsid w:val="00614430"/>
    <w:rsid w:val="00624567"/>
    <w:rsid w:val="0062564F"/>
    <w:rsid w:val="00625EAD"/>
    <w:rsid w:val="00627D1C"/>
    <w:rsid w:val="00643C49"/>
    <w:rsid w:val="00644807"/>
    <w:rsid w:val="006478A9"/>
    <w:rsid w:val="00651737"/>
    <w:rsid w:val="0065579E"/>
    <w:rsid w:val="00657504"/>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B4E2B"/>
    <w:rsid w:val="006B500E"/>
    <w:rsid w:val="006C1D01"/>
    <w:rsid w:val="006C38DA"/>
    <w:rsid w:val="006C5FA7"/>
    <w:rsid w:val="006D36E3"/>
    <w:rsid w:val="006D4071"/>
    <w:rsid w:val="006D57E9"/>
    <w:rsid w:val="006D60A0"/>
    <w:rsid w:val="006D7B3C"/>
    <w:rsid w:val="006F7D78"/>
    <w:rsid w:val="007113FC"/>
    <w:rsid w:val="0071345E"/>
    <w:rsid w:val="00721D21"/>
    <w:rsid w:val="007337A7"/>
    <w:rsid w:val="00735A98"/>
    <w:rsid w:val="007401D4"/>
    <w:rsid w:val="0074034D"/>
    <w:rsid w:val="00744AC8"/>
    <w:rsid w:val="00746650"/>
    <w:rsid w:val="007503C5"/>
    <w:rsid w:val="00750520"/>
    <w:rsid w:val="0075294E"/>
    <w:rsid w:val="007529DA"/>
    <w:rsid w:val="00753938"/>
    <w:rsid w:val="00756E46"/>
    <w:rsid w:val="00757C42"/>
    <w:rsid w:val="00760767"/>
    <w:rsid w:val="00771B52"/>
    <w:rsid w:val="0078233B"/>
    <w:rsid w:val="0078662B"/>
    <w:rsid w:val="00793BE9"/>
    <w:rsid w:val="00794BCE"/>
    <w:rsid w:val="00795AFD"/>
    <w:rsid w:val="007961E6"/>
    <w:rsid w:val="007A2B52"/>
    <w:rsid w:val="007B0F46"/>
    <w:rsid w:val="007B1477"/>
    <w:rsid w:val="007B3575"/>
    <w:rsid w:val="007B39C8"/>
    <w:rsid w:val="007B533C"/>
    <w:rsid w:val="007C0731"/>
    <w:rsid w:val="007C2488"/>
    <w:rsid w:val="007C75D3"/>
    <w:rsid w:val="007D25FE"/>
    <w:rsid w:val="007D5492"/>
    <w:rsid w:val="007D6498"/>
    <w:rsid w:val="007E1DFC"/>
    <w:rsid w:val="007E7CC9"/>
    <w:rsid w:val="007F1C9E"/>
    <w:rsid w:val="007F4586"/>
    <w:rsid w:val="007F661A"/>
    <w:rsid w:val="007F7837"/>
    <w:rsid w:val="007F7AB4"/>
    <w:rsid w:val="00807C06"/>
    <w:rsid w:val="0081522B"/>
    <w:rsid w:val="00817545"/>
    <w:rsid w:val="00817F98"/>
    <w:rsid w:val="00822A4F"/>
    <w:rsid w:val="008235C9"/>
    <w:rsid w:val="00824A8C"/>
    <w:rsid w:val="00830771"/>
    <w:rsid w:val="00831606"/>
    <w:rsid w:val="00831CE5"/>
    <w:rsid w:val="00840DA0"/>
    <w:rsid w:val="00847AB8"/>
    <w:rsid w:val="00851FCD"/>
    <w:rsid w:val="00854D57"/>
    <w:rsid w:val="00855F64"/>
    <w:rsid w:val="00856E0F"/>
    <w:rsid w:val="0087141B"/>
    <w:rsid w:val="008748B4"/>
    <w:rsid w:val="00874FB5"/>
    <w:rsid w:val="00877910"/>
    <w:rsid w:val="00884CA7"/>
    <w:rsid w:val="00886693"/>
    <w:rsid w:val="00886D28"/>
    <w:rsid w:val="00887564"/>
    <w:rsid w:val="00895437"/>
    <w:rsid w:val="008A2A2C"/>
    <w:rsid w:val="008B381B"/>
    <w:rsid w:val="008C0A8A"/>
    <w:rsid w:val="008C4E2A"/>
    <w:rsid w:val="008C7434"/>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23D7"/>
    <w:rsid w:val="009357E9"/>
    <w:rsid w:val="00946D85"/>
    <w:rsid w:val="009505B5"/>
    <w:rsid w:val="009525AB"/>
    <w:rsid w:val="0096109C"/>
    <w:rsid w:val="00962AE2"/>
    <w:rsid w:val="00964008"/>
    <w:rsid w:val="009713EF"/>
    <w:rsid w:val="00971F73"/>
    <w:rsid w:val="00972381"/>
    <w:rsid w:val="00985F61"/>
    <w:rsid w:val="0099691A"/>
    <w:rsid w:val="009A19B9"/>
    <w:rsid w:val="009A24C5"/>
    <w:rsid w:val="009A2AAB"/>
    <w:rsid w:val="009A6167"/>
    <w:rsid w:val="009B2D05"/>
    <w:rsid w:val="009C17D1"/>
    <w:rsid w:val="009C2EC2"/>
    <w:rsid w:val="009C3D63"/>
    <w:rsid w:val="009D7497"/>
    <w:rsid w:val="00A03C7A"/>
    <w:rsid w:val="00A06FAA"/>
    <w:rsid w:val="00A115E4"/>
    <w:rsid w:val="00A11B09"/>
    <w:rsid w:val="00A14CC6"/>
    <w:rsid w:val="00A2376F"/>
    <w:rsid w:val="00A24050"/>
    <w:rsid w:val="00A2770F"/>
    <w:rsid w:val="00A27B0F"/>
    <w:rsid w:val="00A27FB1"/>
    <w:rsid w:val="00A30CD1"/>
    <w:rsid w:val="00A36487"/>
    <w:rsid w:val="00A379B9"/>
    <w:rsid w:val="00A43842"/>
    <w:rsid w:val="00A45761"/>
    <w:rsid w:val="00A4745F"/>
    <w:rsid w:val="00A50A70"/>
    <w:rsid w:val="00A51E14"/>
    <w:rsid w:val="00A526E4"/>
    <w:rsid w:val="00A53C6E"/>
    <w:rsid w:val="00A54A69"/>
    <w:rsid w:val="00A643DA"/>
    <w:rsid w:val="00A678FF"/>
    <w:rsid w:val="00A67FC9"/>
    <w:rsid w:val="00A71B87"/>
    <w:rsid w:val="00A743EE"/>
    <w:rsid w:val="00A75083"/>
    <w:rsid w:val="00A80DC3"/>
    <w:rsid w:val="00A86344"/>
    <w:rsid w:val="00AA35A1"/>
    <w:rsid w:val="00AA678D"/>
    <w:rsid w:val="00AB0B77"/>
    <w:rsid w:val="00AB7C2D"/>
    <w:rsid w:val="00AC171B"/>
    <w:rsid w:val="00AC1E14"/>
    <w:rsid w:val="00AC24DA"/>
    <w:rsid w:val="00AC3C31"/>
    <w:rsid w:val="00AD77AF"/>
    <w:rsid w:val="00AE423D"/>
    <w:rsid w:val="00AF1335"/>
    <w:rsid w:val="00AF1A59"/>
    <w:rsid w:val="00AF2C3B"/>
    <w:rsid w:val="00AF609F"/>
    <w:rsid w:val="00B02CAA"/>
    <w:rsid w:val="00B06338"/>
    <w:rsid w:val="00B12A7A"/>
    <w:rsid w:val="00B13E31"/>
    <w:rsid w:val="00B27850"/>
    <w:rsid w:val="00B35801"/>
    <w:rsid w:val="00B41A5B"/>
    <w:rsid w:val="00B4456C"/>
    <w:rsid w:val="00B45752"/>
    <w:rsid w:val="00B46300"/>
    <w:rsid w:val="00B5100B"/>
    <w:rsid w:val="00B65D39"/>
    <w:rsid w:val="00B662FD"/>
    <w:rsid w:val="00B662FF"/>
    <w:rsid w:val="00B6698F"/>
    <w:rsid w:val="00B70C88"/>
    <w:rsid w:val="00B76DF0"/>
    <w:rsid w:val="00B83074"/>
    <w:rsid w:val="00B86614"/>
    <w:rsid w:val="00B90DAF"/>
    <w:rsid w:val="00B91A59"/>
    <w:rsid w:val="00BA15F7"/>
    <w:rsid w:val="00BA47FE"/>
    <w:rsid w:val="00BB160A"/>
    <w:rsid w:val="00BB17C9"/>
    <w:rsid w:val="00BB1ECD"/>
    <w:rsid w:val="00BB243B"/>
    <w:rsid w:val="00BB507E"/>
    <w:rsid w:val="00BC29A0"/>
    <w:rsid w:val="00BC39C1"/>
    <w:rsid w:val="00BC3E9A"/>
    <w:rsid w:val="00BD4DEC"/>
    <w:rsid w:val="00BD678C"/>
    <w:rsid w:val="00BD7E7E"/>
    <w:rsid w:val="00BE0CB6"/>
    <w:rsid w:val="00BF4008"/>
    <w:rsid w:val="00BF5AF3"/>
    <w:rsid w:val="00C06EC5"/>
    <w:rsid w:val="00C07CD8"/>
    <w:rsid w:val="00C13083"/>
    <w:rsid w:val="00C1562D"/>
    <w:rsid w:val="00C20128"/>
    <w:rsid w:val="00C24520"/>
    <w:rsid w:val="00C25701"/>
    <w:rsid w:val="00C275A3"/>
    <w:rsid w:val="00C30106"/>
    <w:rsid w:val="00C35548"/>
    <w:rsid w:val="00C35C5E"/>
    <w:rsid w:val="00C35E63"/>
    <w:rsid w:val="00C412C3"/>
    <w:rsid w:val="00C43329"/>
    <w:rsid w:val="00C47BFF"/>
    <w:rsid w:val="00C53620"/>
    <w:rsid w:val="00C54292"/>
    <w:rsid w:val="00C543C5"/>
    <w:rsid w:val="00C56316"/>
    <w:rsid w:val="00C603A2"/>
    <w:rsid w:val="00C625BE"/>
    <w:rsid w:val="00C6649A"/>
    <w:rsid w:val="00C6742C"/>
    <w:rsid w:val="00C711A6"/>
    <w:rsid w:val="00C717B8"/>
    <w:rsid w:val="00C732FD"/>
    <w:rsid w:val="00C81257"/>
    <w:rsid w:val="00C823CA"/>
    <w:rsid w:val="00C84520"/>
    <w:rsid w:val="00C84F95"/>
    <w:rsid w:val="00C85644"/>
    <w:rsid w:val="00C90562"/>
    <w:rsid w:val="00C93147"/>
    <w:rsid w:val="00CA1268"/>
    <w:rsid w:val="00CA4E0E"/>
    <w:rsid w:val="00CC0C3D"/>
    <w:rsid w:val="00CC2435"/>
    <w:rsid w:val="00CC2668"/>
    <w:rsid w:val="00CC5AAE"/>
    <w:rsid w:val="00CC6457"/>
    <w:rsid w:val="00CC6F5C"/>
    <w:rsid w:val="00CD12C4"/>
    <w:rsid w:val="00CD4FAA"/>
    <w:rsid w:val="00CD5814"/>
    <w:rsid w:val="00CD7F7E"/>
    <w:rsid w:val="00CE1B12"/>
    <w:rsid w:val="00CE267C"/>
    <w:rsid w:val="00CE276C"/>
    <w:rsid w:val="00CE342E"/>
    <w:rsid w:val="00CE37C9"/>
    <w:rsid w:val="00CE4605"/>
    <w:rsid w:val="00CE4CDF"/>
    <w:rsid w:val="00CF21A6"/>
    <w:rsid w:val="00CF475F"/>
    <w:rsid w:val="00CF4EC9"/>
    <w:rsid w:val="00D03913"/>
    <w:rsid w:val="00D05E54"/>
    <w:rsid w:val="00D077E3"/>
    <w:rsid w:val="00D1065E"/>
    <w:rsid w:val="00D13D4F"/>
    <w:rsid w:val="00D1430C"/>
    <w:rsid w:val="00D14CAD"/>
    <w:rsid w:val="00D15D2D"/>
    <w:rsid w:val="00D20D7A"/>
    <w:rsid w:val="00D22F04"/>
    <w:rsid w:val="00D33C04"/>
    <w:rsid w:val="00D33EF1"/>
    <w:rsid w:val="00D357A0"/>
    <w:rsid w:val="00D37138"/>
    <w:rsid w:val="00D50FAD"/>
    <w:rsid w:val="00D5328C"/>
    <w:rsid w:val="00D55057"/>
    <w:rsid w:val="00D60058"/>
    <w:rsid w:val="00D64656"/>
    <w:rsid w:val="00D701E1"/>
    <w:rsid w:val="00D71BBB"/>
    <w:rsid w:val="00D72C6A"/>
    <w:rsid w:val="00D742A1"/>
    <w:rsid w:val="00D8585B"/>
    <w:rsid w:val="00D9341D"/>
    <w:rsid w:val="00D9671D"/>
    <w:rsid w:val="00D97966"/>
    <w:rsid w:val="00DA05AE"/>
    <w:rsid w:val="00DA1D1D"/>
    <w:rsid w:val="00DA37CE"/>
    <w:rsid w:val="00DA3F12"/>
    <w:rsid w:val="00DA4E4A"/>
    <w:rsid w:val="00DA54F6"/>
    <w:rsid w:val="00DA7AC6"/>
    <w:rsid w:val="00DB19C9"/>
    <w:rsid w:val="00DB2155"/>
    <w:rsid w:val="00DB6E9E"/>
    <w:rsid w:val="00DC00CA"/>
    <w:rsid w:val="00DC06CB"/>
    <w:rsid w:val="00DC5CDC"/>
    <w:rsid w:val="00DD00E0"/>
    <w:rsid w:val="00DD08FE"/>
    <w:rsid w:val="00DD0968"/>
    <w:rsid w:val="00DD14CD"/>
    <w:rsid w:val="00DD722B"/>
    <w:rsid w:val="00DE13F8"/>
    <w:rsid w:val="00DE4642"/>
    <w:rsid w:val="00DE5A41"/>
    <w:rsid w:val="00DE75B9"/>
    <w:rsid w:val="00DF07FE"/>
    <w:rsid w:val="00DF2533"/>
    <w:rsid w:val="00E0298F"/>
    <w:rsid w:val="00E04283"/>
    <w:rsid w:val="00E05A22"/>
    <w:rsid w:val="00E14227"/>
    <w:rsid w:val="00E24607"/>
    <w:rsid w:val="00E257C8"/>
    <w:rsid w:val="00E2588B"/>
    <w:rsid w:val="00E33B13"/>
    <w:rsid w:val="00E34D31"/>
    <w:rsid w:val="00E374D8"/>
    <w:rsid w:val="00E463BC"/>
    <w:rsid w:val="00E547C9"/>
    <w:rsid w:val="00E57FF5"/>
    <w:rsid w:val="00E70BCB"/>
    <w:rsid w:val="00E723D3"/>
    <w:rsid w:val="00E75154"/>
    <w:rsid w:val="00E84651"/>
    <w:rsid w:val="00E87300"/>
    <w:rsid w:val="00E94EAA"/>
    <w:rsid w:val="00EA15FB"/>
    <w:rsid w:val="00EA3941"/>
    <w:rsid w:val="00EA5744"/>
    <w:rsid w:val="00EB0088"/>
    <w:rsid w:val="00EB2B03"/>
    <w:rsid w:val="00EB2F97"/>
    <w:rsid w:val="00EC07CB"/>
    <w:rsid w:val="00EC2C51"/>
    <w:rsid w:val="00EC4E8D"/>
    <w:rsid w:val="00EC5A1C"/>
    <w:rsid w:val="00ED0CE1"/>
    <w:rsid w:val="00ED34F7"/>
    <w:rsid w:val="00ED5DA0"/>
    <w:rsid w:val="00EE064C"/>
    <w:rsid w:val="00EE10A1"/>
    <w:rsid w:val="00EF1515"/>
    <w:rsid w:val="00EF60FC"/>
    <w:rsid w:val="00F021EC"/>
    <w:rsid w:val="00F23EDA"/>
    <w:rsid w:val="00F249A1"/>
    <w:rsid w:val="00F30FA6"/>
    <w:rsid w:val="00F34256"/>
    <w:rsid w:val="00F34611"/>
    <w:rsid w:val="00F37409"/>
    <w:rsid w:val="00F42A44"/>
    <w:rsid w:val="00F43B9D"/>
    <w:rsid w:val="00F46517"/>
    <w:rsid w:val="00F514C3"/>
    <w:rsid w:val="00F523C4"/>
    <w:rsid w:val="00F666D9"/>
    <w:rsid w:val="00F73F75"/>
    <w:rsid w:val="00F75970"/>
    <w:rsid w:val="00F76289"/>
    <w:rsid w:val="00F87097"/>
    <w:rsid w:val="00F93420"/>
    <w:rsid w:val="00F9404C"/>
    <w:rsid w:val="00F94148"/>
    <w:rsid w:val="00F944B7"/>
    <w:rsid w:val="00FA3325"/>
    <w:rsid w:val="00FA6340"/>
    <w:rsid w:val="00FB4BBD"/>
    <w:rsid w:val="00FD254D"/>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Sąrašo pastraipa.Bullet,Sąrašo pastraipa;Bullet,Table of contents numbered,List Paragraph22,Paragraph"/>
    <w:basedOn w:val="Normal"/>
    <w:link w:val="ListParagraphChar"/>
    <w:uiPriority w:val="34"/>
    <w:qFormat/>
    <w:rsid w:val="00EC5A1C"/>
    <w:pPr>
      <w:ind w:left="720"/>
      <w:contextualSpacing/>
    </w:pPr>
  </w:style>
  <w:style w:type="paragraph" w:styleId="FootnoteText">
    <w:name w:val="footnote text"/>
    <w:basedOn w:val="Normal"/>
    <w:link w:val="FootnoteTextChar"/>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Sąrašo pastraipa.Bullet Char,List Paragraph22 Char"/>
    <w:link w:val="ListParagraph"/>
    <w:uiPriority w:val="99"/>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6F7D78"/>
    <w:rPr>
      <w:color w:val="0563C1" w:themeColor="hyperlink"/>
      <w:u w:val="single"/>
    </w:rPr>
  </w:style>
  <w:style w:type="character" w:styleId="UnresolvedMention">
    <w:name w:val="Unresolved Mention"/>
    <w:basedOn w:val="DefaultParagraphFont"/>
    <w:uiPriority w:val="99"/>
    <w:semiHidden/>
    <w:unhideWhenUsed/>
    <w:rsid w:val="006F7D78"/>
    <w:rPr>
      <w:color w:val="605E5C"/>
      <w:shd w:val="clear" w:color="auto" w:fill="E1DFDD"/>
    </w:rPr>
  </w:style>
  <w:style w:type="paragraph" w:customStyle="1" w:styleId="TableParagraph">
    <w:name w:val="Table Paragraph"/>
    <w:basedOn w:val="Normal"/>
    <w:uiPriority w:val="1"/>
    <w:qFormat/>
    <w:rsid w:val="00D71BBB"/>
    <w:pPr>
      <w:widowControl w:val="0"/>
      <w:autoSpaceDE w:val="0"/>
      <w:autoSpaceDN w:val="0"/>
      <w:ind w:left="110"/>
      <w:jc w:val="left"/>
    </w:pPr>
    <w:rPr>
      <w:sz w:val="22"/>
      <w:szCs w:val="22"/>
    </w:rPr>
  </w:style>
  <w:style w:type="character" w:styleId="CommentReference">
    <w:name w:val="annotation reference"/>
    <w:basedOn w:val="DefaultParagraphFont"/>
    <w:uiPriority w:val="99"/>
    <w:semiHidden/>
    <w:unhideWhenUsed/>
    <w:rsid w:val="00B662FD"/>
    <w:rPr>
      <w:sz w:val="16"/>
      <w:szCs w:val="16"/>
    </w:rPr>
  </w:style>
  <w:style w:type="paragraph" w:styleId="CommentText">
    <w:name w:val="annotation text"/>
    <w:basedOn w:val="Normal"/>
    <w:link w:val="CommentTextChar"/>
    <w:uiPriority w:val="99"/>
    <w:unhideWhenUsed/>
    <w:rsid w:val="00B662FD"/>
    <w:rPr>
      <w:sz w:val="20"/>
    </w:rPr>
  </w:style>
  <w:style w:type="character" w:customStyle="1" w:styleId="CommentTextChar">
    <w:name w:val="Comment Text Char"/>
    <w:basedOn w:val="DefaultParagraphFont"/>
    <w:link w:val="CommentText"/>
    <w:uiPriority w:val="99"/>
    <w:rsid w:val="00B66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2FD"/>
    <w:rPr>
      <w:b/>
      <w:bCs/>
    </w:rPr>
  </w:style>
  <w:style w:type="character" w:customStyle="1" w:styleId="CommentSubjectChar">
    <w:name w:val="Comment Subject Char"/>
    <w:basedOn w:val="CommentTextChar"/>
    <w:link w:val="CommentSubject"/>
    <w:uiPriority w:val="99"/>
    <w:semiHidden/>
    <w:rsid w:val="00B662FD"/>
    <w:rPr>
      <w:rFonts w:ascii="Times New Roman" w:eastAsia="Times New Roman" w:hAnsi="Times New Roman" w:cs="Times New Roman"/>
      <w:b/>
      <w:bCs/>
      <w:sz w:val="20"/>
      <w:szCs w:val="20"/>
    </w:rPr>
  </w:style>
  <w:style w:type="paragraph" w:styleId="Revision">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208">
      <w:bodyDiv w:val="1"/>
      <w:marLeft w:val="0"/>
      <w:marRight w:val="0"/>
      <w:marTop w:val="0"/>
      <w:marBottom w:val="0"/>
      <w:divBdr>
        <w:top w:val="none" w:sz="0" w:space="0" w:color="auto"/>
        <w:left w:val="none" w:sz="0" w:space="0" w:color="auto"/>
        <w:bottom w:val="none" w:sz="0" w:space="0" w:color="auto"/>
        <w:right w:val="none" w:sz="0" w:space="0" w:color="auto"/>
      </w:divBdr>
    </w:div>
    <w:div w:id="373162087">
      <w:bodyDiv w:val="1"/>
      <w:marLeft w:val="0"/>
      <w:marRight w:val="0"/>
      <w:marTop w:val="0"/>
      <w:marBottom w:val="0"/>
      <w:divBdr>
        <w:top w:val="none" w:sz="0" w:space="0" w:color="auto"/>
        <w:left w:val="none" w:sz="0" w:space="0" w:color="auto"/>
        <w:bottom w:val="none" w:sz="0" w:space="0" w:color="auto"/>
        <w:right w:val="none" w:sz="0" w:space="0" w:color="auto"/>
      </w:divBdr>
    </w:div>
    <w:div w:id="85500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2.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3.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4.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6873</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Vilmantė Nausėdaitė</cp:lastModifiedBy>
  <cp:revision>2</cp:revision>
  <dcterms:created xsi:type="dcterms:W3CDTF">2025-10-02T06:12:00Z</dcterms:created>
  <dcterms:modified xsi:type="dcterms:W3CDTF">2025-10-02T06:12:00Z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