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9055" w14:textId="77777777" w:rsidR="00E37451" w:rsidRPr="00F80368" w:rsidRDefault="00E37451" w:rsidP="00E37451">
      <w:pPr>
        <w:spacing w:after="144" w:line="360" w:lineRule="auto"/>
        <w:rPr>
          <w:rFonts w:ascii="Calibri" w:hAnsi="Calibri" w:cs="Calibri"/>
          <w:sz w:val="24"/>
          <w:szCs w:val="24"/>
        </w:rPr>
      </w:pPr>
      <w:r w:rsidRPr="00F80368">
        <w:rPr>
          <w:rFonts w:ascii="Calibri" w:eastAsia="Times New Roman" w:hAnsi="Calibri" w:cs="Calibri"/>
          <w:b/>
          <w:bCs/>
          <w:caps/>
          <w:kern w:val="32"/>
          <w:sz w:val="24"/>
          <w:szCs w:val="24"/>
        </w:rPr>
        <w:t>DĖL ATSAKYMO Į PATEIKTĄ PAKLAUSIMĄ</w:t>
      </w:r>
    </w:p>
    <w:p w14:paraId="1F81D629" w14:textId="77777777" w:rsidR="00E37451" w:rsidRPr="00F80368" w:rsidRDefault="00E37451" w:rsidP="00E37451">
      <w:pPr>
        <w:tabs>
          <w:tab w:val="left" w:pos="993"/>
        </w:tabs>
        <w:spacing w:after="0" w:line="240" w:lineRule="auto"/>
        <w:ind w:firstLine="567"/>
        <w:contextualSpacing/>
        <w:jc w:val="both"/>
        <w:rPr>
          <w:rFonts w:ascii="Calibri" w:eastAsia="Times New Roman" w:hAnsi="Calibri" w:cs="Calibri"/>
          <w:bCs/>
          <w:sz w:val="24"/>
          <w:szCs w:val="24"/>
        </w:rPr>
      </w:pPr>
      <w:r w:rsidRPr="00F80368">
        <w:rPr>
          <w:rFonts w:ascii="Calibri" w:eastAsia="Times New Roman" w:hAnsi="Calibri" w:cs="Calibri"/>
          <w:bCs/>
          <w:sz w:val="24"/>
          <w:szCs w:val="24"/>
        </w:rPr>
        <w:t>Informuojame, kad Pirkime gautas tiekėjo paklausimas:</w:t>
      </w:r>
    </w:p>
    <w:tbl>
      <w:tblPr>
        <w:tblStyle w:val="TableGrid"/>
        <w:tblW w:w="0" w:type="auto"/>
        <w:tblLook w:val="04A0" w:firstRow="1" w:lastRow="0" w:firstColumn="1" w:lastColumn="0" w:noHBand="0" w:noVBand="1"/>
      </w:tblPr>
      <w:tblGrid>
        <w:gridCol w:w="625"/>
        <w:gridCol w:w="4230"/>
        <w:gridCol w:w="4773"/>
      </w:tblGrid>
      <w:tr w:rsidR="00E37451" w:rsidRPr="00F80368" w14:paraId="76D60206" w14:textId="77777777" w:rsidTr="00FE68DA">
        <w:tc>
          <w:tcPr>
            <w:tcW w:w="625" w:type="dxa"/>
          </w:tcPr>
          <w:p w14:paraId="5301AF19" w14:textId="77777777" w:rsidR="00E37451" w:rsidRPr="00F80368" w:rsidRDefault="00E37451" w:rsidP="00FE68DA">
            <w:pPr>
              <w:tabs>
                <w:tab w:val="left" w:pos="993"/>
              </w:tabs>
              <w:contextualSpacing/>
              <w:jc w:val="both"/>
              <w:rPr>
                <w:rFonts w:ascii="Calibri" w:eastAsia="Times New Roman" w:hAnsi="Calibri" w:cs="Calibri"/>
                <w:b/>
                <w:bCs/>
                <w:i/>
                <w:iCs/>
                <w:sz w:val="24"/>
                <w:szCs w:val="24"/>
              </w:rPr>
            </w:pPr>
            <w:r w:rsidRPr="00F80368">
              <w:rPr>
                <w:rFonts w:ascii="Calibri" w:eastAsia="Times New Roman" w:hAnsi="Calibri" w:cs="Calibri"/>
                <w:b/>
                <w:bCs/>
                <w:i/>
                <w:iCs/>
                <w:sz w:val="24"/>
                <w:szCs w:val="24"/>
              </w:rPr>
              <w:t xml:space="preserve">Eil. Nr. </w:t>
            </w:r>
          </w:p>
        </w:tc>
        <w:tc>
          <w:tcPr>
            <w:tcW w:w="4230" w:type="dxa"/>
          </w:tcPr>
          <w:p w14:paraId="02A72183" w14:textId="77777777" w:rsidR="00E37451" w:rsidRPr="00F80368" w:rsidRDefault="00E37451" w:rsidP="00FE68DA">
            <w:pPr>
              <w:tabs>
                <w:tab w:val="left" w:pos="993"/>
              </w:tabs>
              <w:contextualSpacing/>
              <w:jc w:val="both"/>
              <w:rPr>
                <w:rFonts w:ascii="Calibri" w:eastAsia="Times New Roman" w:hAnsi="Calibri" w:cs="Calibri"/>
                <w:b/>
                <w:bCs/>
                <w:i/>
                <w:iCs/>
                <w:sz w:val="24"/>
                <w:szCs w:val="24"/>
              </w:rPr>
            </w:pPr>
            <w:r w:rsidRPr="00F80368">
              <w:rPr>
                <w:rFonts w:ascii="Calibri" w:eastAsia="Times New Roman" w:hAnsi="Calibri" w:cs="Calibri"/>
                <w:b/>
                <w:bCs/>
                <w:i/>
                <w:iCs/>
                <w:sz w:val="24"/>
                <w:szCs w:val="24"/>
              </w:rPr>
              <w:t>Tiekėjo paklausimas</w:t>
            </w:r>
          </w:p>
          <w:p w14:paraId="60BD4061" w14:textId="77777777" w:rsidR="00E37451" w:rsidRPr="00F80368" w:rsidRDefault="00E37451" w:rsidP="00FE68DA">
            <w:pPr>
              <w:tabs>
                <w:tab w:val="left" w:pos="993"/>
              </w:tabs>
              <w:contextualSpacing/>
              <w:jc w:val="both"/>
              <w:rPr>
                <w:rFonts w:ascii="Calibri" w:eastAsia="Times New Roman" w:hAnsi="Calibri" w:cs="Calibri"/>
                <w:b/>
                <w:bCs/>
                <w:i/>
                <w:iCs/>
                <w:sz w:val="24"/>
                <w:szCs w:val="24"/>
              </w:rPr>
            </w:pPr>
            <w:r w:rsidRPr="00F80368">
              <w:rPr>
                <w:rFonts w:ascii="Calibri" w:eastAsia="Times New Roman" w:hAnsi="Calibri" w:cs="Calibri"/>
                <w:b/>
                <w:bCs/>
                <w:i/>
                <w:iCs/>
                <w:sz w:val="24"/>
                <w:szCs w:val="24"/>
              </w:rPr>
              <w:t>(tekstas neredaguotas)</w:t>
            </w:r>
          </w:p>
        </w:tc>
        <w:tc>
          <w:tcPr>
            <w:tcW w:w="4773" w:type="dxa"/>
          </w:tcPr>
          <w:p w14:paraId="575BC65F" w14:textId="77777777" w:rsidR="00E37451" w:rsidRPr="00F80368" w:rsidRDefault="00E37451" w:rsidP="00FE68DA">
            <w:pPr>
              <w:tabs>
                <w:tab w:val="left" w:pos="993"/>
              </w:tabs>
              <w:contextualSpacing/>
              <w:jc w:val="both"/>
              <w:rPr>
                <w:rFonts w:ascii="Calibri" w:eastAsia="Times New Roman" w:hAnsi="Calibri" w:cs="Calibri"/>
                <w:b/>
                <w:bCs/>
                <w:i/>
                <w:iCs/>
                <w:sz w:val="24"/>
                <w:szCs w:val="24"/>
              </w:rPr>
            </w:pPr>
            <w:r w:rsidRPr="00F80368">
              <w:rPr>
                <w:rFonts w:ascii="Calibri" w:eastAsia="Times New Roman" w:hAnsi="Calibri" w:cs="Calibri"/>
                <w:b/>
                <w:bCs/>
                <w:i/>
                <w:iCs/>
                <w:sz w:val="24"/>
                <w:szCs w:val="24"/>
              </w:rPr>
              <w:t>Perkančiosios organizacijos pateikiamas atsakymas</w:t>
            </w:r>
          </w:p>
        </w:tc>
      </w:tr>
      <w:tr w:rsidR="00E37451" w:rsidRPr="00F80368" w14:paraId="1AC64A6E" w14:textId="77777777" w:rsidTr="00FE68DA">
        <w:tc>
          <w:tcPr>
            <w:tcW w:w="625" w:type="dxa"/>
          </w:tcPr>
          <w:p w14:paraId="0B18A661"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t>1.</w:t>
            </w:r>
          </w:p>
        </w:tc>
        <w:tc>
          <w:tcPr>
            <w:tcW w:w="4230" w:type="dxa"/>
          </w:tcPr>
          <w:p w14:paraId="4BB39700"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Techninės specifikacijos 1.1.6 punkte "Rankos ekvivalento jungtis" reikalaujama, kad prietaisas turėtų "4 mm jungtį priekiniame prietaiso skyde". Ar tinka, kad mūsų siūlomas prietaisas turėtų 4 mm „</w:t>
            </w:r>
            <w:proofErr w:type="spellStart"/>
            <w:r w:rsidRPr="00F80368">
              <w:rPr>
                <w:rFonts w:ascii="Calibri" w:hAnsi="Calibri" w:cs="Calibri"/>
                <w:color w:val="333333"/>
                <w:lang w:val="lt-LT"/>
              </w:rPr>
              <w:t>banana</w:t>
            </w:r>
            <w:proofErr w:type="spellEnd"/>
            <w:r w:rsidRPr="00F80368">
              <w:rPr>
                <w:rFonts w:ascii="Calibri" w:hAnsi="Calibri" w:cs="Calibri"/>
                <w:color w:val="333333"/>
                <w:lang w:val="lt-LT"/>
              </w:rPr>
              <w:t>“ tipo jungtį su 6 mm prisukamu lizdu priekiniame prietaiso skyde?</w:t>
            </w:r>
          </w:p>
        </w:tc>
        <w:tc>
          <w:tcPr>
            <w:tcW w:w="4773" w:type="dxa"/>
          </w:tcPr>
          <w:p w14:paraId="43B4CAF1" w14:textId="77777777" w:rsidR="00E37451" w:rsidRPr="00656EED" w:rsidRDefault="00E37451" w:rsidP="00FE68DA">
            <w:pPr>
              <w:tabs>
                <w:tab w:val="left" w:pos="345"/>
              </w:tabs>
              <w:spacing w:after="160" w:line="278" w:lineRule="auto"/>
              <w:jc w:val="both"/>
              <w:rPr>
                <w:rFonts w:ascii="Calibri" w:hAnsi="Calibri" w:cs="Calibri"/>
                <w:sz w:val="24"/>
                <w:szCs w:val="24"/>
              </w:rPr>
            </w:pPr>
            <w:r w:rsidRPr="00656EED">
              <w:rPr>
                <w:rFonts w:ascii="Calibri" w:hAnsi="Calibri" w:cs="Calibri"/>
                <w:sz w:val="24"/>
                <w:szCs w:val="24"/>
              </w:rPr>
              <w:t>Taip, tai nekeičia T</w:t>
            </w:r>
            <w:r w:rsidRPr="00F80368">
              <w:rPr>
                <w:rFonts w:ascii="Calibri" w:hAnsi="Calibri" w:cs="Calibri"/>
                <w:sz w:val="24"/>
                <w:szCs w:val="24"/>
              </w:rPr>
              <w:t>echninės specifikacijos</w:t>
            </w:r>
            <w:r w:rsidRPr="00656EED">
              <w:rPr>
                <w:rFonts w:ascii="Calibri" w:hAnsi="Calibri" w:cs="Calibri"/>
                <w:sz w:val="24"/>
                <w:szCs w:val="24"/>
              </w:rPr>
              <w:t xml:space="preserve"> reikalavimo</w:t>
            </w:r>
            <w:r w:rsidRPr="00F80368">
              <w:rPr>
                <w:rFonts w:ascii="Calibri" w:hAnsi="Calibri" w:cs="Calibri"/>
                <w:sz w:val="24"/>
                <w:szCs w:val="24"/>
              </w:rPr>
              <w:t>,</w:t>
            </w:r>
            <w:r w:rsidRPr="00656EED">
              <w:rPr>
                <w:rFonts w:ascii="Calibri" w:hAnsi="Calibri" w:cs="Calibri"/>
                <w:sz w:val="24"/>
                <w:szCs w:val="24"/>
              </w:rPr>
              <w:t xml:space="preserve"> o tik jį papildo.</w:t>
            </w:r>
          </w:p>
          <w:p w14:paraId="09DA67A1" w14:textId="77777777" w:rsidR="00E37451" w:rsidRPr="00F80368" w:rsidRDefault="00E37451" w:rsidP="00FE68DA">
            <w:pPr>
              <w:tabs>
                <w:tab w:val="left" w:pos="345"/>
              </w:tabs>
              <w:spacing w:after="160" w:line="278" w:lineRule="auto"/>
              <w:jc w:val="both"/>
              <w:rPr>
                <w:rFonts w:ascii="Calibri" w:hAnsi="Calibri" w:cs="Calibri"/>
                <w:sz w:val="24"/>
                <w:szCs w:val="24"/>
              </w:rPr>
            </w:pPr>
          </w:p>
        </w:tc>
      </w:tr>
      <w:tr w:rsidR="00E37451" w:rsidRPr="00F80368" w14:paraId="3803CEE2" w14:textId="77777777" w:rsidTr="00FE68DA">
        <w:tc>
          <w:tcPr>
            <w:tcW w:w="625" w:type="dxa"/>
          </w:tcPr>
          <w:p w14:paraId="4422279E"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t>2.</w:t>
            </w:r>
          </w:p>
        </w:tc>
        <w:tc>
          <w:tcPr>
            <w:tcW w:w="4230" w:type="dxa"/>
          </w:tcPr>
          <w:p w14:paraId="6D56A114"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Techninės specifikacijos 1.2.3 punkte "Kintamos srovės maitinimo įtampa" reikalaujama, kad prietaisas atlaikytų Nuo 0 V iki 260 V (240 V + 10 proc.) arba didesnę įtampą. Ar tinka, kad mūsų siūlomas prietaisas atlaikytų nuo 0 V iki 250V kintamą srovės maitinimo įtampą?</w:t>
            </w:r>
          </w:p>
        </w:tc>
        <w:tc>
          <w:tcPr>
            <w:tcW w:w="4773" w:type="dxa"/>
          </w:tcPr>
          <w:p w14:paraId="2F6E5D73" w14:textId="77777777" w:rsidR="00E37451" w:rsidRPr="00F80368" w:rsidRDefault="00E37451" w:rsidP="00FE68DA">
            <w:pPr>
              <w:tabs>
                <w:tab w:val="left" w:pos="345"/>
              </w:tabs>
              <w:spacing w:after="160" w:line="278" w:lineRule="auto"/>
              <w:jc w:val="both"/>
              <w:rPr>
                <w:rFonts w:ascii="Calibri" w:hAnsi="Calibri" w:cs="Calibri"/>
                <w:sz w:val="24"/>
                <w:szCs w:val="24"/>
              </w:rPr>
            </w:pPr>
            <w:r w:rsidRPr="00130D67">
              <w:rPr>
                <w:rFonts w:ascii="Calibri" w:hAnsi="Calibri" w:cs="Calibri"/>
                <w:sz w:val="24"/>
                <w:szCs w:val="24"/>
              </w:rPr>
              <w:t>Lietuvoje (kaip ir visoje Europos Sąjungoje) viešojo elektros tinklo įtampa</w:t>
            </w:r>
            <w:r w:rsidRPr="00130D67">
              <w:rPr>
                <w:rFonts w:ascii="Calibri" w:hAnsi="Calibri" w:cs="Calibri"/>
                <w:b/>
                <w:bCs/>
                <w:sz w:val="24"/>
                <w:szCs w:val="24"/>
              </w:rPr>
              <w:t xml:space="preserve"> </w:t>
            </w:r>
            <w:r w:rsidRPr="00130D67">
              <w:rPr>
                <w:rFonts w:ascii="Calibri" w:hAnsi="Calibri" w:cs="Calibri"/>
                <w:sz w:val="24"/>
                <w:szCs w:val="24"/>
              </w:rPr>
              <w:t>yra reglamentuota pagal standartą LST EN 50160:2011 „Viešosios elektros energijos tiekimo tinklų įtampos charakteristikos“</w:t>
            </w:r>
            <w:r w:rsidRPr="00130D67">
              <w:rPr>
                <w:rFonts w:ascii="Calibri" w:hAnsi="Calibri" w:cs="Calibri"/>
                <w:b/>
                <w:bCs/>
                <w:sz w:val="24"/>
                <w:szCs w:val="24"/>
              </w:rPr>
              <w:t>.</w:t>
            </w:r>
            <w:r w:rsidRPr="00130D67">
              <w:rPr>
                <w:rFonts w:ascii="Calibri" w:hAnsi="Calibri" w:cs="Calibri"/>
                <w:sz w:val="24"/>
                <w:szCs w:val="24"/>
              </w:rPr>
              <w:t xml:space="preserve"> Pagal šį standartą nominali įtampa yra 230 V AC (vienfazė), leidžiamas nuokrypis yra ±10 % nuo nominalios įtampos 230 V</w:t>
            </w:r>
            <w:r w:rsidRPr="00130D67">
              <w:rPr>
                <w:rFonts w:ascii="Calibri" w:hAnsi="Calibri" w:cs="Calibri"/>
                <w:b/>
                <w:bCs/>
                <w:sz w:val="24"/>
                <w:szCs w:val="24"/>
              </w:rPr>
              <w:t xml:space="preserve"> </w:t>
            </w:r>
            <w:r w:rsidRPr="00130D67">
              <w:rPr>
                <w:rFonts w:ascii="Calibri" w:hAnsi="Calibri" w:cs="Calibri"/>
                <w:sz w:val="24"/>
                <w:szCs w:val="24"/>
              </w:rPr>
              <w:t>per 95 % savaitės trukmės. Taigi, 230 V + 10 % yra 253 V. Pridėjus bent 3 % atsargą gauname 259,9 V. Taigi 250 V įtampa nėra pakankama net neįvertinus atsargos.</w:t>
            </w:r>
          </w:p>
        </w:tc>
      </w:tr>
      <w:tr w:rsidR="00E37451" w:rsidRPr="00F80368" w14:paraId="19EE32EE" w14:textId="77777777" w:rsidTr="00FE68DA">
        <w:tc>
          <w:tcPr>
            <w:tcW w:w="625" w:type="dxa"/>
          </w:tcPr>
          <w:p w14:paraId="0524803C"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t>3.</w:t>
            </w:r>
          </w:p>
        </w:tc>
        <w:tc>
          <w:tcPr>
            <w:tcW w:w="4230" w:type="dxa"/>
          </w:tcPr>
          <w:p w14:paraId="64581FE3"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Techninės specifikacijos 1.3.3 punkte "Maksimali trumpalaikė leistina srovė" reikalaujama, kad prietaisas gebėtų atlaikyti 50 A srovę ne mažiau kaip 100 s. Gamintojas teigia, kad mūsų siūlomas prietaisas neišpildytų tokios specifikacijos. Ar būtų įmanoma šią specifikaciją išmesti, kad būtų sudarytos geresnės konkurencinės sąlygos?</w:t>
            </w:r>
          </w:p>
        </w:tc>
        <w:tc>
          <w:tcPr>
            <w:tcW w:w="4773" w:type="dxa"/>
          </w:tcPr>
          <w:p w14:paraId="23CC3A1B" w14:textId="77777777" w:rsidR="00E37451" w:rsidRPr="00C441F6" w:rsidRDefault="00E37451" w:rsidP="00FE68DA">
            <w:pPr>
              <w:tabs>
                <w:tab w:val="left" w:pos="345"/>
              </w:tabs>
              <w:spacing w:after="160" w:line="278" w:lineRule="auto"/>
              <w:jc w:val="both"/>
              <w:rPr>
                <w:rFonts w:ascii="Calibri" w:hAnsi="Calibri" w:cs="Calibri"/>
                <w:sz w:val="24"/>
                <w:szCs w:val="24"/>
              </w:rPr>
            </w:pPr>
            <w:r w:rsidRPr="00F80368">
              <w:rPr>
                <w:rFonts w:ascii="Calibri" w:hAnsi="Calibri" w:cs="Calibri"/>
                <w:sz w:val="24"/>
                <w:szCs w:val="24"/>
              </w:rPr>
              <w:t>Š</w:t>
            </w:r>
            <w:r w:rsidRPr="00C441F6">
              <w:rPr>
                <w:rFonts w:ascii="Calibri" w:hAnsi="Calibri" w:cs="Calibri"/>
                <w:sz w:val="24"/>
                <w:szCs w:val="24"/>
              </w:rPr>
              <w:t xml:space="preserve">is prietaisas bus naudojamas ir nuolatinės srovės matavimams, todėl ši </w:t>
            </w:r>
            <w:r w:rsidRPr="00F80368">
              <w:rPr>
                <w:rFonts w:ascii="Calibri" w:hAnsi="Calibri" w:cs="Calibri"/>
                <w:color w:val="333333"/>
                <w:sz w:val="24"/>
                <w:szCs w:val="24"/>
              </w:rPr>
              <w:t xml:space="preserve">Techninės specifikacijos </w:t>
            </w:r>
            <w:r w:rsidRPr="00C441F6">
              <w:rPr>
                <w:rFonts w:ascii="Calibri" w:hAnsi="Calibri" w:cs="Calibri"/>
                <w:sz w:val="24"/>
                <w:szCs w:val="24"/>
              </w:rPr>
              <w:t>sąlyga negali būti keičiama.</w:t>
            </w:r>
          </w:p>
          <w:p w14:paraId="6CDDF433" w14:textId="77777777" w:rsidR="00E37451" w:rsidRPr="00F80368" w:rsidRDefault="00E37451" w:rsidP="00FE68DA">
            <w:pPr>
              <w:tabs>
                <w:tab w:val="left" w:pos="345"/>
              </w:tabs>
              <w:spacing w:after="160" w:line="278" w:lineRule="auto"/>
              <w:jc w:val="both"/>
              <w:rPr>
                <w:rFonts w:ascii="Calibri" w:hAnsi="Calibri" w:cs="Calibri"/>
                <w:sz w:val="24"/>
                <w:szCs w:val="24"/>
              </w:rPr>
            </w:pPr>
          </w:p>
        </w:tc>
      </w:tr>
      <w:tr w:rsidR="00E37451" w:rsidRPr="00F80368" w14:paraId="7A3A9059" w14:textId="77777777" w:rsidTr="00FE68DA">
        <w:tc>
          <w:tcPr>
            <w:tcW w:w="625" w:type="dxa"/>
          </w:tcPr>
          <w:p w14:paraId="6224853D"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t>4.</w:t>
            </w:r>
          </w:p>
        </w:tc>
        <w:tc>
          <w:tcPr>
            <w:tcW w:w="4230" w:type="dxa"/>
          </w:tcPr>
          <w:p w14:paraId="2E185884"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Pagal techninės specifikacijos 1.4.3 punktą "Maitinimo tinklo įtampa (valdymui ir ventiliatoriams)" mūsų siūlomas prietaisas neturi ventiliatorių, jis yra aušinamas korpusu. Ar tokia prietaiso ypatybė priimtina perkančiajai organizacijai?</w:t>
            </w:r>
          </w:p>
        </w:tc>
        <w:tc>
          <w:tcPr>
            <w:tcW w:w="4773" w:type="dxa"/>
          </w:tcPr>
          <w:p w14:paraId="7708943F" w14:textId="77777777" w:rsidR="00E37451" w:rsidRPr="00D82B43" w:rsidRDefault="00E37451" w:rsidP="00FE68DA">
            <w:pPr>
              <w:tabs>
                <w:tab w:val="left" w:pos="345"/>
              </w:tabs>
              <w:spacing w:after="160" w:line="278" w:lineRule="auto"/>
              <w:jc w:val="both"/>
              <w:rPr>
                <w:rFonts w:ascii="Calibri" w:hAnsi="Calibri" w:cs="Calibri"/>
                <w:sz w:val="24"/>
                <w:szCs w:val="24"/>
                <w:lang w:val="pt-PT"/>
              </w:rPr>
            </w:pPr>
            <w:r w:rsidRPr="00D82B43">
              <w:rPr>
                <w:rFonts w:ascii="Calibri" w:hAnsi="Calibri" w:cs="Calibri"/>
                <w:sz w:val="24"/>
                <w:szCs w:val="24"/>
                <w:lang w:val="pt-PT"/>
              </w:rPr>
              <w:t>Reikalavimas yra tik toks, kad prietaisas turi būti maitinamas iš 230 V AC. Skliaustuose pateikta informacija yra tik galimi pavyzdžiai, taip pat nurodanti, kad tai nėra įtampa bandomojo įrenginio maitinimui o tik paties tinklo ekvivalento maitinimui.</w:t>
            </w:r>
          </w:p>
          <w:p w14:paraId="1F2C1BFE" w14:textId="77777777" w:rsidR="00E37451" w:rsidRPr="00F80368" w:rsidRDefault="00E37451" w:rsidP="00FE68DA">
            <w:pPr>
              <w:tabs>
                <w:tab w:val="left" w:pos="345"/>
              </w:tabs>
              <w:spacing w:after="160" w:line="278" w:lineRule="auto"/>
              <w:jc w:val="both"/>
              <w:rPr>
                <w:rFonts w:ascii="Calibri" w:hAnsi="Calibri" w:cs="Calibri"/>
                <w:sz w:val="24"/>
                <w:szCs w:val="24"/>
                <w:lang w:val="pt-PT"/>
              </w:rPr>
            </w:pPr>
          </w:p>
        </w:tc>
      </w:tr>
      <w:tr w:rsidR="00E37451" w:rsidRPr="00F80368" w14:paraId="01AB1FA9" w14:textId="77777777" w:rsidTr="00FE68DA">
        <w:tc>
          <w:tcPr>
            <w:tcW w:w="625" w:type="dxa"/>
          </w:tcPr>
          <w:p w14:paraId="33C0A590"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lastRenderedPageBreak/>
              <w:t>5.</w:t>
            </w:r>
          </w:p>
        </w:tc>
        <w:tc>
          <w:tcPr>
            <w:tcW w:w="4230" w:type="dxa"/>
          </w:tcPr>
          <w:p w14:paraId="009C4947"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Techninės specifikacijos 1.6.1 punkte "Apsauginis įžeminimo gnybtas" reikalaujama, kad prietaisas turėtų M8 arba M10 varžtą tiek priekiniame, tiek galiniame skyde. Ar tinka, kad mūsų siūlomas prietaisas apsauginį įžeminimo gnybtą turi tik priekiniame skyde ir jo skersmuo yra M6 x 0.75?</w:t>
            </w:r>
          </w:p>
        </w:tc>
        <w:tc>
          <w:tcPr>
            <w:tcW w:w="4773" w:type="dxa"/>
          </w:tcPr>
          <w:p w14:paraId="06B3D29B" w14:textId="77777777" w:rsidR="00E37451" w:rsidRPr="00D82B43" w:rsidRDefault="00E37451" w:rsidP="00FE68DA">
            <w:pPr>
              <w:tabs>
                <w:tab w:val="left" w:pos="345"/>
              </w:tabs>
              <w:spacing w:after="160" w:line="278" w:lineRule="auto"/>
              <w:jc w:val="both"/>
              <w:rPr>
                <w:rFonts w:ascii="Calibri" w:hAnsi="Calibri" w:cs="Calibri"/>
                <w:sz w:val="24"/>
                <w:szCs w:val="24"/>
              </w:rPr>
            </w:pPr>
            <w:r w:rsidRPr="00F80368">
              <w:rPr>
                <w:rFonts w:ascii="Calibri" w:hAnsi="Calibri" w:cs="Calibri"/>
                <w:sz w:val="24"/>
                <w:szCs w:val="24"/>
              </w:rPr>
              <w:t>G</w:t>
            </w:r>
            <w:r w:rsidRPr="00D82B43">
              <w:rPr>
                <w:rFonts w:ascii="Calibri" w:hAnsi="Calibri" w:cs="Calibri"/>
                <w:sz w:val="24"/>
                <w:szCs w:val="24"/>
              </w:rPr>
              <w:t>alinė jungtis yra skirta pačiam prietaisui įžeminti, priekinė – bandomojo įrenginio prijungimui ar kt. nespecifinėms reikmėms.  </w:t>
            </w:r>
          </w:p>
          <w:p w14:paraId="3BA3456C" w14:textId="77777777" w:rsidR="00E37451" w:rsidRPr="00F80368" w:rsidRDefault="00E37451" w:rsidP="00FE68DA">
            <w:pPr>
              <w:tabs>
                <w:tab w:val="left" w:pos="345"/>
              </w:tabs>
              <w:spacing w:after="160" w:line="278" w:lineRule="auto"/>
              <w:jc w:val="both"/>
              <w:rPr>
                <w:rFonts w:ascii="Calibri" w:hAnsi="Calibri" w:cs="Calibri"/>
                <w:sz w:val="24"/>
                <w:szCs w:val="24"/>
              </w:rPr>
            </w:pPr>
          </w:p>
        </w:tc>
      </w:tr>
      <w:tr w:rsidR="00E37451" w:rsidRPr="00F80368" w14:paraId="17FD3A66" w14:textId="77777777" w:rsidTr="00FE68DA">
        <w:tc>
          <w:tcPr>
            <w:tcW w:w="625" w:type="dxa"/>
          </w:tcPr>
          <w:p w14:paraId="1CEA42E8" w14:textId="77777777" w:rsidR="00E37451" w:rsidRPr="00F80368" w:rsidRDefault="00E37451" w:rsidP="00FE68DA">
            <w:pPr>
              <w:tabs>
                <w:tab w:val="left" w:pos="993"/>
              </w:tabs>
              <w:contextualSpacing/>
              <w:jc w:val="both"/>
              <w:rPr>
                <w:rFonts w:ascii="Calibri" w:eastAsia="Times New Roman" w:hAnsi="Calibri" w:cs="Calibri"/>
                <w:sz w:val="24"/>
                <w:szCs w:val="24"/>
              </w:rPr>
            </w:pPr>
            <w:r w:rsidRPr="00F80368">
              <w:rPr>
                <w:rFonts w:ascii="Calibri" w:eastAsia="Times New Roman" w:hAnsi="Calibri" w:cs="Calibri"/>
                <w:sz w:val="24"/>
                <w:szCs w:val="24"/>
              </w:rPr>
              <w:t>6.</w:t>
            </w:r>
          </w:p>
        </w:tc>
        <w:tc>
          <w:tcPr>
            <w:tcW w:w="4230" w:type="dxa"/>
          </w:tcPr>
          <w:p w14:paraId="62156DB6" w14:textId="77777777" w:rsidR="00E37451" w:rsidRPr="00F80368" w:rsidRDefault="00E37451" w:rsidP="00FE68DA">
            <w:pPr>
              <w:pStyle w:val="NormalWeb"/>
              <w:shd w:val="clear" w:color="auto" w:fill="FFFFFF"/>
              <w:spacing w:before="0" w:beforeAutospacing="0" w:after="150" w:afterAutospacing="0"/>
              <w:jc w:val="both"/>
              <w:rPr>
                <w:rFonts w:ascii="Calibri" w:hAnsi="Calibri" w:cs="Calibri"/>
                <w:color w:val="333333"/>
                <w:lang w:val="lt-LT"/>
              </w:rPr>
            </w:pPr>
            <w:r w:rsidRPr="00F80368">
              <w:rPr>
                <w:rFonts w:ascii="Calibri" w:hAnsi="Calibri" w:cs="Calibri"/>
                <w:color w:val="333333"/>
                <w:lang w:val="lt-LT"/>
              </w:rPr>
              <w:t>Techninės specifikacijos 1.6.2 punkte "RD įžeminimo gnybtas (</w:t>
            </w:r>
            <w:proofErr w:type="spellStart"/>
            <w:r w:rsidRPr="00F80368">
              <w:rPr>
                <w:rFonts w:ascii="Calibri" w:hAnsi="Calibri" w:cs="Calibri"/>
                <w:color w:val="333333"/>
                <w:lang w:val="lt-LT"/>
              </w:rPr>
              <w:t>reference</w:t>
            </w:r>
            <w:proofErr w:type="spellEnd"/>
            <w:r w:rsidRPr="00F80368">
              <w:rPr>
                <w:rFonts w:ascii="Calibri" w:hAnsi="Calibri" w:cs="Calibri"/>
                <w:color w:val="333333"/>
                <w:lang w:val="lt-LT"/>
              </w:rPr>
              <w:t xml:space="preserve"> </w:t>
            </w:r>
            <w:proofErr w:type="spellStart"/>
            <w:r w:rsidRPr="00F80368">
              <w:rPr>
                <w:rFonts w:ascii="Calibri" w:hAnsi="Calibri" w:cs="Calibri"/>
                <w:color w:val="333333"/>
                <w:lang w:val="lt-LT"/>
              </w:rPr>
              <w:t>ground</w:t>
            </w:r>
            <w:proofErr w:type="spellEnd"/>
            <w:r w:rsidRPr="00F80368">
              <w:rPr>
                <w:rFonts w:ascii="Calibri" w:hAnsi="Calibri" w:cs="Calibri"/>
                <w:color w:val="333333"/>
                <w:lang w:val="lt-LT"/>
              </w:rPr>
              <w:t>)" reikalaujama, kad prietaisas juos turėtų abiejuose tinklo ekvivalento šonuose. Ar tinka, kad mūsų siūlomas prietaisas šonuose neturėtų RD įžeminimo gnybtų?</w:t>
            </w:r>
          </w:p>
        </w:tc>
        <w:tc>
          <w:tcPr>
            <w:tcW w:w="4773" w:type="dxa"/>
          </w:tcPr>
          <w:p w14:paraId="6B1ECF22" w14:textId="77777777" w:rsidR="00E37451" w:rsidRPr="00F80368" w:rsidRDefault="00E37451" w:rsidP="00FE68DA">
            <w:pPr>
              <w:tabs>
                <w:tab w:val="left" w:pos="345"/>
              </w:tabs>
              <w:spacing w:after="160" w:line="278" w:lineRule="auto"/>
              <w:jc w:val="both"/>
              <w:rPr>
                <w:rFonts w:ascii="Calibri" w:hAnsi="Calibri" w:cs="Calibri"/>
                <w:sz w:val="24"/>
                <w:szCs w:val="24"/>
              </w:rPr>
            </w:pPr>
            <w:r w:rsidRPr="00F80368">
              <w:rPr>
                <w:rFonts w:ascii="Calibri" w:hAnsi="Calibri" w:cs="Calibri"/>
                <w:sz w:val="24"/>
                <w:szCs w:val="24"/>
              </w:rPr>
              <w:t>T</w:t>
            </w:r>
            <w:r w:rsidRPr="003618CF">
              <w:rPr>
                <w:rFonts w:ascii="Calibri" w:hAnsi="Calibri" w:cs="Calibri"/>
                <w:sz w:val="24"/>
                <w:szCs w:val="24"/>
              </w:rPr>
              <w:t>ai vienas pagrindinių reikalavimų, kadangi pagal standarto EN 55016-2-1:2014 reikalavimus, tinklo ekvivalentas turi būti sujungtas su metaline atskaitos plokštuma labai mažo induktyvumo jungtimi. Tam naudojama metalinė plokštelė, kurios plotis yra artimas tinklo ekvivalento šoninės sienelės pločiui. Ši metalinė plokštelė sujungiama su metaline atskaitos plokšte palei visą plokštelės kraštinės ilgį.</w:t>
            </w:r>
          </w:p>
        </w:tc>
      </w:tr>
    </w:tbl>
    <w:p w14:paraId="68B61605" w14:textId="77777777" w:rsidR="00E37451" w:rsidRPr="00F80368" w:rsidRDefault="00E37451" w:rsidP="00E37451">
      <w:pPr>
        <w:rPr>
          <w:rFonts w:ascii="Calibri" w:eastAsia="Times New Roman" w:hAnsi="Calibri" w:cs="Calibri"/>
          <w:sz w:val="24"/>
          <w:szCs w:val="24"/>
          <w:lang w:eastAsia="lt-LT"/>
        </w:rPr>
      </w:pPr>
    </w:p>
    <w:p w14:paraId="3CAB697C" w14:textId="77777777" w:rsidR="002568CC" w:rsidRDefault="002568CC"/>
    <w:sectPr w:rsidR="002568CC" w:rsidSect="00E37451">
      <w:headerReference w:type="default" r:id="rId4"/>
      <w:pgSz w:w="11906" w:h="16838"/>
      <w:pgMar w:top="1701"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4236"/>
      <w:docPartObj>
        <w:docPartGallery w:val="Page Numbers (Top of Page)"/>
        <w:docPartUnique/>
      </w:docPartObj>
    </w:sdtPr>
    <w:sdtContent>
      <w:p w14:paraId="2C77BC26" w14:textId="77777777" w:rsidR="00E37451" w:rsidRDefault="00E37451">
        <w:pPr>
          <w:pStyle w:val="Header"/>
          <w:jc w:val="center"/>
        </w:pPr>
        <w:r>
          <w:fldChar w:fldCharType="begin"/>
        </w:r>
        <w:r>
          <w:instrText>PAGE   \* MERGEFORMAT</w:instrText>
        </w:r>
        <w:r>
          <w:fldChar w:fldCharType="separate"/>
        </w:r>
        <w:r w:rsidRPr="00C07788">
          <w:rPr>
            <w:noProof/>
            <w:lang w:val="lt-LT"/>
          </w:rPr>
          <w:t>2</w:t>
        </w:r>
        <w:r>
          <w:fldChar w:fldCharType="end"/>
        </w:r>
      </w:p>
    </w:sdtContent>
  </w:sdt>
  <w:p w14:paraId="0879BABA" w14:textId="77777777" w:rsidR="00E37451" w:rsidRDefault="00E37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51"/>
    <w:rsid w:val="002568CC"/>
    <w:rsid w:val="002A67D7"/>
    <w:rsid w:val="004C04AF"/>
    <w:rsid w:val="00526CBC"/>
    <w:rsid w:val="008529E5"/>
    <w:rsid w:val="00A27832"/>
    <w:rsid w:val="00A733FD"/>
    <w:rsid w:val="00B43FC6"/>
    <w:rsid w:val="00C17AA1"/>
    <w:rsid w:val="00CF1D4A"/>
    <w:rsid w:val="00DB5CD7"/>
    <w:rsid w:val="00E04498"/>
    <w:rsid w:val="00E3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A2CB"/>
  <w15:chartTrackingRefBased/>
  <w15:docId w15:val="{26DE12FA-7EE7-4A4B-9027-85C24CEB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51"/>
    <w:pPr>
      <w:spacing w:after="200" w:line="276" w:lineRule="auto"/>
    </w:pPr>
    <w:rPr>
      <w:kern w:val="0"/>
      <w:sz w:val="22"/>
      <w:szCs w:val="22"/>
      <w:lang w:val="lt-LT"/>
      <w14:ligatures w14:val="none"/>
    </w:rPr>
  </w:style>
  <w:style w:type="paragraph" w:styleId="Heading1">
    <w:name w:val="heading 1"/>
    <w:basedOn w:val="Normal"/>
    <w:next w:val="Normal"/>
    <w:link w:val="Heading1Char"/>
    <w:uiPriority w:val="9"/>
    <w:qFormat/>
    <w:rsid w:val="00E374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374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3745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37451"/>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37451"/>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37451"/>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37451"/>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37451"/>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37451"/>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51"/>
    <w:rPr>
      <w:rFonts w:eastAsiaTheme="majorEastAsia" w:cstheme="majorBidi"/>
      <w:color w:val="272727" w:themeColor="text1" w:themeTint="D8"/>
    </w:rPr>
  </w:style>
  <w:style w:type="paragraph" w:styleId="Title">
    <w:name w:val="Title"/>
    <w:basedOn w:val="Normal"/>
    <w:next w:val="Normal"/>
    <w:link w:val="TitleChar"/>
    <w:uiPriority w:val="10"/>
    <w:qFormat/>
    <w:rsid w:val="00E3745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37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51"/>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37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51"/>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37451"/>
    <w:rPr>
      <w:i/>
      <w:iCs/>
      <w:color w:val="404040" w:themeColor="text1" w:themeTint="BF"/>
    </w:rPr>
  </w:style>
  <w:style w:type="paragraph" w:styleId="ListParagraph">
    <w:name w:val="List Paragraph"/>
    <w:basedOn w:val="Normal"/>
    <w:uiPriority w:val="34"/>
    <w:qFormat/>
    <w:rsid w:val="00E37451"/>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E37451"/>
    <w:rPr>
      <w:i/>
      <w:iCs/>
      <w:color w:val="0F4761" w:themeColor="accent1" w:themeShade="BF"/>
    </w:rPr>
  </w:style>
  <w:style w:type="paragraph" w:styleId="IntenseQuote">
    <w:name w:val="Intense Quote"/>
    <w:basedOn w:val="Normal"/>
    <w:next w:val="Normal"/>
    <w:link w:val="IntenseQuoteChar"/>
    <w:uiPriority w:val="30"/>
    <w:qFormat/>
    <w:rsid w:val="00E374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37451"/>
    <w:rPr>
      <w:i/>
      <w:iCs/>
      <w:color w:val="0F4761" w:themeColor="accent1" w:themeShade="BF"/>
    </w:rPr>
  </w:style>
  <w:style w:type="character" w:styleId="IntenseReference">
    <w:name w:val="Intense Reference"/>
    <w:basedOn w:val="DefaultParagraphFont"/>
    <w:uiPriority w:val="32"/>
    <w:qFormat/>
    <w:rsid w:val="00E37451"/>
    <w:rPr>
      <w:b/>
      <w:bCs/>
      <w:smallCaps/>
      <w:color w:val="0F4761" w:themeColor="accent1" w:themeShade="BF"/>
      <w:spacing w:val="5"/>
    </w:rPr>
  </w:style>
  <w:style w:type="paragraph" w:styleId="Header">
    <w:name w:val="header"/>
    <w:aliases w:val="En-tête-1,En-tête-2,hd,Header 2,Char,Char2,Char3"/>
    <w:basedOn w:val="Normal"/>
    <w:link w:val="HeaderChar"/>
    <w:uiPriority w:val="99"/>
    <w:rsid w:val="00E37451"/>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aliases w:val="En-tête-1 Char,En-tête-2 Char,hd Char,Header 2 Char,Char Char,Char2 Char,Char3 Char"/>
    <w:basedOn w:val="DefaultParagraphFont"/>
    <w:link w:val="Header"/>
    <w:uiPriority w:val="99"/>
    <w:rsid w:val="00E37451"/>
    <w:rPr>
      <w:rFonts w:ascii="Times New Roman" w:eastAsia="Times New Roman" w:hAnsi="Times New Roman" w:cs="Times New Roman"/>
      <w:kern w:val="0"/>
      <w:szCs w:val="20"/>
      <w:lang w:val="en-GB"/>
      <w14:ligatures w14:val="none"/>
    </w:rPr>
  </w:style>
  <w:style w:type="table" w:styleId="TableGrid">
    <w:name w:val="Table Grid"/>
    <w:basedOn w:val="TableNormal"/>
    <w:uiPriority w:val="59"/>
    <w:rsid w:val="00E37451"/>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74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Juodikienė</dc:creator>
  <cp:keywords/>
  <dc:description/>
  <cp:lastModifiedBy>Kristina Juodikienė</cp:lastModifiedBy>
  <cp:revision>1</cp:revision>
  <dcterms:created xsi:type="dcterms:W3CDTF">2025-10-09T13:18:00Z</dcterms:created>
  <dcterms:modified xsi:type="dcterms:W3CDTF">2025-10-09T13:19:00Z</dcterms:modified>
</cp:coreProperties>
</file>