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Spynos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388AA4C5" w14:textId="77777777" w:rsidR="00205AB1" w:rsidRPr="00370648" w:rsidRDefault="00205AB1" w:rsidP="00205AB1">
      <w:pPr>
        <w:pStyle w:val="Body2"/>
        <w:rPr>
          <w:lang w:val="lt-LT"/>
        </w:rPr>
      </w:pPr>
    </w:p>
    <w:p w14:paraId="1223BC71" w14:textId="06A546FE" w:rsidR="00EF05CE" w:rsidRPr="00EF05CE" w:rsidRDefault="00205AB1" w:rsidP="00EF05CE">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w:t>
      </w:r>
      <w:r w:rsidR="00EF05CE">
        <w:rPr>
          <w:lang w:val="lt-LT"/>
        </w:rPr>
        <w:t>0 37 306053</w:t>
      </w:r>
      <w:r w:rsidRPr="00370648">
        <w:rPr>
          <w:lang w:val="lt-LT"/>
        </w:rPr>
        <w:t>,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EF05CE" w:rsidRPr="00EF05CE">
        <w:rPr>
          <w:lang w:val="lt-LT"/>
        </w:rPr>
        <w:t>Josvainių g. 2, Kaunas;</w:t>
      </w:r>
      <w:r w:rsidR="00EF05CE">
        <w:rPr>
          <w:lang w:val="lt-LT"/>
        </w:rPr>
        <w:t xml:space="preserve"> </w:t>
      </w:r>
      <w:r w:rsidR="00EF05CE" w:rsidRPr="00EF05CE">
        <w:rPr>
          <w:lang w:val="lt-LT"/>
        </w:rPr>
        <w:t>Baltijos g. 120, Kaunas;</w:t>
      </w:r>
    </w:p>
    <w:p w14:paraId="068B4E6B" w14:textId="2AE7DBA8" w:rsidR="00EF05CE" w:rsidRPr="00EF05CE" w:rsidRDefault="00EF05CE" w:rsidP="00EF05CE">
      <w:pPr>
        <w:pStyle w:val="Body2"/>
        <w:rPr>
          <w:lang w:val="lt-LT"/>
        </w:rPr>
      </w:pPr>
      <w:r w:rsidRPr="00EF05CE">
        <w:rPr>
          <w:lang w:val="lt-LT"/>
        </w:rPr>
        <w:t>Hipodromo g. 13, Kaunas;</w:t>
      </w:r>
      <w:r>
        <w:rPr>
          <w:lang w:val="lt-LT"/>
        </w:rPr>
        <w:t xml:space="preserve"> </w:t>
      </w:r>
      <w:r w:rsidRPr="00EF05CE">
        <w:rPr>
          <w:lang w:val="lt-LT"/>
        </w:rPr>
        <w:t>Kiaunių g. 2, Garliava, Kauno r.;</w:t>
      </w:r>
      <w:r>
        <w:rPr>
          <w:lang w:val="lt-LT"/>
        </w:rPr>
        <w:t xml:space="preserve"> </w:t>
      </w:r>
      <w:r w:rsidRPr="00EF05CE">
        <w:rPr>
          <w:lang w:val="lt-LT"/>
        </w:rPr>
        <w:t>Vytauto g. 61, Garliava, Kauno r.</w:t>
      </w:r>
      <w:r w:rsidR="00AC394E">
        <w:rPr>
          <w:lang w:val="lt-LT"/>
        </w:rPr>
        <w:t xml:space="preserve"> </w:t>
      </w:r>
      <w:r w:rsidRPr="00EF05CE">
        <w:rPr>
          <w:lang w:val="lt-LT"/>
        </w:rPr>
        <w:t>;J.</w:t>
      </w:r>
      <w:r>
        <w:rPr>
          <w:lang w:val="lt-LT"/>
        </w:rPr>
        <w:t xml:space="preserve"> </w:t>
      </w:r>
      <w:r w:rsidRPr="00EF05CE">
        <w:rPr>
          <w:lang w:val="lt-LT"/>
        </w:rPr>
        <w:t>Zikaro g. 14, Kačerginė, Kauno r.;</w:t>
      </w:r>
      <w:r>
        <w:rPr>
          <w:lang w:val="lt-LT"/>
        </w:rPr>
        <w:t xml:space="preserve"> </w:t>
      </w:r>
      <w:r w:rsidRPr="00EF05CE">
        <w:rPr>
          <w:lang w:val="lt-LT"/>
        </w:rPr>
        <w:t>S.</w:t>
      </w:r>
      <w:r>
        <w:rPr>
          <w:lang w:val="lt-LT"/>
        </w:rPr>
        <w:t xml:space="preserve"> </w:t>
      </w:r>
      <w:r w:rsidRPr="00EF05CE">
        <w:rPr>
          <w:lang w:val="lt-LT"/>
        </w:rPr>
        <w:t>Dariaus ir Girėno g. 48-50, Kaunas;</w:t>
      </w:r>
      <w:r>
        <w:rPr>
          <w:lang w:val="lt-LT"/>
        </w:rPr>
        <w:t xml:space="preserve"> </w:t>
      </w:r>
      <w:r w:rsidRPr="00EF05CE">
        <w:rPr>
          <w:lang w:val="lt-LT"/>
        </w:rPr>
        <w:t>A.</w:t>
      </w:r>
      <w:r>
        <w:rPr>
          <w:lang w:val="lt-LT"/>
        </w:rPr>
        <w:t xml:space="preserve"> </w:t>
      </w:r>
      <w:r w:rsidRPr="00EF05CE">
        <w:rPr>
          <w:lang w:val="lt-LT"/>
        </w:rPr>
        <w:t>Kriščiūno g. 2, Žiegždriai, Kauno r.;</w:t>
      </w:r>
    </w:p>
    <w:p w14:paraId="3E8CFE35" w14:textId="77777777" w:rsidR="00EE0246" w:rsidRDefault="00EF05CE" w:rsidP="00EE0246">
      <w:pPr>
        <w:pStyle w:val="Body2"/>
        <w:rPr>
          <w:rFonts w:cs="Times New Roman"/>
          <w:lang w:val="lt-LT"/>
        </w:rPr>
      </w:pPr>
      <w:r w:rsidRPr="00EF05CE">
        <w:rPr>
          <w:lang w:val="lt-LT"/>
        </w:rPr>
        <w:t>Miško g. 27, Kaunas</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netikrins 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lastRenderedPageBreak/>
        <w:tab/>
        <w:t>3.2.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w:t>
      </w:r>
      <w:r w:rsidR="00205AB1" w:rsidRPr="00370648">
        <w:rPr>
          <w:lang w:val="lt-LT"/>
        </w:rPr>
        <w:lastRenderedPageBreak/>
        <w:t>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 xml:space="preserve">5.13. Tiekėjas iki galutinio pasiūlymų pateikimo termino turi teisę pakeisti arba atšaukti savo pasiūlymą CVP IS priemonėmis. Toks pakeitimas arba pranešimas, kad pasiūlymas atšaukiamas, </w:t>
      </w:r>
      <w:r w:rsidR="00205AB1" w:rsidRPr="00370648">
        <w:rPr>
          <w:lang w:val="lt-LT"/>
        </w:rPr>
        <w:lastRenderedPageBreak/>
        <w:t>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w:t>
      </w:r>
      <w:r w:rsidR="00205AB1" w:rsidRPr="00370648">
        <w:rPr>
          <w:lang w:val="lt-LT"/>
        </w:rPr>
        <w:lastRenderedPageBreak/>
        <w:t>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11.1.1.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11.1.2.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11.1.3.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 xml:space="preserve">17.3. </w:t>
      </w:r>
      <w:r w:rsidR="00EE0246">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EE0246">
        <w:rPr>
          <w:rFonts w:cs="Times New Roman"/>
          <w:lang w:val="lt-LT"/>
        </w:rPr>
        <w:t>Sabis</w:t>
      </w:r>
      <w:proofErr w:type="spellEnd"/>
      <w:r w:rsidR="00EE0246">
        <w:rPr>
          <w:rFonts w:cs="Times New Roman"/>
          <w:lang w:val="lt-LT"/>
        </w:rPr>
        <w:t>“ priemonėmis. Prisijungti prie elektroninės paslaugos „</w:t>
      </w:r>
      <w:proofErr w:type="spellStart"/>
      <w:r w:rsidR="00EE0246">
        <w:rPr>
          <w:rFonts w:cs="Times New Roman"/>
          <w:lang w:val="lt-LT"/>
        </w:rPr>
        <w:t>Sabis</w:t>
      </w:r>
      <w:proofErr w:type="spellEnd"/>
      <w:r w:rsidR="00EE0246">
        <w:rPr>
          <w:rFonts w:cs="Times New Roman"/>
          <w:lang w:val="lt-LT"/>
        </w:rPr>
        <w:t>“ galima interneto adresu </w:t>
      </w:r>
      <w:r w:rsidR="00EE0246">
        <w:rPr>
          <w:rFonts w:cs="Times New Roman"/>
          <w:szCs w:val="24"/>
          <w:lang w:val="lt-LT"/>
        </w:rPr>
        <w:t>www.sabis.nbfc.lt</w:t>
      </w:r>
      <w:r w:rsidR="00EE0246">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42010016" w:rsidR="00205AB1" w:rsidRPr="00370648" w:rsidRDefault="00205AB1" w:rsidP="00EF05CE">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EE0246" w:rsidRDefault="00EE02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EE024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EE0246" w:rsidRDefault="00EE02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EE0246" w:rsidRDefault="00EE02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EE0246"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EE0246" w:rsidRDefault="00EE02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5E5855"/>
    <w:rsid w:val="007C39A3"/>
    <w:rsid w:val="008E236A"/>
    <w:rsid w:val="0099639A"/>
    <w:rsid w:val="00AC394E"/>
    <w:rsid w:val="00EE0246"/>
    <w:rsid w:val="00EF05CE"/>
    <w:rsid w:val="00F65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19380</Words>
  <Characters>11047</Characters>
  <Application>Microsoft Office Word</Application>
  <DocSecurity>0</DocSecurity>
  <Lines>92</Lines>
  <Paragraphs>60</Paragraphs>
  <ScaleCrop>false</ScaleCrop>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7</cp:revision>
  <dcterms:created xsi:type="dcterms:W3CDTF">2021-02-08T14:42:00Z</dcterms:created>
  <dcterms:modified xsi:type="dcterms:W3CDTF">2025-10-08T05:04:00Z</dcterms:modified>
</cp:coreProperties>
</file>