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085" w:rsidRDefault="00C35085" w:rsidP="0001261A">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Konkurso sąlygų 1 priedo t</w:t>
      </w:r>
      <w:r w:rsidR="0001261A">
        <w:rPr>
          <w:rFonts w:ascii="Times New Roman" w:hAnsi="Times New Roman" w:cs="Times New Roman"/>
          <w:sz w:val="24"/>
          <w:szCs w:val="24"/>
        </w:rPr>
        <w:t>ęsinys</w:t>
      </w:r>
    </w:p>
    <w:p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22855" w:type="dxa"/>
        <w:tblLayout w:type="fixed"/>
        <w:tblLook w:val="04A0" w:firstRow="1" w:lastRow="0" w:firstColumn="1" w:lastColumn="0" w:noHBand="0" w:noVBand="1"/>
      </w:tblPr>
      <w:tblGrid>
        <w:gridCol w:w="691"/>
        <w:gridCol w:w="3955"/>
        <w:gridCol w:w="1289"/>
        <w:gridCol w:w="1170"/>
        <w:gridCol w:w="1170"/>
        <w:gridCol w:w="1260"/>
        <w:gridCol w:w="1260"/>
        <w:gridCol w:w="1440"/>
        <w:gridCol w:w="1440"/>
        <w:gridCol w:w="1530"/>
        <w:gridCol w:w="1350"/>
        <w:gridCol w:w="1440"/>
        <w:gridCol w:w="1350"/>
        <w:gridCol w:w="1440"/>
        <w:gridCol w:w="2070"/>
      </w:tblGrid>
      <w:tr w:rsidR="004B4503" w:rsidRPr="00C35085" w:rsidTr="004B4503">
        <w:trPr>
          <w:tblHeader/>
        </w:trPr>
        <w:tc>
          <w:tcPr>
            <w:tcW w:w="691" w:type="dxa"/>
            <w:shd w:val="clear" w:color="auto" w:fill="E7E6E6" w:themeFill="background2"/>
            <w:vAlign w:val="center"/>
          </w:tcPr>
          <w:p w:rsidR="004B4503" w:rsidRPr="00C35085" w:rsidRDefault="004B4503"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3955" w:type="dxa"/>
            <w:shd w:val="clear" w:color="auto" w:fill="E7E6E6" w:themeFill="background2"/>
            <w:vAlign w:val="center"/>
          </w:tcPr>
          <w:p w:rsidR="004B4503" w:rsidRPr="00C35085" w:rsidRDefault="004B4503"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16139" w:type="dxa"/>
            <w:gridSpan w:val="12"/>
            <w:shd w:val="clear" w:color="auto" w:fill="E7E6E6" w:themeFill="background2"/>
            <w:vAlign w:val="center"/>
          </w:tcPr>
          <w:p w:rsidR="004B4503" w:rsidRDefault="004B4503" w:rsidP="00311ACE">
            <w:pPr>
              <w:jc w:val="center"/>
              <w:rPr>
                <w:rFonts w:ascii="Times New Roman" w:hAnsi="Times New Roman" w:cs="Times New Roman"/>
                <w:sz w:val="24"/>
                <w:szCs w:val="24"/>
              </w:rPr>
            </w:pPr>
            <w:r w:rsidRPr="00C35085">
              <w:rPr>
                <w:rFonts w:ascii="Times New Roman" w:hAnsi="Times New Roman" w:cs="Times New Roman"/>
                <w:sz w:val="24"/>
                <w:szCs w:val="24"/>
              </w:rPr>
              <w:t xml:space="preserve">Darbų grupės kainos išskaidymas pagal Rangovo planuojamą </w:t>
            </w:r>
          </w:p>
          <w:p w:rsidR="004B4503" w:rsidRPr="00C35085" w:rsidRDefault="004B4503"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2070" w:type="dxa"/>
            <w:shd w:val="clear" w:color="auto" w:fill="E7E6E6" w:themeFill="background2"/>
            <w:vAlign w:val="center"/>
          </w:tcPr>
          <w:p w:rsidR="004B4503" w:rsidRPr="00C35085" w:rsidRDefault="004B4503"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4B4503" w:rsidRPr="00C35085" w:rsidTr="004B4503">
        <w:trPr>
          <w:cantSplit/>
          <w:trHeight w:val="513"/>
          <w:tblHeader/>
        </w:trPr>
        <w:tc>
          <w:tcPr>
            <w:tcW w:w="4646" w:type="dxa"/>
            <w:gridSpan w:val="2"/>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p>
        </w:tc>
        <w:tc>
          <w:tcPr>
            <w:tcW w:w="1289"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117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117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126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126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144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144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153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135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144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135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144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2070" w:type="dxa"/>
            <w:shd w:val="clear" w:color="auto" w:fill="E7E6E6" w:themeFill="background2"/>
            <w:vAlign w:val="center"/>
          </w:tcPr>
          <w:p w:rsidR="004B4503" w:rsidRPr="00885D5A" w:rsidRDefault="004B4503" w:rsidP="00885D5A">
            <w:pPr>
              <w:jc w:val="center"/>
              <w:rPr>
                <w:rFonts w:ascii="Times New Roman" w:hAnsi="Times New Roman" w:cs="Times New Roman"/>
                <w:sz w:val="24"/>
                <w:szCs w:val="24"/>
              </w:rPr>
            </w:pPr>
          </w:p>
        </w:tc>
      </w:tr>
      <w:tr w:rsidR="004B4503" w:rsidRPr="00C35085" w:rsidTr="004B4503">
        <w:tc>
          <w:tcPr>
            <w:tcW w:w="691" w:type="dxa"/>
            <w:vAlign w:val="center"/>
          </w:tcPr>
          <w:p w:rsidR="004B4503" w:rsidRPr="00C54E76" w:rsidRDefault="004B4503" w:rsidP="005A2496">
            <w:pPr>
              <w:rPr>
                <w:rFonts w:ascii="Times New Roman" w:hAnsi="Times New Roman" w:cs="Times New Roman"/>
                <w:b/>
                <w:sz w:val="24"/>
                <w:szCs w:val="24"/>
              </w:rPr>
            </w:pPr>
            <w:r w:rsidRPr="00C54E76">
              <w:rPr>
                <w:rFonts w:ascii="Times New Roman" w:hAnsi="Times New Roman" w:cs="Times New Roman"/>
                <w:b/>
                <w:sz w:val="24"/>
                <w:szCs w:val="24"/>
              </w:rPr>
              <w:t>1.</w:t>
            </w:r>
          </w:p>
        </w:tc>
        <w:tc>
          <w:tcPr>
            <w:tcW w:w="3955" w:type="dxa"/>
          </w:tcPr>
          <w:p w:rsidR="004B4503" w:rsidRPr="003B1966" w:rsidRDefault="004B4503" w:rsidP="00C54E76">
            <w:pPr>
              <w:jc w:val="both"/>
              <w:rPr>
                <w:rFonts w:ascii="Times New Roman" w:hAnsi="Times New Roman" w:cs="Times New Roman"/>
                <w:b/>
                <w:sz w:val="24"/>
                <w:szCs w:val="24"/>
              </w:rPr>
            </w:pPr>
            <w:r>
              <w:rPr>
                <w:rFonts w:ascii="Times New Roman" w:hAnsi="Times New Roman" w:cs="Times New Roman"/>
                <w:b/>
                <w:sz w:val="24"/>
                <w:szCs w:val="24"/>
              </w:rPr>
              <w:t>Projektavimo darbai</w:t>
            </w:r>
          </w:p>
        </w:tc>
        <w:tc>
          <w:tcPr>
            <w:tcW w:w="1289" w:type="dxa"/>
          </w:tcPr>
          <w:p w:rsidR="004B4503" w:rsidRPr="00C35085" w:rsidRDefault="004B4503">
            <w:pPr>
              <w:rPr>
                <w:rFonts w:ascii="Times New Roman" w:hAnsi="Times New Roman" w:cs="Times New Roman"/>
                <w:sz w:val="24"/>
                <w:szCs w:val="24"/>
              </w:rPr>
            </w:pPr>
          </w:p>
        </w:tc>
        <w:tc>
          <w:tcPr>
            <w:tcW w:w="1170" w:type="dxa"/>
          </w:tcPr>
          <w:p w:rsidR="004B4503" w:rsidRPr="00C35085" w:rsidRDefault="004B4503">
            <w:pPr>
              <w:rPr>
                <w:rFonts w:ascii="Times New Roman" w:hAnsi="Times New Roman" w:cs="Times New Roman"/>
                <w:sz w:val="24"/>
                <w:szCs w:val="24"/>
              </w:rPr>
            </w:pPr>
          </w:p>
        </w:tc>
        <w:tc>
          <w:tcPr>
            <w:tcW w:w="1170" w:type="dxa"/>
          </w:tcPr>
          <w:p w:rsidR="004B4503" w:rsidRPr="00C35085" w:rsidRDefault="004B4503">
            <w:pPr>
              <w:rPr>
                <w:rFonts w:ascii="Times New Roman" w:hAnsi="Times New Roman" w:cs="Times New Roman"/>
                <w:sz w:val="24"/>
                <w:szCs w:val="24"/>
              </w:rPr>
            </w:pPr>
          </w:p>
        </w:tc>
        <w:tc>
          <w:tcPr>
            <w:tcW w:w="1260" w:type="dxa"/>
          </w:tcPr>
          <w:p w:rsidR="004B4503" w:rsidRPr="00C35085" w:rsidRDefault="004B4503">
            <w:pPr>
              <w:rPr>
                <w:rFonts w:ascii="Times New Roman" w:hAnsi="Times New Roman" w:cs="Times New Roman"/>
                <w:sz w:val="24"/>
                <w:szCs w:val="24"/>
              </w:rPr>
            </w:pPr>
          </w:p>
        </w:tc>
        <w:tc>
          <w:tcPr>
            <w:tcW w:w="1260" w:type="dxa"/>
          </w:tcPr>
          <w:p w:rsidR="004B4503" w:rsidRPr="00C35085" w:rsidRDefault="004B4503">
            <w:pPr>
              <w:rPr>
                <w:rFonts w:ascii="Times New Roman" w:hAnsi="Times New Roman" w:cs="Times New Roman"/>
                <w:sz w:val="24"/>
                <w:szCs w:val="24"/>
              </w:rPr>
            </w:pPr>
          </w:p>
        </w:tc>
        <w:tc>
          <w:tcPr>
            <w:tcW w:w="1440" w:type="dxa"/>
          </w:tcPr>
          <w:p w:rsidR="004B4503" w:rsidRPr="00C35085" w:rsidRDefault="004B4503">
            <w:pPr>
              <w:rPr>
                <w:rFonts w:ascii="Times New Roman" w:hAnsi="Times New Roman" w:cs="Times New Roman"/>
                <w:sz w:val="24"/>
                <w:szCs w:val="24"/>
              </w:rPr>
            </w:pPr>
          </w:p>
        </w:tc>
        <w:tc>
          <w:tcPr>
            <w:tcW w:w="1440" w:type="dxa"/>
          </w:tcPr>
          <w:p w:rsidR="004B4503" w:rsidRPr="00C35085" w:rsidRDefault="004B4503">
            <w:pPr>
              <w:rPr>
                <w:rFonts w:ascii="Times New Roman" w:hAnsi="Times New Roman" w:cs="Times New Roman"/>
                <w:sz w:val="24"/>
                <w:szCs w:val="24"/>
              </w:rPr>
            </w:pPr>
          </w:p>
        </w:tc>
        <w:tc>
          <w:tcPr>
            <w:tcW w:w="1530" w:type="dxa"/>
          </w:tcPr>
          <w:p w:rsidR="004B4503" w:rsidRPr="00C35085" w:rsidRDefault="004B4503">
            <w:pPr>
              <w:rPr>
                <w:rFonts w:ascii="Times New Roman" w:hAnsi="Times New Roman" w:cs="Times New Roman"/>
                <w:sz w:val="24"/>
                <w:szCs w:val="24"/>
              </w:rPr>
            </w:pPr>
          </w:p>
        </w:tc>
        <w:tc>
          <w:tcPr>
            <w:tcW w:w="1350" w:type="dxa"/>
          </w:tcPr>
          <w:p w:rsidR="004B4503" w:rsidRPr="00C35085" w:rsidRDefault="004B4503">
            <w:pPr>
              <w:rPr>
                <w:rFonts w:ascii="Times New Roman" w:hAnsi="Times New Roman" w:cs="Times New Roman"/>
                <w:sz w:val="24"/>
                <w:szCs w:val="24"/>
              </w:rPr>
            </w:pPr>
          </w:p>
        </w:tc>
        <w:tc>
          <w:tcPr>
            <w:tcW w:w="1440" w:type="dxa"/>
          </w:tcPr>
          <w:p w:rsidR="004B4503" w:rsidRPr="00C35085" w:rsidRDefault="004B4503">
            <w:pPr>
              <w:rPr>
                <w:rFonts w:ascii="Times New Roman" w:hAnsi="Times New Roman" w:cs="Times New Roman"/>
                <w:sz w:val="24"/>
                <w:szCs w:val="24"/>
              </w:rPr>
            </w:pPr>
          </w:p>
        </w:tc>
        <w:tc>
          <w:tcPr>
            <w:tcW w:w="1350" w:type="dxa"/>
          </w:tcPr>
          <w:p w:rsidR="004B4503" w:rsidRPr="00C35085" w:rsidRDefault="004B4503">
            <w:pPr>
              <w:rPr>
                <w:rFonts w:ascii="Times New Roman" w:hAnsi="Times New Roman" w:cs="Times New Roman"/>
                <w:sz w:val="24"/>
                <w:szCs w:val="24"/>
              </w:rPr>
            </w:pPr>
          </w:p>
        </w:tc>
        <w:tc>
          <w:tcPr>
            <w:tcW w:w="1440" w:type="dxa"/>
          </w:tcPr>
          <w:p w:rsidR="004B4503" w:rsidRPr="00C35085" w:rsidRDefault="004B4503">
            <w:pPr>
              <w:rPr>
                <w:rFonts w:ascii="Times New Roman" w:hAnsi="Times New Roman" w:cs="Times New Roman"/>
                <w:sz w:val="24"/>
                <w:szCs w:val="24"/>
              </w:rPr>
            </w:pPr>
          </w:p>
        </w:tc>
        <w:tc>
          <w:tcPr>
            <w:tcW w:w="2070" w:type="dxa"/>
          </w:tcPr>
          <w:p w:rsidR="004B4503" w:rsidRPr="00C35085" w:rsidRDefault="004B4503">
            <w:pPr>
              <w:rPr>
                <w:rFonts w:ascii="Times New Roman" w:hAnsi="Times New Roman" w:cs="Times New Roman"/>
                <w:sz w:val="24"/>
                <w:szCs w:val="24"/>
              </w:rPr>
            </w:pPr>
          </w:p>
        </w:tc>
      </w:tr>
      <w:tr w:rsidR="004B4503" w:rsidRPr="00C35085" w:rsidTr="004B4503">
        <w:tc>
          <w:tcPr>
            <w:tcW w:w="691" w:type="dxa"/>
            <w:vAlign w:val="center"/>
          </w:tcPr>
          <w:p w:rsidR="004B4503" w:rsidRPr="00C54E76" w:rsidRDefault="004B4503" w:rsidP="00536F04">
            <w:pPr>
              <w:rPr>
                <w:rFonts w:ascii="Times New Roman" w:hAnsi="Times New Roman" w:cs="Times New Roman"/>
                <w:b/>
                <w:bCs/>
                <w:sz w:val="24"/>
                <w:szCs w:val="24"/>
              </w:rPr>
            </w:pPr>
            <w:r w:rsidRPr="00C54E76">
              <w:rPr>
                <w:rFonts w:ascii="Times New Roman" w:hAnsi="Times New Roman" w:cs="Times New Roman"/>
                <w:b/>
                <w:bCs/>
                <w:sz w:val="24"/>
                <w:szCs w:val="24"/>
              </w:rPr>
              <w:t>2.</w:t>
            </w:r>
          </w:p>
        </w:tc>
        <w:tc>
          <w:tcPr>
            <w:tcW w:w="3955" w:type="dxa"/>
          </w:tcPr>
          <w:p w:rsidR="004B4503" w:rsidRPr="003B1966" w:rsidRDefault="004B4503" w:rsidP="00536F04">
            <w:pPr>
              <w:jc w:val="both"/>
              <w:rPr>
                <w:rFonts w:ascii="Times New Roman" w:hAnsi="Times New Roman" w:cs="Times New Roman"/>
                <w:sz w:val="24"/>
                <w:szCs w:val="24"/>
              </w:rPr>
            </w:pPr>
            <w:r w:rsidRPr="003B1966">
              <w:rPr>
                <w:rFonts w:ascii="Times New Roman" w:hAnsi="Times New Roman" w:cs="Times New Roman"/>
                <w:b/>
                <w:sz w:val="24"/>
                <w:szCs w:val="24"/>
              </w:rPr>
              <w:t xml:space="preserve">Statybos darbai </w:t>
            </w:r>
          </w:p>
        </w:tc>
        <w:tc>
          <w:tcPr>
            <w:tcW w:w="1289" w:type="dxa"/>
          </w:tcPr>
          <w:p w:rsidR="004B4503" w:rsidRPr="00C35085" w:rsidRDefault="004B4503" w:rsidP="00536F04">
            <w:pPr>
              <w:rPr>
                <w:rFonts w:ascii="Times New Roman" w:hAnsi="Times New Roman" w:cs="Times New Roman"/>
                <w:sz w:val="24"/>
                <w:szCs w:val="24"/>
              </w:rPr>
            </w:pPr>
          </w:p>
        </w:tc>
        <w:tc>
          <w:tcPr>
            <w:tcW w:w="1170" w:type="dxa"/>
          </w:tcPr>
          <w:p w:rsidR="004B4503" w:rsidRPr="00C35085" w:rsidRDefault="004B4503" w:rsidP="00536F04">
            <w:pPr>
              <w:rPr>
                <w:rFonts w:ascii="Times New Roman" w:hAnsi="Times New Roman" w:cs="Times New Roman"/>
                <w:sz w:val="24"/>
                <w:szCs w:val="24"/>
              </w:rPr>
            </w:pPr>
          </w:p>
        </w:tc>
        <w:tc>
          <w:tcPr>
            <w:tcW w:w="1170" w:type="dxa"/>
          </w:tcPr>
          <w:p w:rsidR="004B4503" w:rsidRPr="00C35085" w:rsidRDefault="004B4503" w:rsidP="00536F04">
            <w:pPr>
              <w:rPr>
                <w:rFonts w:ascii="Times New Roman" w:hAnsi="Times New Roman" w:cs="Times New Roman"/>
                <w:sz w:val="24"/>
                <w:szCs w:val="24"/>
              </w:rPr>
            </w:pPr>
          </w:p>
        </w:tc>
        <w:tc>
          <w:tcPr>
            <w:tcW w:w="1260" w:type="dxa"/>
          </w:tcPr>
          <w:p w:rsidR="004B4503" w:rsidRPr="00C35085" w:rsidRDefault="004B4503" w:rsidP="00536F04">
            <w:pPr>
              <w:rPr>
                <w:rFonts w:ascii="Times New Roman" w:hAnsi="Times New Roman" w:cs="Times New Roman"/>
                <w:sz w:val="24"/>
                <w:szCs w:val="24"/>
              </w:rPr>
            </w:pPr>
          </w:p>
        </w:tc>
        <w:tc>
          <w:tcPr>
            <w:tcW w:w="1260" w:type="dxa"/>
          </w:tcPr>
          <w:p w:rsidR="004B4503" w:rsidRPr="00C35085" w:rsidRDefault="004B4503" w:rsidP="00536F04">
            <w:pPr>
              <w:rPr>
                <w:rFonts w:ascii="Times New Roman" w:hAnsi="Times New Roman" w:cs="Times New Roman"/>
                <w:sz w:val="24"/>
                <w:szCs w:val="24"/>
              </w:rPr>
            </w:pPr>
          </w:p>
        </w:tc>
        <w:tc>
          <w:tcPr>
            <w:tcW w:w="1440" w:type="dxa"/>
          </w:tcPr>
          <w:p w:rsidR="004B4503" w:rsidRPr="00C35085" w:rsidRDefault="004B4503" w:rsidP="00536F04">
            <w:pPr>
              <w:rPr>
                <w:rFonts w:ascii="Times New Roman" w:hAnsi="Times New Roman" w:cs="Times New Roman"/>
                <w:sz w:val="24"/>
                <w:szCs w:val="24"/>
              </w:rPr>
            </w:pPr>
          </w:p>
        </w:tc>
        <w:tc>
          <w:tcPr>
            <w:tcW w:w="1440" w:type="dxa"/>
          </w:tcPr>
          <w:p w:rsidR="004B4503" w:rsidRPr="00C35085" w:rsidRDefault="004B4503" w:rsidP="00536F04">
            <w:pPr>
              <w:rPr>
                <w:rFonts w:ascii="Times New Roman" w:hAnsi="Times New Roman" w:cs="Times New Roman"/>
                <w:sz w:val="24"/>
                <w:szCs w:val="24"/>
              </w:rPr>
            </w:pPr>
          </w:p>
        </w:tc>
        <w:tc>
          <w:tcPr>
            <w:tcW w:w="1530" w:type="dxa"/>
          </w:tcPr>
          <w:p w:rsidR="004B4503" w:rsidRPr="00C35085" w:rsidRDefault="004B4503" w:rsidP="00536F04">
            <w:pPr>
              <w:rPr>
                <w:rFonts w:ascii="Times New Roman" w:hAnsi="Times New Roman" w:cs="Times New Roman"/>
                <w:sz w:val="24"/>
                <w:szCs w:val="24"/>
              </w:rPr>
            </w:pPr>
          </w:p>
        </w:tc>
        <w:tc>
          <w:tcPr>
            <w:tcW w:w="1350" w:type="dxa"/>
          </w:tcPr>
          <w:p w:rsidR="004B4503" w:rsidRPr="00C35085" w:rsidRDefault="004B4503" w:rsidP="00536F04">
            <w:pPr>
              <w:rPr>
                <w:rFonts w:ascii="Times New Roman" w:hAnsi="Times New Roman" w:cs="Times New Roman"/>
                <w:sz w:val="24"/>
                <w:szCs w:val="24"/>
              </w:rPr>
            </w:pPr>
          </w:p>
        </w:tc>
        <w:tc>
          <w:tcPr>
            <w:tcW w:w="1440" w:type="dxa"/>
          </w:tcPr>
          <w:p w:rsidR="004B4503" w:rsidRPr="00C35085" w:rsidRDefault="004B4503" w:rsidP="00536F04">
            <w:pPr>
              <w:rPr>
                <w:rFonts w:ascii="Times New Roman" w:hAnsi="Times New Roman" w:cs="Times New Roman"/>
                <w:sz w:val="24"/>
                <w:szCs w:val="24"/>
              </w:rPr>
            </w:pPr>
          </w:p>
        </w:tc>
        <w:tc>
          <w:tcPr>
            <w:tcW w:w="1350" w:type="dxa"/>
          </w:tcPr>
          <w:p w:rsidR="004B4503" w:rsidRPr="00C35085" w:rsidRDefault="004B4503" w:rsidP="00536F04">
            <w:pPr>
              <w:rPr>
                <w:rFonts w:ascii="Times New Roman" w:hAnsi="Times New Roman" w:cs="Times New Roman"/>
                <w:sz w:val="24"/>
                <w:szCs w:val="24"/>
              </w:rPr>
            </w:pPr>
          </w:p>
        </w:tc>
        <w:tc>
          <w:tcPr>
            <w:tcW w:w="1440" w:type="dxa"/>
          </w:tcPr>
          <w:p w:rsidR="004B4503" w:rsidRPr="00C35085" w:rsidRDefault="004B4503" w:rsidP="00536F04">
            <w:pPr>
              <w:rPr>
                <w:rFonts w:ascii="Times New Roman" w:hAnsi="Times New Roman" w:cs="Times New Roman"/>
                <w:sz w:val="24"/>
                <w:szCs w:val="24"/>
              </w:rPr>
            </w:pPr>
          </w:p>
        </w:tc>
        <w:tc>
          <w:tcPr>
            <w:tcW w:w="2070" w:type="dxa"/>
          </w:tcPr>
          <w:p w:rsidR="004B4503" w:rsidRPr="00C35085" w:rsidRDefault="004B4503" w:rsidP="00536F04">
            <w:pPr>
              <w:rPr>
                <w:rFonts w:ascii="Times New Roman" w:hAnsi="Times New Roman" w:cs="Times New Roman"/>
                <w:sz w:val="24"/>
                <w:szCs w:val="24"/>
              </w:rPr>
            </w:pPr>
          </w:p>
        </w:tc>
      </w:tr>
      <w:tr w:rsidR="004B4503" w:rsidRPr="00C35085" w:rsidTr="004B4503">
        <w:tc>
          <w:tcPr>
            <w:tcW w:w="691" w:type="dxa"/>
            <w:vAlign w:val="center"/>
          </w:tcPr>
          <w:p w:rsidR="004B4503" w:rsidRPr="00C54E76" w:rsidRDefault="004B4503" w:rsidP="00770A9C">
            <w:pPr>
              <w:rPr>
                <w:rFonts w:ascii="Times New Roman" w:hAnsi="Times New Roman" w:cs="Times New Roman"/>
                <w:b/>
                <w:bCs/>
                <w:sz w:val="24"/>
                <w:szCs w:val="24"/>
              </w:rPr>
            </w:pPr>
            <w:r w:rsidRPr="00C54E76">
              <w:rPr>
                <w:rFonts w:ascii="Times New Roman" w:hAnsi="Times New Roman" w:cs="Times New Roman"/>
                <w:b/>
                <w:bCs/>
                <w:sz w:val="24"/>
                <w:szCs w:val="24"/>
              </w:rPr>
              <w:t>3.</w:t>
            </w:r>
          </w:p>
        </w:tc>
        <w:tc>
          <w:tcPr>
            <w:tcW w:w="3955" w:type="dxa"/>
          </w:tcPr>
          <w:p w:rsidR="004B4503" w:rsidRDefault="004B4503" w:rsidP="00770A9C">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1289"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53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c>
          <w:tcPr>
            <w:tcW w:w="691" w:type="dxa"/>
            <w:vAlign w:val="center"/>
          </w:tcPr>
          <w:p w:rsidR="004B4503" w:rsidRPr="00C54E76" w:rsidRDefault="004B4503" w:rsidP="00770A9C">
            <w:pPr>
              <w:rPr>
                <w:rFonts w:ascii="Times New Roman" w:hAnsi="Times New Roman" w:cs="Times New Roman"/>
                <w:sz w:val="24"/>
                <w:szCs w:val="24"/>
              </w:rPr>
            </w:pPr>
            <w:r w:rsidRPr="00C54E76">
              <w:rPr>
                <w:rFonts w:ascii="Times New Roman" w:hAnsi="Times New Roman" w:cs="Times New Roman"/>
                <w:sz w:val="24"/>
                <w:szCs w:val="24"/>
              </w:rPr>
              <w:t>3.2.</w:t>
            </w:r>
          </w:p>
        </w:tc>
        <w:tc>
          <w:tcPr>
            <w:tcW w:w="3955" w:type="dxa"/>
          </w:tcPr>
          <w:p w:rsidR="004B4503" w:rsidRPr="00F45D46" w:rsidRDefault="004B4503"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1289"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53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c>
          <w:tcPr>
            <w:tcW w:w="691" w:type="dxa"/>
            <w:vAlign w:val="center"/>
          </w:tcPr>
          <w:p w:rsidR="004B4503" w:rsidRPr="00C54E76" w:rsidRDefault="004B4503" w:rsidP="00770A9C">
            <w:pPr>
              <w:rPr>
                <w:rFonts w:ascii="Times New Roman" w:hAnsi="Times New Roman" w:cs="Times New Roman"/>
                <w:sz w:val="24"/>
                <w:szCs w:val="24"/>
              </w:rPr>
            </w:pPr>
            <w:r w:rsidRPr="00C54E76">
              <w:rPr>
                <w:rFonts w:ascii="Times New Roman" w:hAnsi="Times New Roman" w:cs="Times New Roman"/>
                <w:sz w:val="24"/>
                <w:szCs w:val="24"/>
              </w:rPr>
              <w:t>3.3.</w:t>
            </w:r>
          </w:p>
        </w:tc>
        <w:tc>
          <w:tcPr>
            <w:tcW w:w="3955" w:type="dxa"/>
          </w:tcPr>
          <w:p w:rsidR="004B4503" w:rsidRPr="00F45D46" w:rsidRDefault="004B4503"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1289"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53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rPr>
          <w:trHeight w:val="1578"/>
        </w:trPr>
        <w:tc>
          <w:tcPr>
            <w:tcW w:w="691" w:type="dxa"/>
            <w:vAlign w:val="center"/>
          </w:tcPr>
          <w:p w:rsidR="004B4503" w:rsidRPr="00C54E76" w:rsidRDefault="004B4503" w:rsidP="00770A9C">
            <w:pPr>
              <w:rPr>
                <w:rFonts w:ascii="Times New Roman" w:hAnsi="Times New Roman" w:cs="Times New Roman"/>
                <w:sz w:val="24"/>
                <w:szCs w:val="24"/>
              </w:rPr>
            </w:pPr>
            <w:r>
              <w:rPr>
                <w:rFonts w:ascii="Times New Roman" w:hAnsi="Times New Roman" w:cs="Times New Roman"/>
                <w:sz w:val="24"/>
                <w:szCs w:val="24"/>
              </w:rPr>
              <w:t>3.4.</w:t>
            </w:r>
          </w:p>
        </w:tc>
        <w:tc>
          <w:tcPr>
            <w:tcW w:w="3955" w:type="dxa"/>
          </w:tcPr>
          <w:p w:rsidR="004B4503" w:rsidRPr="005E2C48" w:rsidRDefault="004B4503" w:rsidP="00680976">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 (įskaitant Ekspertizės rangovo įsigijimą) gavus Užsakovo įgaliojimą pateikti prašym</w:t>
            </w:r>
            <w:r>
              <w:rPr>
                <w:rFonts w:ascii="Times New Roman" w:hAnsi="Times New Roman" w:cs="Times New Roman"/>
                <w:color w:val="000000"/>
                <w:sz w:val="24"/>
                <w:szCs w:val="24"/>
                <w:shd w:val="clear" w:color="auto" w:fill="FFFFFF"/>
              </w:rPr>
              <w:t xml:space="preserve">ą </w:t>
            </w:r>
            <w:r w:rsidRPr="005E2C4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dėl </w:t>
            </w:r>
            <w:r w:rsidRPr="005E2C48">
              <w:rPr>
                <w:rFonts w:ascii="Times New Roman" w:hAnsi="Times New Roman" w:cs="Times New Roman"/>
                <w:color w:val="000000"/>
                <w:sz w:val="24"/>
                <w:szCs w:val="24"/>
                <w:shd w:val="clear" w:color="auto" w:fill="FFFFFF"/>
              </w:rPr>
              <w:t>statybos užbaigimo deklaracij</w:t>
            </w:r>
            <w:r>
              <w:rPr>
                <w:rFonts w:ascii="Times New Roman" w:hAnsi="Times New Roman" w:cs="Times New Roman"/>
                <w:color w:val="000000"/>
                <w:sz w:val="24"/>
                <w:szCs w:val="24"/>
                <w:shd w:val="clear" w:color="auto" w:fill="FFFFFF"/>
              </w:rPr>
              <w:t>os</w:t>
            </w:r>
            <w:r w:rsidRPr="005E2C4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w:t>
            </w:r>
            <w:r w:rsidRPr="005E2C48">
              <w:rPr>
                <w:rFonts w:ascii="Times New Roman" w:hAnsi="Times New Roman" w:cs="Times New Roman"/>
                <w:color w:val="000000"/>
                <w:sz w:val="24"/>
                <w:szCs w:val="24"/>
                <w:shd w:val="clear" w:color="auto" w:fill="FFFFFF"/>
              </w:rPr>
              <w:t>avim</w:t>
            </w:r>
            <w:r>
              <w:rPr>
                <w:rFonts w:ascii="Times New Roman" w:hAnsi="Times New Roman" w:cs="Times New Roman"/>
                <w:color w:val="000000"/>
                <w:sz w:val="24"/>
                <w:szCs w:val="24"/>
                <w:shd w:val="clear" w:color="auto" w:fill="FFFFFF"/>
              </w:rPr>
              <w:t xml:space="preserve">o. </w:t>
            </w:r>
          </w:p>
        </w:tc>
        <w:tc>
          <w:tcPr>
            <w:tcW w:w="1289" w:type="dxa"/>
          </w:tcPr>
          <w:p w:rsidR="004B4503" w:rsidRDefault="004B4503" w:rsidP="00770A9C">
            <w:pPr>
              <w:rPr>
                <w:rFonts w:ascii="Times New Roman" w:hAnsi="Times New Roman" w:cs="Times New Roman"/>
                <w:sz w:val="24"/>
                <w:szCs w:val="24"/>
              </w:rPr>
            </w:pPr>
          </w:p>
          <w:p w:rsidR="004B4503" w:rsidRDefault="004B4503" w:rsidP="00770A9C">
            <w:pPr>
              <w:rPr>
                <w:rFonts w:ascii="Times New Roman" w:hAnsi="Times New Roman" w:cs="Times New Roman"/>
                <w:sz w:val="24"/>
                <w:szCs w:val="24"/>
              </w:rPr>
            </w:pPr>
          </w:p>
          <w:p w:rsidR="004B4503" w:rsidRDefault="004B4503" w:rsidP="00770A9C">
            <w:pPr>
              <w:rPr>
                <w:rFonts w:ascii="Times New Roman" w:hAnsi="Times New Roman" w:cs="Times New Roman"/>
                <w:sz w:val="24"/>
                <w:szCs w:val="24"/>
              </w:rPr>
            </w:pPr>
          </w:p>
          <w:p w:rsidR="004B4503" w:rsidRDefault="004B4503" w:rsidP="00770A9C">
            <w:pPr>
              <w:rPr>
                <w:rFonts w:ascii="Times New Roman" w:hAnsi="Times New Roman" w:cs="Times New Roman"/>
                <w:sz w:val="24"/>
                <w:szCs w:val="24"/>
              </w:rPr>
            </w:pPr>
          </w:p>
          <w:p w:rsidR="004B4503" w:rsidRDefault="004B4503" w:rsidP="00770A9C">
            <w:pPr>
              <w:rPr>
                <w:rFonts w:ascii="Times New Roman" w:hAnsi="Times New Roman" w:cs="Times New Roman"/>
                <w:sz w:val="24"/>
                <w:szCs w:val="24"/>
              </w:rPr>
            </w:pPr>
          </w:p>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53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c>
          <w:tcPr>
            <w:tcW w:w="691" w:type="dxa"/>
            <w:vAlign w:val="center"/>
          </w:tcPr>
          <w:p w:rsidR="004B4503" w:rsidRDefault="004B4503" w:rsidP="00770A9C">
            <w:pPr>
              <w:rPr>
                <w:rFonts w:ascii="Times New Roman" w:hAnsi="Times New Roman" w:cs="Times New Roman"/>
                <w:sz w:val="24"/>
                <w:szCs w:val="24"/>
              </w:rPr>
            </w:pPr>
            <w:bookmarkStart w:id="1" w:name="_Hlk127872072"/>
            <w:r>
              <w:rPr>
                <w:rFonts w:ascii="Times New Roman" w:hAnsi="Times New Roman" w:cs="Times New Roman"/>
                <w:sz w:val="24"/>
                <w:szCs w:val="24"/>
              </w:rPr>
              <w:t>3.5.</w:t>
            </w:r>
          </w:p>
        </w:tc>
        <w:tc>
          <w:tcPr>
            <w:tcW w:w="3955" w:type="dxa"/>
          </w:tcPr>
          <w:p w:rsidR="004B4503" w:rsidRPr="000641BC" w:rsidRDefault="004B4503" w:rsidP="00FA7AD1">
            <w:pPr>
              <w:jc w:val="both"/>
              <w:rPr>
                <w:rFonts w:ascii="Times New Roman" w:hAnsi="Times New Roman" w:cs="Times New Roman"/>
                <w:sz w:val="24"/>
                <w:szCs w:val="24"/>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 xml:space="preserve">o įsigijimo paslauga statytojo (užsakovo) vardu </w:t>
            </w:r>
          </w:p>
        </w:tc>
        <w:tc>
          <w:tcPr>
            <w:tcW w:w="1289"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17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26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53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1350" w:type="dxa"/>
          </w:tcPr>
          <w:p w:rsidR="004B4503" w:rsidRPr="00C35085" w:rsidRDefault="004B4503" w:rsidP="00770A9C">
            <w:pPr>
              <w:rPr>
                <w:rFonts w:ascii="Times New Roman" w:hAnsi="Times New Roman" w:cs="Times New Roman"/>
                <w:sz w:val="24"/>
                <w:szCs w:val="24"/>
              </w:rPr>
            </w:pPr>
          </w:p>
        </w:tc>
        <w:tc>
          <w:tcPr>
            <w:tcW w:w="1440" w:type="dxa"/>
          </w:tcPr>
          <w:p w:rsidR="004B4503" w:rsidRPr="00C35085" w:rsidRDefault="004B4503" w:rsidP="00770A9C">
            <w:pPr>
              <w:rPr>
                <w:rFonts w:ascii="Times New Roman" w:hAnsi="Times New Roman" w:cs="Times New Roman"/>
                <w:sz w:val="24"/>
                <w:szCs w:val="24"/>
              </w:rPr>
            </w:pPr>
          </w:p>
        </w:tc>
        <w:tc>
          <w:tcPr>
            <w:tcW w:w="2070" w:type="dxa"/>
          </w:tcPr>
          <w:p w:rsidR="004B4503" w:rsidRPr="00C35085" w:rsidRDefault="004B4503" w:rsidP="00770A9C">
            <w:pPr>
              <w:rPr>
                <w:rFonts w:ascii="Times New Roman" w:hAnsi="Times New Roman" w:cs="Times New Roman"/>
                <w:sz w:val="24"/>
                <w:szCs w:val="24"/>
              </w:rPr>
            </w:pPr>
          </w:p>
        </w:tc>
      </w:tr>
      <w:bookmarkEnd w:id="1"/>
      <w:tr w:rsidR="004B4503" w:rsidRPr="00C35085" w:rsidTr="004B4503">
        <w:tc>
          <w:tcPr>
            <w:tcW w:w="691" w:type="dxa"/>
          </w:tcPr>
          <w:p w:rsidR="004B4503" w:rsidRPr="00C35085" w:rsidRDefault="004B4503" w:rsidP="00770A9C">
            <w:pPr>
              <w:rPr>
                <w:rFonts w:ascii="Times New Roman" w:hAnsi="Times New Roman" w:cs="Times New Roman"/>
                <w:sz w:val="24"/>
                <w:szCs w:val="24"/>
              </w:rPr>
            </w:pPr>
          </w:p>
        </w:tc>
        <w:tc>
          <w:tcPr>
            <w:tcW w:w="20094" w:type="dxa"/>
            <w:gridSpan w:val="13"/>
          </w:tcPr>
          <w:p w:rsidR="004B4503" w:rsidRPr="00C35085" w:rsidRDefault="004B4503" w:rsidP="00770A9C">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c>
          <w:tcPr>
            <w:tcW w:w="691" w:type="dxa"/>
          </w:tcPr>
          <w:p w:rsidR="004B4503" w:rsidRPr="00C35085" w:rsidRDefault="004B4503" w:rsidP="00770A9C">
            <w:pPr>
              <w:rPr>
                <w:rFonts w:ascii="Times New Roman" w:hAnsi="Times New Roman" w:cs="Times New Roman"/>
                <w:sz w:val="24"/>
                <w:szCs w:val="24"/>
              </w:rPr>
            </w:pPr>
          </w:p>
        </w:tc>
        <w:tc>
          <w:tcPr>
            <w:tcW w:w="20094" w:type="dxa"/>
            <w:gridSpan w:val="13"/>
          </w:tcPr>
          <w:p w:rsidR="004B4503" w:rsidRPr="00C35085" w:rsidRDefault="004B4503" w:rsidP="00770A9C">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2070" w:type="dxa"/>
          </w:tcPr>
          <w:p w:rsidR="004B4503" w:rsidRPr="00C35085" w:rsidRDefault="004B4503" w:rsidP="00770A9C">
            <w:pPr>
              <w:rPr>
                <w:rFonts w:ascii="Times New Roman" w:hAnsi="Times New Roman" w:cs="Times New Roman"/>
                <w:sz w:val="24"/>
                <w:szCs w:val="24"/>
              </w:rPr>
            </w:pPr>
          </w:p>
        </w:tc>
      </w:tr>
      <w:tr w:rsidR="004B4503" w:rsidRPr="00C35085" w:rsidTr="004B4503">
        <w:tc>
          <w:tcPr>
            <w:tcW w:w="691" w:type="dxa"/>
          </w:tcPr>
          <w:p w:rsidR="004B4503" w:rsidRPr="00C35085" w:rsidRDefault="004B4503" w:rsidP="00770A9C">
            <w:pPr>
              <w:rPr>
                <w:rFonts w:ascii="Times New Roman" w:hAnsi="Times New Roman" w:cs="Times New Roman"/>
                <w:sz w:val="24"/>
                <w:szCs w:val="24"/>
              </w:rPr>
            </w:pPr>
          </w:p>
        </w:tc>
        <w:tc>
          <w:tcPr>
            <w:tcW w:w="20094" w:type="dxa"/>
            <w:gridSpan w:val="13"/>
          </w:tcPr>
          <w:p w:rsidR="004B4503" w:rsidRPr="00C35085" w:rsidRDefault="004B4503" w:rsidP="00770A9C">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2070" w:type="dxa"/>
          </w:tcPr>
          <w:p w:rsidR="004B4503" w:rsidRPr="00C35085" w:rsidRDefault="004B4503" w:rsidP="00770A9C">
            <w:pPr>
              <w:rPr>
                <w:rFonts w:ascii="Times New Roman" w:hAnsi="Times New Roman" w:cs="Times New Roman"/>
                <w:sz w:val="24"/>
                <w:szCs w:val="24"/>
              </w:rPr>
            </w:pPr>
          </w:p>
        </w:tc>
      </w:tr>
    </w:tbl>
    <w:p w:rsidR="0001309C" w:rsidRDefault="0001309C" w:rsidP="0001309C">
      <w:pPr>
        <w:tabs>
          <w:tab w:val="left" w:pos="9000"/>
          <w:tab w:val="right" w:pos="9360"/>
        </w:tabs>
        <w:overflowPunct w:val="0"/>
        <w:adjustRightInd w:val="0"/>
        <w:jc w:val="center"/>
        <w:rPr>
          <w:rFonts w:ascii="Times New Roman" w:eastAsia="Calibri" w:hAnsi="Times New Roman"/>
          <w:sz w:val="24"/>
        </w:rPr>
      </w:pPr>
    </w:p>
    <w:p w:rsidR="002722FA" w:rsidRDefault="002722FA"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Tr="00DF6904">
        <w:trPr>
          <w:trHeight w:val="186"/>
        </w:trPr>
        <w:tc>
          <w:tcPr>
            <w:tcW w:w="3260" w:type="dxa"/>
            <w:tcBorders>
              <w:top w:val="single" w:sz="4" w:space="0" w:color="auto"/>
              <w:left w:val="nil"/>
              <w:bottom w:val="nil"/>
              <w:right w:val="nil"/>
            </w:tcBorders>
            <w:hideMark/>
          </w:tcPr>
          <w:p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01309C" w:rsidRDefault="0001309C"/>
    <w:p w:rsidR="0001309C" w:rsidRPr="0001309C" w:rsidRDefault="0001309C" w:rsidP="0001309C">
      <w:pPr>
        <w:jc w:val="both"/>
        <w:rPr>
          <w:rFonts w:ascii="Times New Roman" w:eastAsia="Calibri" w:hAnsi="Times New Roman"/>
          <w:i/>
          <w:sz w:val="24"/>
          <w:szCs w:val="24"/>
        </w:rPr>
      </w:pPr>
      <w:r w:rsidRPr="0001309C">
        <w:rPr>
          <w:rFonts w:ascii="Times New Roman" w:eastAsia="Calibri" w:hAnsi="Times New Roman"/>
          <w:i/>
          <w:sz w:val="24"/>
          <w:szCs w:val="24"/>
        </w:rPr>
        <w:t>Veiklų sąrašo pildymo rekomendacijos: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Rangovas veiklų sąraše turi įvertinti (įkainoti) visus reikiamus darbus, kurie reikalingi numatytiems darbams atlikti</w:t>
      </w:r>
      <w:r w:rsidR="003D7223">
        <w:rPr>
          <w:rFonts w:ascii="Times New Roman" w:eastAsia="Calibri" w:hAnsi="Times New Roman"/>
          <w:i/>
          <w:sz w:val="24"/>
          <w:szCs w:val="24"/>
        </w:rPr>
        <w:t xml:space="preserve"> </w:t>
      </w:r>
      <w:r w:rsidR="003D7223" w:rsidRPr="00EB688B">
        <w:rPr>
          <w:rFonts w:ascii="Times New Roman" w:eastAsia="Calibri" w:hAnsi="Times New Roman"/>
          <w:i/>
          <w:sz w:val="24"/>
          <w:szCs w:val="24"/>
        </w:rPr>
        <w:t>pagal pateikt</w:t>
      </w:r>
      <w:r w:rsidR="00EB688B" w:rsidRPr="00EB688B">
        <w:rPr>
          <w:rFonts w:ascii="Times New Roman" w:eastAsia="Calibri" w:hAnsi="Times New Roman"/>
          <w:i/>
          <w:sz w:val="24"/>
          <w:szCs w:val="24"/>
        </w:rPr>
        <w:t>u</w:t>
      </w:r>
      <w:r w:rsidR="003D7223" w:rsidRPr="00EB688B">
        <w:rPr>
          <w:rFonts w:ascii="Times New Roman" w:eastAsia="Calibri" w:hAnsi="Times New Roman"/>
          <w:i/>
          <w:sz w:val="24"/>
          <w:szCs w:val="24"/>
        </w:rPr>
        <w:t xml:space="preserve">s </w:t>
      </w:r>
      <w:r w:rsidR="00EB688B">
        <w:rPr>
          <w:rFonts w:ascii="Times New Roman" w:eastAsia="Calibri" w:hAnsi="Times New Roman"/>
          <w:i/>
          <w:sz w:val="24"/>
          <w:szCs w:val="24"/>
        </w:rPr>
        <w:t>pirkimo dokumentus</w:t>
      </w:r>
      <w:r w:rsidRPr="0001309C">
        <w:rPr>
          <w:rFonts w:ascii="Times New Roman" w:eastAsia="Calibri" w:hAnsi="Times New Roman"/>
          <w:i/>
          <w:sz w:val="24"/>
          <w:szCs w:val="24"/>
        </w:rPr>
        <w:t>.</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Veiklų sąraše pateiktose Rangovo kainose turi būti įvertinti visi reikiami Rangovo įrengimai bei mechanizmai darbams atlikti, montavimas, Rangovo personalo darbas, medžiagos, montažinės</w:t>
      </w:r>
      <w:r>
        <w:rPr>
          <w:rFonts w:ascii="Times New Roman" w:eastAsia="Calibri" w:hAnsi="Times New Roman"/>
          <w:i/>
          <w:sz w:val="24"/>
          <w:szCs w:val="24"/>
        </w:rPr>
        <w:t xml:space="preserve"> </w:t>
      </w:r>
      <w:r w:rsidRPr="0001309C">
        <w:rPr>
          <w:rFonts w:ascii="Times New Roman" w:eastAsia="Calibri" w:hAnsi="Times New Roman"/>
          <w:i/>
          <w:sz w:val="24"/>
          <w:szCs w:val="24"/>
        </w:rPr>
        <w:t>-</w:t>
      </w:r>
      <w:r>
        <w:rPr>
          <w:rFonts w:ascii="Times New Roman" w:eastAsia="Calibri" w:hAnsi="Times New Roman"/>
          <w:i/>
          <w:sz w:val="24"/>
          <w:szCs w:val="24"/>
        </w:rPr>
        <w:t xml:space="preserve"> </w:t>
      </w:r>
      <w:r w:rsidRPr="0001309C">
        <w:rPr>
          <w:rFonts w:ascii="Times New Roman" w:eastAsia="Calibri" w:hAnsi="Times New Roman"/>
          <w:i/>
          <w:sz w:val="24"/>
          <w:szCs w:val="24"/>
        </w:rPr>
        <w:t>tvirtinimo medžiagos, priežiūra,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Visos Rangovo išlaidos, susijusios su Sutarties nuostatų laikymusi, turi būti įvertintos Veiklų sąraše paskirstant išlaidas darbų kainose;</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Visos kainos turi būti nurodomos dviejų skaičių po kablelio tikslumu.</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Veiklų sąraše visų darbų grupių kainas Rangovas turi nurodyti be pridėtinės vertės mokesčio (PVM). PVM nurodomas tik susumavus darbų kainas.</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 xml:space="preserve">Konkurso dalyviai atsako už visų pirkimo dokumentų išnagrinėjimą, įskaitant konkurso sąlygų paaiškinimus ir papildymus. </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Konkurso</w:t>
      </w:r>
      <w:r w:rsidRPr="0001309C">
        <w:rPr>
          <w:rFonts w:ascii="Times New Roman" w:eastAsia="Calibri" w:hAnsi="Times New Roman"/>
          <w:i/>
          <w:sz w:val="24"/>
          <w:szCs w:val="24"/>
        </w:rPr>
        <w:t xml:space="preserve"> dalyviai, teikdami pasiūlymą, privalo pateikti kainomis užpildytą bei tinkamai pasirašytą Veiklų sąrašą bei pridėti jo elektroninę laikmeną;</w:t>
      </w:r>
    </w:p>
    <w:p w:rsidR="0001309C" w:rsidRPr="00EB688B" w:rsidRDefault="0001309C" w:rsidP="00391714">
      <w:pPr>
        <w:numPr>
          <w:ilvl w:val="0"/>
          <w:numId w:val="2"/>
        </w:numPr>
        <w:spacing w:after="0" w:line="240" w:lineRule="auto"/>
        <w:jc w:val="both"/>
      </w:pPr>
      <w:r w:rsidRPr="00391714">
        <w:rPr>
          <w:rFonts w:ascii="Times New Roman" w:eastAsia="Calibri" w:hAnsi="Times New Roman"/>
          <w:i/>
          <w:sz w:val="24"/>
          <w:szCs w:val="24"/>
        </w:rPr>
        <w:t>Veiklų sąrašas turi būti pildomas atsižvelgiant į pirkimo dokumentus, Sutarties sąlygas</w:t>
      </w:r>
      <w:r w:rsidR="00EB688B">
        <w:rPr>
          <w:rFonts w:ascii="Times New Roman" w:eastAsia="Calibri" w:hAnsi="Times New Roman"/>
          <w:i/>
          <w:sz w:val="24"/>
          <w:szCs w:val="24"/>
        </w:rPr>
        <w:t>.</w:t>
      </w:r>
    </w:p>
    <w:p w:rsidR="00EB688B" w:rsidRPr="00ED041C" w:rsidRDefault="00EB688B" w:rsidP="00391714">
      <w:pPr>
        <w:numPr>
          <w:ilvl w:val="0"/>
          <w:numId w:val="2"/>
        </w:numPr>
        <w:spacing w:after="0" w:line="240" w:lineRule="auto"/>
        <w:jc w:val="both"/>
      </w:pPr>
      <w:r>
        <w:rPr>
          <w:rFonts w:ascii="Times New Roman" w:eastAsia="Calibri" w:hAnsi="Times New Roman"/>
          <w:i/>
          <w:sz w:val="24"/>
          <w:szCs w:val="24"/>
        </w:rPr>
        <w:t>Rangovas parengęs techninį darbo projektą ir gavęs statybą leidžiantį dokumentą pagal veiklų sąraše pateikt</w:t>
      </w:r>
      <w:r w:rsidR="001D0072">
        <w:rPr>
          <w:rFonts w:ascii="Times New Roman" w:eastAsia="Calibri" w:hAnsi="Times New Roman"/>
          <w:i/>
          <w:sz w:val="24"/>
          <w:szCs w:val="24"/>
        </w:rPr>
        <w:t>ą statybos</w:t>
      </w:r>
      <w:r>
        <w:rPr>
          <w:rFonts w:ascii="Times New Roman" w:eastAsia="Calibri" w:hAnsi="Times New Roman"/>
          <w:i/>
          <w:sz w:val="24"/>
          <w:szCs w:val="24"/>
        </w:rPr>
        <w:t xml:space="preserve"> kain</w:t>
      </w:r>
      <w:r w:rsidR="001D0072">
        <w:rPr>
          <w:rFonts w:ascii="Times New Roman" w:eastAsia="Calibri" w:hAnsi="Times New Roman"/>
          <w:i/>
          <w:sz w:val="24"/>
          <w:szCs w:val="24"/>
        </w:rPr>
        <w:t>ą</w:t>
      </w:r>
      <w:r>
        <w:rPr>
          <w:rFonts w:ascii="Times New Roman" w:eastAsia="Calibri" w:hAnsi="Times New Roman"/>
          <w:i/>
          <w:sz w:val="24"/>
          <w:szCs w:val="24"/>
        </w:rPr>
        <w:t xml:space="preserve"> Užsakovui pateikia lokalines </w:t>
      </w:r>
      <w:r w:rsidR="00CB5BF0">
        <w:rPr>
          <w:rFonts w:ascii="Times New Roman" w:eastAsia="Calibri" w:hAnsi="Times New Roman"/>
          <w:i/>
          <w:sz w:val="24"/>
          <w:szCs w:val="24"/>
        </w:rPr>
        <w:t xml:space="preserve">sąmatas </w:t>
      </w:r>
      <w:r w:rsidR="001D0072">
        <w:rPr>
          <w:rFonts w:ascii="Times New Roman" w:eastAsia="Calibri" w:hAnsi="Times New Roman"/>
          <w:i/>
          <w:sz w:val="24"/>
          <w:szCs w:val="24"/>
        </w:rPr>
        <w:t>statybos darbų atkavimui.</w:t>
      </w:r>
    </w:p>
    <w:sectPr w:rsidR="00EB688B" w:rsidRPr="00ED041C" w:rsidSect="001D0072">
      <w:pgSz w:w="23811" w:h="16838" w:orient="landscape" w:code="8"/>
      <w:pgMar w:top="851" w:right="426" w:bottom="70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6"/>
    <w:rsid w:val="0001261A"/>
    <w:rsid w:val="0001309C"/>
    <w:rsid w:val="000262C2"/>
    <w:rsid w:val="0003254D"/>
    <w:rsid w:val="00042282"/>
    <w:rsid w:val="000451FE"/>
    <w:rsid w:val="000641BC"/>
    <w:rsid w:val="00091280"/>
    <w:rsid w:val="000A12A8"/>
    <w:rsid w:val="000C0F97"/>
    <w:rsid w:val="000E23DD"/>
    <w:rsid w:val="00101676"/>
    <w:rsid w:val="001062FE"/>
    <w:rsid w:val="00111C64"/>
    <w:rsid w:val="001C5891"/>
    <w:rsid w:val="001D0072"/>
    <w:rsid w:val="001D0998"/>
    <w:rsid w:val="001F748B"/>
    <w:rsid w:val="00225154"/>
    <w:rsid w:val="00230370"/>
    <w:rsid w:val="00236778"/>
    <w:rsid w:val="002722FA"/>
    <w:rsid w:val="00272E6C"/>
    <w:rsid w:val="002C3459"/>
    <w:rsid w:val="002D34A1"/>
    <w:rsid w:val="002E357C"/>
    <w:rsid w:val="00302194"/>
    <w:rsid w:val="00303396"/>
    <w:rsid w:val="003055FA"/>
    <w:rsid w:val="003064DB"/>
    <w:rsid w:val="00311ACE"/>
    <w:rsid w:val="00313CE5"/>
    <w:rsid w:val="00313D16"/>
    <w:rsid w:val="003214DC"/>
    <w:rsid w:val="00335F45"/>
    <w:rsid w:val="00343B0F"/>
    <w:rsid w:val="00384FDC"/>
    <w:rsid w:val="00391714"/>
    <w:rsid w:val="003B1966"/>
    <w:rsid w:val="003D7223"/>
    <w:rsid w:val="003F6A77"/>
    <w:rsid w:val="00401F57"/>
    <w:rsid w:val="004259F7"/>
    <w:rsid w:val="00434A85"/>
    <w:rsid w:val="004412E1"/>
    <w:rsid w:val="004427D4"/>
    <w:rsid w:val="00454535"/>
    <w:rsid w:val="00465A4B"/>
    <w:rsid w:val="00477F27"/>
    <w:rsid w:val="004B4503"/>
    <w:rsid w:val="004C50CD"/>
    <w:rsid w:val="004E3C61"/>
    <w:rsid w:val="004F08E1"/>
    <w:rsid w:val="00531276"/>
    <w:rsid w:val="00536F04"/>
    <w:rsid w:val="00541F64"/>
    <w:rsid w:val="005520E2"/>
    <w:rsid w:val="00573437"/>
    <w:rsid w:val="00575CB2"/>
    <w:rsid w:val="005A2496"/>
    <w:rsid w:val="005E2C48"/>
    <w:rsid w:val="005F3FCF"/>
    <w:rsid w:val="00630406"/>
    <w:rsid w:val="00640814"/>
    <w:rsid w:val="00667BA4"/>
    <w:rsid w:val="0067483B"/>
    <w:rsid w:val="00680976"/>
    <w:rsid w:val="006978D5"/>
    <w:rsid w:val="006B3164"/>
    <w:rsid w:val="006C14CA"/>
    <w:rsid w:val="0070326F"/>
    <w:rsid w:val="0071043A"/>
    <w:rsid w:val="00730F38"/>
    <w:rsid w:val="00767CAF"/>
    <w:rsid w:val="00770A9C"/>
    <w:rsid w:val="00790DD1"/>
    <w:rsid w:val="007958C7"/>
    <w:rsid w:val="00797F6F"/>
    <w:rsid w:val="007B349C"/>
    <w:rsid w:val="007E21F4"/>
    <w:rsid w:val="00885D5A"/>
    <w:rsid w:val="008A2842"/>
    <w:rsid w:val="008E6B6F"/>
    <w:rsid w:val="009339BA"/>
    <w:rsid w:val="00947223"/>
    <w:rsid w:val="009A4A7E"/>
    <w:rsid w:val="009C606D"/>
    <w:rsid w:val="00A23EC2"/>
    <w:rsid w:val="00A24015"/>
    <w:rsid w:val="00A44C4C"/>
    <w:rsid w:val="00A47F80"/>
    <w:rsid w:val="00A827D5"/>
    <w:rsid w:val="00A86EE3"/>
    <w:rsid w:val="00AB2AC3"/>
    <w:rsid w:val="00AD2EFE"/>
    <w:rsid w:val="00AE6726"/>
    <w:rsid w:val="00B104D4"/>
    <w:rsid w:val="00B110D9"/>
    <w:rsid w:val="00B5222C"/>
    <w:rsid w:val="00B56583"/>
    <w:rsid w:val="00B62B07"/>
    <w:rsid w:val="00B91BDB"/>
    <w:rsid w:val="00BA04C4"/>
    <w:rsid w:val="00BD60F6"/>
    <w:rsid w:val="00BD63A4"/>
    <w:rsid w:val="00BE267A"/>
    <w:rsid w:val="00BF7DD1"/>
    <w:rsid w:val="00C20CCB"/>
    <w:rsid w:val="00C263C6"/>
    <w:rsid w:val="00C35085"/>
    <w:rsid w:val="00C54E76"/>
    <w:rsid w:val="00CB0AED"/>
    <w:rsid w:val="00CB5BF0"/>
    <w:rsid w:val="00CD1E28"/>
    <w:rsid w:val="00D75934"/>
    <w:rsid w:val="00DA0CBC"/>
    <w:rsid w:val="00DE623D"/>
    <w:rsid w:val="00E76863"/>
    <w:rsid w:val="00E83BDD"/>
    <w:rsid w:val="00E90EE0"/>
    <w:rsid w:val="00E976CF"/>
    <w:rsid w:val="00EB688B"/>
    <w:rsid w:val="00ED041C"/>
    <w:rsid w:val="00ED18F9"/>
    <w:rsid w:val="00F00AD1"/>
    <w:rsid w:val="00F45D46"/>
    <w:rsid w:val="00F75722"/>
    <w:rsid w:val="00F87694"/>
    <w:rsid w:val="00F879AB"/>
    <w:rsid w:val="00FA73CB"/>
    <w:rsid w:val="00FA7AD1"/>
    <w:rsid w:val="00FB1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F879AB"/>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 w:type="character" w:customStyle="1" w:styleId="Antrat4Diagrama">
    <w:name w:val="Antraštė 4 Diagrama"/>
    <w:basedOn w:val="Numatytasispastraiposriftas"/>
    <w:link w:val="Antrat4"/>
    <w:uiPriority w:val="9"/>
    <w:rsid w:val="00F879AB"/>
    <w:rPr>
      <w:rFonts w:ascii="Times New Roman" w:eastAsia="Times New Roman" w:hAnsi="Times New Roman" w:cs="Times New Roman"/>
      <w:b/>
      <w:bCs/>
      <w:sz w:val="24"/>
      <w:szCs w:val="24"/>
      <w:lang w:eastAsia="lt-LT"/>
    </w:rPr>
  </w:style>
  <w:style w:type="character" w:customStyle="1" w:styleId="llctekstas">
    <w:name w:val="llctekstas"/>
    <w:basedOn w:val="Numatytasispastraiposriftas"/>
    <w:rsid w:val="0045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CC00-A2E1-4F05-A36D-E83DE058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9836F64B</Template>
  <TotalTime>0</TotalTime>
  <Pages>1</Pages>
  <Words>1660</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Beržanskienė</cp:lastModifiedBy>
  <cp:revision>2</cp:revision>
  <cp:lastPrinted>2023-09-26T10:46:00Z</cp:lastPrinted>
  <dcterms:created xsi:type="dcterms:W3CDTF">2025-10-08T06:28:00Z</dcterms:created>
  <dcterms:modified xsi:type="dcterms:W3CDTF">2025-10-08T06:28:00Z</dcterms:modified>
</cp:coreProperties>
</file>