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28B589ED" w:rsidR="006660E8" w:rsidRPr="00C73C45" w:rsidRDefault="006660E8" w:rsidP="00F85422">
      <w:pPr>
        <w:pStyle w:val="HTMLiankstoformatuotas"/>
        <w:jc w:val="both"/>
        <w:rPr>
          <w:rFonts w:ascii="Arial" w:hAnsi="Arial" w:cs="Arial"/>
          <w:b/>
          <w:sz w:val="24"/>
          <w:szCs w:val="24"/>
        </w:rPr>
      </w:pPr>
      <w:bookmarkStart w:id="0" w:name="_Hlk60992695"/>
      <w:bookmarkStart w:id="1" w:name="_Hlk99969555"/>
      <w:r w:rsidRPr="00C73C45">
        <w:rPr>
          <w:rFonts w:ascii="Arial" w:hAnsi="Arial" w:cs="Arial"/>
          <w:b/>
          <w:sz w:val="24"/>
          <w:szCs w:val="24"/>
        </w:rPr>
        <w:t>Teikiame atsakym</w:t>
      </w:r>
      <w:r w:rsidR="00C73C45" w:rsidRPr="00C73C45">
        <w:rPr>
          <w:rFonts w:ascii="Arial" w:hAnsi="Arial" w:cs="Arial"/>
          <w:b/>
          <w:sz w:val="24"/>
          <w:szCs w:val="24"/>
        </w:rPr>
        <w:t>us</w:t>
      </w:r>
      <w:r w:rsidRPr="00C73C45">
        <w:rPr>
          <w:rFonts w:ascii="Arial" w:hAnsi="Arial" w:cs="Arial"/>
          <w:b/>
          <w:sz w:val="24"/>
          <w:szCs w:val="24"/>
        </w:rPr>
        <w:t xml:space="preserve"> į gaut</w:t>
      </w:r>
      <w:r w:rsidR="00C73C45" w:rsidRPr="00C73C45">
        <w:rPr>
          <w:rFonts w:ascii="Arial" w:hAnsi="Arial" w:cs="Arial"/>
          <w:b/>
          <w:sz w:val="24"/>
          <w:szCs w:val="24"/>
        </w:rPr>
        <w:t>us</w:t>
      </w:r>
      <w:r w:rsidRPr="00C73C45">
        <w:rPr>
          <w:rFonts w:ascii="Arial" w:hAnsi="Arial" w:cs="Arial"/>
          <w:b/>
          <w:sz w:val="24"/>
          <w:szCs w:val="24"/>
        </w:rPr>
        <w:t xml:space="preserve"> tiekėj</w:t>
      </w:r>
      <w:r w:rsidR="00850D26" w:rsidRPr="00C73C45">
        <w:rPr>
          <w:rFonts w:ascii="Arial" w:hAnsi="Arial" w:cs="Arial"/>
          <w:b/>
          <w:sz w:val="24"/>
          <w:szCs w:val="24"/>
        </w:rPr>
        <w:t>o</w:t>
      </w:r>
      <w:r w:rsidRPr="00C73C45">
        <w:rPr>
          <w:rFonts w:ascii="Arial" w:hAnsi="Arial" w:cs="Arial"/>
          <w:b/>
          <w:sz w:val="24"/>
          <w:szCs w:val="24"/>
        </w:rPr>
        <w:t xml:space="preserve"> klausim</w:t>
      </w:r>
      <w:r w:rsidR="00C73C45" w:rsidRPr="00C73C45">
        <w:rPr>
          <w:rFonts w:ascii="Arial" w:hAnsi="Arial" w:cs="Arial"/>
          <w:b/>
          <w:sz w:val="24"/>
          <w:szCs w:val="24"/>
        </w:rPr>
        <w:t>us</w:t>
      </w:r>
      <w:r w:rsidRPr="00C73C45">
        <w:rPr>
          <w:rFonts w:ascii="Arial" w:hAnsi="Arial" w:cs="Arial"/>
          <w:b/>
          <w:sz w:val="24"/>
          <w:szCs w:val="24"/>
        </w:rPr>
        <w:t>:</w:t>
      </w:r>
    </w:p>
    <w:p w14:paraId="57326DB1" w14:textId="0DB366D2" w:rsidR="006660E8" w:rsidRPr="00C73C45" w:rsidRDefault="006660E8" w:rsidP="007B096C">
      <w:pPr>
        <w:pStyle w:val="HTMLiankstoformatuotas"/>
        <w:jc w:val="both"/>
        <w:rPr>
          <w:rFonts w:ascii="Arial" w:hAnsi="Arial" w:cs="Arial"/>
          <w:b/>
          <w:sz w:val="24"/>
          <w:szCs w:val="24"/>
        </w:rPr>
      </w:pPr>
    </w:p>
    <w:bookmarkEnd w:id="0"/>
    <w:bookmarkEnd w:id="1"/>
    <w:p w14:paraId="00065CA3" w14:textId="77777777" w:rsidR="00145F8E" w:rsidRPr="00C73C45" w:rsidRDefault="00145F8E" w:rsidP="00145F8E">
      <w:pPr>
        <w:pStyle w:val="prastasiniatinklio"/>
        <w:shd w:val="clear" w:color="auto" w:fill="FFFFFF"/>
        <w:spacing w:line="276" w:lineRule="auto"/>
        <w:jc w:val="both"/>
        <w:rPr>
          <w:rFonts w:ascii="Arial" w:hAnsi="Arial" w:cs="Arial"/>
        </w:rPr>
      </w:pPr>
      <w:r w:rsidRPr="00C73C45">
        <w:rPr>
          <w:rFonts w:ascii="Arial" w:hAnsi="Arial" w:cs="Arial"/>
          <w:b/>
          <w:bCs/>
          <w:shd w:val="clear" w:color="auto" w:fill="FFFFFF"/>
        </w:rPr>
        <w:t xml:space="preserve">1. Klausimas: </w:t>
      </w:r>
      <w:r w:rsidRPr="00C73C45">
        <w:rPr>
          <w:rFonts w:ascii="Arial" w:hAnsi="Arial" w:cs="Arial"/>
        </w:rPr>
        <w:t>Pirkimo specialiųjų sąlygų 7 priede perteklinis punktas, kad tiekėjas pateiktų - Lietuvos Nacionalinio akreditacijos biuro išduotas galiojantis Akreditavimo pažymėjimas, patvirtinantis teikiamos paslaugos akreditaciją (matavimo priemonių metrologinės patikros), arba kiti galiojantys dokumentai, patvirtinantys tiekėjo teisę atlikti šilumos apskaitos prietaisų ir karšto vandens skaitiklių metrologinę patikrą. Pirkimo objektas - Šilumos apskaitos prietaisų metrologinės patikros ir remonto paslaugos - kodėl reikalaujamas dokumentas įrodantis tiekėjo teisę atlikti ir karšto vandens skaitiklių metrologinę patikrą?</w:t>
      </w:r>
    </w:p>
    <w:p w14:paraId="0F1C9370" w14:textId="77777777" w:rsidR="00145F8E" w:rsidRPr="00C73C45" w:rsidRDefault="00145F8E" w:rsidP="00145F8E">
      <w:pPr>
        <w:spacing w:line="276" w:lineRule="auto"/>
        <w:jc w:val="both"/>
        <w:rPr>
          <w:rFonts w:ascii="Arial" w:hAnsi="Arial" w:cs="Arial"/>
          <w:sz w:val="24"/>
          <w:szCs w:val="24"/>
        </w:rPr>
      </w:pPr>
      <w:r w:rsidRPr="00C73C45">
        <w:rPr>
          <w:rFonts w:ascii="Arial" w:hAnsi="Arial" w:cs="Arial"/>
          <w:b/>
          <w:bCs/>
          <w:sz w:val="24"/>
          <w:szCs w:val="24"/>
        </w:rPr>
        <w:t>Atsakymas:</w:t>
      </w:r>
      <w:r w:rsidRPr="00C73C45">
        <w:rPr>
          <w:rFonts w:ascii="Arial" w:hAnsi="Arial" w:cs="Arial"/>
          <w:sz w:val="24"/>
          <w:szCs w:val="24"/>
        </w:rPr>
        <w:t xml:space="preserve"> Atsižvelgdami į Jūsų nurodytą neatitikimą, tiksliname specialiųjų pirkimo sąlygų 7 priedo tiekėjų kvalifikacijos reikalavimus, išbraukiant reikalavimą karšto vandens skaitiklių metrologinei patikrai.</w:t>
      </w:r>
    </w:p>
    <w:p w14:paraId="5650E855" w14:textId="77777777" w:rsidR="00145F8E" w:rsidRPr="00C73C45" w:rsidRDefault="00145F8E" w:rsidP="00145F8E">
      <w:pPr>
        <w:spacing w:line="276" w:lineRule="auto"/>
        <w:jc w:val="both"/>
        <w:rPr>
          <w:rFonts w:ascii="Arial" w:hAnsi="Arial" w:cs="Arial"/>
          <w:sz w:val="24"/>
          <w:szCs w:val="24"/>
        </w:rPr>
      </w:pPr>
    </w:p>
    <w:p w14:paraId="78EDF8A9" w14:textId="77777777" w:rsidR="00145F8E" w:rsidRPr="00C73C45" w:rsidRDefault="00145F8E" w:rsidP="00145F8E">
      <w:pPr>
        <w:pStyle w:val="prastasiniatinklio"/>
        <w:shd w:val="clear" w:color="auto" w:fill="FFFFFF"/>
        <w:spacing w:line="276" w:lineRule="auto"/>
        <w:jc w:val="both"/>
        <w:rPr>
          <w:rFonts w:ascii="Arial" w:hAnsi="Arial" w:cs="Arial"/>
        </w:rPr>
      </w:pPr>
      <w:r w:rsidRPr="00C73C45">
        <w:rPr>
          <w:rFonts w:ascii="Arial" w:hAnsi="Arial" w:cs="Arial"/>
          <w:b/>
          <w:bCs/>
          <w:shd w:val="clear" w:color="auto" w:fill="FFFFFF"/>
        </w:rPr>
        <w:t xml:space="preserve">2. Klausimas: </w:t>
      </w:r>
      <w:r w:rsidRPr="00C73C45">
        <w:rPr>
          <w:rFonts w:ascii="Arial" w:hAnsi="Arial" w:cs="Arial"/>
        </w:rPr>
        <w:t>Techninėje specifikacijoje minima sąvoka ,,metrologijos centras” ir minima, kad konkrečiais atvejais turi būti išduodama būtent ,,metrologijos centro pažyma dėl matavimo priemonės neatitikties”. Tokią pažymą išduoda Kontrolės įstaigos, o ne ,,metrologijos centras”, kurio tokio kaip veikiančio juridinio asmens vieneto nebėra.</w:t>
      </w:r>
    </w:p>
    <w:p w14:paraId="5C6955B7" w14:textId="77777777" w:rsidR="00145F8E" w:rsidRPr="00C73C45" w:rsidRDefault="00145F8E" w:rsidP="00145F8E">
      <w:pPr>
        <w:spacing w:line="276" w:lineRule="auto"/>
        <w:jc w:val="both"/>
        <w:rPr>
          <w:rFonts w:ascii="Arial" w:hAnsi="Arial" w:cs="Arial"/>
          <w:color w:val="000000"/>
          <w:sz w:val="24"/>
          <w:szCs w:val="24"/>
        </w:rPr>
      </w:pPr>
      <w:r w:rsidRPr="00C73C45">
        <w:rPr>
          <w:rFonts w:ascii="Arial" w:hAnsi="Arial" w:cs="Arial"/>
          <w:b/>
          <w:bCs/>
          <w:sz w:val="24"/>
          <w:szCs w:val="24"/>
        </w:rPr>
        <w:t>Atsakymas:</w:t>
      </w:r>
      <w:r w:rsidRPr="00C73C45">
        <w:rPr>
          <w:rFonts w:ascii="Arial" w:hAnsi="Arial" w:cs="Arial"/>
          <w:sz w:val="24"/>
          <w:szCs w:val="24"/>
        </w:rPr>
        <w:t xml:space="preserve"> Atsižvelgdami į Jūsų nurodytą neatitikimą, tiksliname įkainių lentelės 75 punkte nurodytą paslaugų pavadinimą į „</w:t>
      </w:r>
      <w:r w:rsidRPr="00C73C45">
        <w:rPr>
          <w:rFonts w:ascii="Arial" w:hAnsi="Arial" w:cs="Arial"/>
          <w:color w:val="000000"/>
          <w:sz w:val="24"/>
          <w:szCs w:val="24"/>
        </w:rPr>
        <w:t>Matavimo priemonės neatitikties pažyma“.</w:t>
      </w:r>
    </w:p>
    <w:p w14:paraId="500A4417" w14:textId="77777777" w:rsidR="00145F8E" w:rsidRPr="00C73C45" w:rsidRDefault="00145F8E" w:rsidP="00145F8E">
      <w:pPr>
        <w:spacing w:line="276" w:lineRule="auto"/>
        <w:jc w:val="both"/>
        <w:rPr>
          <w:rFonts w:ascii="Arial" w:hAnsi="Arial" w:cs="Arial"/>
          <w:sz w:val="24"/>
          <w:szCs w:val="24"/>
        </w:rPr>
      </w:pPr>
      <w:r w:rsidRPr="00C73C45">
        <w:rPr>
          <w:rFonts w:ascii="Arial" w:hAnsi="Arial" w:cs="Arial"/>
          <w:color w:val="000000"/>
          <w:sz w:val="24"/>
          <w:szCs w:val="24"/>
        </w:rPr>
        <w:t>Keičiame Techninės specifikacijos 2.11 punktą, išdėstydami jį taip: „Patikros metu, nustačius prietaiso gedimą, remontas vykdomas tik su Paslaugos pirkėjų suderinus prietaiso defektinį aktą. Paslaugos pirkėjas sumoka Paslaugos teikėjui už remontą ir metrologinę patikrą pagal atliktų darbų aktą (priedas Nr. 2). Atliktų darbų aktas</w:t>
      </w:r>
      <w:r w:rsidRPr="00C73C45">
        <w:rPr>
          <w:rFonts w:ascii="Arial" w:hAnsi="Arial" w:cs="Arial"/>
          <w:sz w:val="24"/>
          <w:szCs w:val="24"/>
        </w:rPr>
        <w:t xml:space="preserve"> pasirašomas 2 (dviem) vienodą teisinę galią turinčiais egzemplioriais. </w:t>
      </w:r>
      <w:r w:rsidRPr="00C73C45">
        <w:rPr>
          <w:rFonts w:ascii="Arial" w:hAnsi="Arial" w:cs="Arial"/>
          <w:color w:val="000000"/>
          <w:sz w:val="24"/>
          <w:szCs w:val="24"/>
        </w:rPr>
        <w:t>Nustačius prietaisą netinkamu naudoti, prietaisas grąžinamas su akredituotos kontrolės įstaigos išduota matavimo priemonės neatitikties pažyma. Už pateiktą pažymą Paslaugos pirkėjas sumoka Paslaugos teikėjui“.</w:t>
      </w:r>
    </w:p>
    <w:p w14:paraId="34E314CD" w14:textId="77777777" w:rsidR="00145F8E" w:rsidRPr="00C73C45" w:rsidRDefault="00145F8E" w:rsidP="00145F8E">
      <w:pPr>
        <w:spacing w:line="276" w:lineRule="auto"/>
        <w:jc w:val="both"/>
        <w:rPr>
          <w:rFonts w:ascii="Arial" w:hAnsi="Arial" w:cs="Arial"/>
          <w:sz w:val="24"/>
          <w:szCs w:val="24"/>
        </w:rPr>
      </w:pPr>
    </w:p>
    <w:p w14:paraId="06A1CC46" w14:textId="77777777" w:rsidR="00145F8E" w:rsidRPr="00C73C45" w:rsidRDefault="00145F8E" w:rsidP="00145F8E">
      <w:pPr>
        <w:pStyle w:val="prastasiniatinklio"/>
        <w:shd w:val="clear" w:color="auto" w:fill="FFFFFF"/>
        <w:spacing w:line="276" w:lineRule="auto"/>
        <w:jc w:val="both"/>
        <w:rPr>
          <w:rFonts w:ascii="Arial" w:hAnsi="Arial" w:cs="Arial"/>
        </w:rPr>
      </w:pPr>
      <w:r w:rsidRPr="00C73C45">
        <w:rPr>
          <w:rFonts w:ascii="Arial" w:hAnsi="Arial" w:cs="Arial"/>
          <w:b/>
          <w:bCs/>
          <w:shd w:val="clear" w:color="auto" w:fill="FFFFFF"/>
        </w:rPr>
        <w:t xml:space="preserve">3. Klausimas: </w:t>
      </w:r>
      <w:r w:rsidRPr="00C73C45">
        <w:rPr>
          <w:rFonts w:ascii="Arial" w:hAnsi="Arial" w:cs="Arial"/>
        </w:rPr>
        <w:t>Metrologiškai patikrintiems prietaisams suteikiama 6 mėn. garantija. Metrologinė patikra – tai matavimo priemonės techninės būklės ir matavimo tikslumo įvertinimo procesas, kurio metu nustatoma, ar matavimo priemonė atitinka nustatytus metrologinius reikalavimus. Kokiu pagrindu reikalaujama suteikti garantiją patikrintiems (ne remontuotiems) prietaisams? Remonto metu pakeistoms naujoms šilumos apskaitos prietaisų pagrindinėms sudedamosioms dalims (skaičiuotuvams, debitomačiams, temperatūros jutikliams, baterijoms) suteikiama 12 mėn. garantija, kitiems atliktiems remonto darbams ir pakeistoms dalims suteikiama 6 mėn. garantija. Šio garantinio laikotarpio metu, atsiradusius šilumos apskaitos prietaisų defektus ar gedimus, Paslaugos teikėjas privalo pašalinti prietaiso įrengimo vietose savo sąskaita. Kaip būtų traktuojami atvejai, jei prietaisai sugestų dėl netinkamų jo eksploatavimo, netinkamų šildymo sistemų ar šilumos punkto priežiūros? Kaip būtų įrodoma, jog jie sugedo dėl Paslaugos tiekėjo kaltės?</w:t>
      </w:r>
    </w:p>
    <w:p w14:paraId="07BE2318" w14:textId="08265E11" w:rsidR="00CB7F5E" w:rsidRPr="00C73C45" w:rsidRDefault="00145F8E" w:rsidP="00145F8E">
      <w:pPr>
        <w:jc w:val="both"/>
        <w:rPr>
          <w:rFonts w:ascii="Arial" w:hAnsi="Arial" w:cs="Arial"/>
          <w:sz w:val="24"/>
          <w:szCs w:val="24"/>
        </w:rPr>
      </w:pPr>
      <w:r w:rsidRPr="00C73C45">
        <w:rPr>
          <w:rFonts w:ascii="Arial" w:hAnsi="Arial" w:cs="Arial"/>
          <w:b/>
          <w:bCs/>
          <w:sz w:val="24"/>
          <w:szCs w:val="24"/>
        </w:rPr>
        <w:t>Atsakymas:</w:t>
      </w:r>
      <w:r w:rsidRPr="00C73C45">
        <w:rPr>
          <w:rFonts w:ascii="Arial" w:hAnsi="Arial" w:cs="Arial"/>
          <w:sz w:val="24"/>
          <w:szCs w:val="24"/>
        </w:rPr>
        <w:t xml:space="preserve"> </w:t>
      </w:r>
      <w:bookmarkStart w:id="2" w:name="_Hlk210898875"/>
      <w:r w:rsidRPr="00C73C45">
        <w:rPr>
          <w:rFonts w:ascii="Arial" w:hAnsi="Arial" w:cs="Arial"/>
          <w:color w:val="000000"/>
          <w:sz w:val="24"/>
          <w:szCs w:val="24"/>
        </w:rPr>
        <w:t xml:space="preserve">Keičiame Techninės specifikacijos 2.13 punktą, išdėstydami jį taip: „Metrologiškai patikrintiems prietaisams paslaugos teikėjas prisiima atsakomybę, kad bent 6 mėnesius matavimo priemonės techninė būklė nepasikeis matavimo prietaisą eksploatuojant tinkamai. </w:t>
      </w:r>
      <w:r w:rsidRPr="00C73C45">
        <w:rPr>
          <w:rFonts w:ascii="Arial" w:hAnsi="Arial" w:cs="Arial"/>
          <w:color w:val="000000"/>
          <w:sz w:val="24"/>
          <w:szCs w:val="24"/>
        </w:rPr>
        <w:lastRenderedPageBreak/>
        <w:t>Prietaisui sugedus dėl netinkamo šildymo sistemos ar šilumos punkto priežiūros, skaitiklio garantinis laikotarpis netaikomas</w:t>
      </w:r>
      <w:r w:rsidRPr="00C73C45">
        <w:rPr>
          <w:rFonts w:ascii="Arial" w:hAnsi="Arial" w:cs="Arial"/>
          <w:color w:val="000000"/>
          <w:sz w:val="24"/>
          <w:szCs w:val="24"/>
          <w:lang w:val="en-GB"/>
        </w:rPr>
        <w:t>.</w:t>
      </w:r>
      <w:r w:rsidRPr="00C73C45">
        <w:rPr>
          <w:rFonts w:ascii="Arial" w:hAnsi="Arial" w:cs="Arial"/>
          <w:color w:val="000000"/>
          <w:sz w:val="24"/>
          <w:szCs w:val="24"/>
        </w:rPr>
        <w:t xml:space="preserve"> Remonto metu pakeistoms naujoms šilumos apskaitos prietaisų pagrindinėms sudedamosioms dalims (skaičiuotuvams, debitomačiams, temperatūros jutikliams, baterijoms) suteikiama 12 mėn. garantija, kitiems atliktiems remonto darbams ir pakeistoms dalims suteikiama 6 mėn. garantija. Šilumos apskaitos prietaiso pakeistoms pagrindinėms ir pakeistoms sudedamosioms dalims taikoma garantija, kai matavimo priemonės matavimas atliekamas neteisingai ir apie tai informacija gaunama iš prietaiso gedimo kodo. Šio garantinio laikotarpio metu, atsiradusius šilumos apskaitos prietaisų defektus ar gedimus, Paslaugos teikėjas privalo pašalinti prietaiso įrengimo vietose savo sąskaita“.</w:t>
      </w:r>
      <w:bookmarkEnd w:id="2"/>
    </w:p>
    <w:p w14:paraId="32425731" w14:textId="77777777" w:rsidR="00C94633" w:rsidRDefault="00C94633" w:rsidP="00503065">
      <w:pPr>
        <w:jc w:val="both"/>
        <w:rPr>
          <w:rFonts w:ascii="Arial" w:hAnsi="Arial" w:cs="Arial"/>
          <w:sz w:val="24"/>
          <w:szCs w:val="24"/>
        </w:rPr>
      </w:pPr>
    </w:p>
    <w:p w14:paraId="26ECDDAC" w14:textId="447B33CB" w:rsidR="005F61B2" w:rsidRDefault="00BC2ABE" w:rsidP="00503065">
      <w:pPr>
        <w:jc w:val="both"/>
        <w:rPr>
          <w:rFonts w:ascii="Arial" w:hAnsi="Arial" w:cs="Arial"/>
          <w:sz w:val="24"/>
          <w:szCs w:val="24"/>
        </w:rPr>
      </w:pPr>
      <w:r>
        <w:rPr>
          <w:rFonts w:ascii="Arial" w:hAnsi="Arial" w:cs="Arial"/>
          <w:sz w:val="24"/>
          <w:szCs w:val="24"/>
        </w:rPr>
        <w:t>Pateikiame patikslintus dokumentus.</w:t>
      </w:r>
    </w:p>
    <w:p w14:paraId="2D2DA026" w14:textId="77777777" w:rsidR="00BC2ABE" w:rsidRPr="00C73C45" w:rsidRDefault="00BC2ABE" w:rsidP="00503065">
      <w:pPr>
        <w:jc w:val="both"/>
        <w:rPr>
          <w:rFonts w:ascii="Arial" w:hAnsi="Arial" w:cs="Arial"/>
          <w:sz w:val="24"/>
          <w:szCs w:val="24"/>
        </w:rPr>
      </w:pPr>
    </w:p>
    <w:p w14:paraId="6A93994E" w14:textId="1A54E043" w:rsidR="00C94633" w:rsidRPr="00C418DD" w:rsidRDefault="00C94633" w:rsidP="00C94633">
      <w:pPr>
        <w:pStyle w:val="HTMLiankstoformatuotas"/>
        <w:jc w:val="both"/>
        <w:rPr>
          <w:rFonts w:ascii="Arial" w:hAnsi="Arial" w:cs="Arial"/>
          <w:b/>
          <w:sz w:val="24"/>
          <w:szCs w:val="24"/>
        </w:rPr>
      </w:pPr>
      <w:r w:rsidRPr="00C73C45">
        <w:rPr>
          <w:rFonts w:ascii="Arial" w:hAnsi="Arial" w:cs="Arial"/>
          <w:b/>
          <w:sz w:val="24"/>
          <w:szCs w:val="24"/>
        </w:rPr>
        <w:t>Informuojame</w:t>
      </w:r>
      <w:r w:rsidRPr="00C418DD">
        <w:rPr>
          <w:rFonts w:ascii="Arial" w:hAnsi="Arial" w:cs="Arial"/>
          <w:b/>
          <w:sz w:val="24"/>
          <w:szCs w:val="24"/>
        </w:rPr>
        <w:t xml:space="preserve">, </w:t>
      </w:r>
      <w:r w:rsidR="00F83074" w:rsidRPr="00C418DD">
        <w:rPr>
          <w:rFonts w:ascii="Arial" w:hAnsi="Arial" w:cs="Arial"/>
          <w:b/>
          <w:sz w:val="24"/>
          <w:szCs w:val="24"/>
        </w:rPr>
        <w:t>jog įvertinus</w:t>
      </w:r>
      <w:r w:rsidR="00AE37BB" w:rsidRPr="00C418DD">
        <w:rPr>
          <w:rFonts w:ascii="Arial" w:hAnsi="Arial" w:cs="Arial"/>
          <w:b/>
          <w:sz w:val="24"/>
          <w:szCs w:val="24"/>
        </w:rPr>
        <w:t xml:space="preserve"> aplinkyb</w:t>
      </w:r>
      <w:r w:rsidR="00F316AF">
        <w:rPr>
          <w:rFonts w:ascii="Arial" w:hAnsi="Arial" w:cs="Arial"/>
          <w:b/>
          <w:sz w:val="24"/>
          <w:szCs w:val="24"/>
        </w:rPr>
        <w:t>es</w:t>
      </w:r>
      <w:r w:rsidR="00AE37BB" w:rsidRPr="00C418DD">
        <w:rPr>
          <w:rFonts w:ascii="Arial" w:hAnsi="Arial" w:cs="Arial"/>
          <w:b/>
          <w:sz w:val="24"/>
          <w:szCs w:val="24"/>
        </w:rPr>
        <w:t>, kad pirkimo procedūros vykdymo metu buvo tikslinami tiekėjų kvalifikacijos, techninės specifikacijos reikalavimai ir pasiūlymo formos priede įkainio pavadinimo formuluotė bei siekiant, kad tiekėjai laiku susipažintų su paskelbtais atsakymais į klausimus ir patikslintais dokumentais, tiekėjų pasiūlymų pateikimo termin</w:t>
      </w:r>
      <w:r w:rsidR="00C418DD" w:rsidRPr="00C418DD">
        <w:rPr>
          <w:rFonts w:ascii="Arial" w:hAnsi="Arial" w:cs="Arial"/>
          <w:b/>
          <w:sz w:val="24"/>
          <w:szCs w:val="24"/>
        </w:rPr>
        <w:t>as buvo</w:t>
      </w:r>
      <w:r w:rsidR="00AE37BB" w:rsidRPr="00C418DD">
        <w:rPr>
          <w:rFonts w:ascii="Arial" w:hAnsi="Arial" w:cs="Arial"/>
          <w:b/>
          <w:sz w:val="24"/>
          <w:szCs w:val="24"/>
        </w:rPr>
        <w:t xml:space="preserve"> nukelt</w:t>
      </w:r>
      <w:r w:rsidR="00C418DD" w:rsidRPr="00C418DD">
        <w:rPr>
          <w:rFonts w:ascii="Arial" w:hAnsi="Arial" w:cs="Arial"/>
          <w:b/>
          <w:sz w:val="24"/>
          <w:szCs w:val="24"/>
        </w:rPr>
        <w:t>as</w:t>
      </w:r>
      <w:r w:rsidR="00AE37BB" w:rsidRPr="00C418DD">
        <w:rPr>
          <w:rFonts w:ascii="Arial" w:hAnsi="Arial" w:cs="Arial"/>
          <w:b/>
          <w:sz w:val="24"/>
          <w:szCs w:val="24"/>
        </w:rPr>
        <w:t xml:space="preserve"> iki 2025-10-21 12.00 val</w:t>
      </w:r>
      <w:r w:rsidRPr="00C418DD">
        <w:rPr>
          <w:rFonts w:ascii="Arial" w:hAnsi="Arial" w:cs="Arial"/>
          <w:b/>
          <w:sz w:val="24"/>
          <w:szCs w:val="24"/>
        </w:rPr>
        <w:t xml:space="preserve">. </w:t>
      </w:r>
    </w:p>
    <w:p w14:paraId="48AB316A" w14:textId="2C2F70FE" w:rsidR="00C94633" w:rsidRPr="00C73C45" w:rsidRDefault="00C94633" w:rsidP="00C94633">
      <w:pPr>
        <w:jc w:val="both"/>
        <w:rPr>
          <w:rFonts w:ascii="Arial" w:hAnsi="Arial" w:cs="Arial"/>
          <w:sz w:val="24"/>
          <w:szCs w:val="24"/>
        </w:rPr>
      </w:pPr>
      <w:r w:rsidRPr="00C73C45">
        <w:rPr>
          <w:rFonts w:ascii="Arial" w:hAnsi="Arial" w:cs="Arial"/>
          <w:b/>
          <w:sz w:val="24"/>
          <w:szCs w:val="24"/>
        </w:rPr>
        <w:t>CVPIS paskelbtas Skelbimas apie pakeitimus.</w:t>
      </w:r>
    </w:p>
    <w:sectPr w:rsidR="00C94633" w:rsidRPr="00C73C45" w:rsidSect="00CB7F5E">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15B83"/>
    <w:rsid w:val="000206A1"/>
    <w:rsid w:val="0003223D"/>
    <w:rsid w:val="00041710"/>
    <w:rsid w:val="00041D2F"/>
    <w:rsid w:val="0004368B"/>
    <w:rsid w:val="000454BE"/>
    <w:rsid w:val="00057361"/>
    <w:rsid w:val="00070787"/>
    <w:rsid w:val="00074A16"/>
    <w:rsid w:val="00082F4A"/>
    <w:rsid w:val="0008439C"/>
    <w:rsid w:val="00086266"/>
    <w:rsid w:val="000A06C5"/>
    <w:rsid w:val="000A4633"/>
    <w:rsid w:val="000A53CD"/>
    <w:rsid w:val="000B145A"/>
    <w:rsid w:val="000C3EFA"/>
    <w:rsid w:val="000D78D0"/>
    <w:rsid w:val="000E17F1"/>
    <w:rsid w:val="000E2EEF"/>
    <w:rsid w:val="00105E6B"/>
    <w:rsid w:val="00111432"/>
    <w:rsid w:val="0013484D"/>
    <w:rsid w:val="00134E0E"/>
    <w:rsid w:val="001359D2"/>
    <w:rsid w:val="00145F8E"/>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39E1"/>
    <w:rsid w:val="00260847"/>
    <w:rsid w:val="002645E4"/>
    <w:rsid w:val="0027367C"/>
    <w:rsid w:val="00276BEB"/>
    <w:rsid w:val="00277A66"/>
    <w:rsid w:val="00277BC4"/>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6828"/>
    <w:rsid w:val="003679B7"/>
    <w:rsid w:val="00375AB5"/>
    <w:rsid w:val="00380CA6"/>
    <w:rsid w:val="00384B53"/>
    <w:rsid w:val="003A0D52"/>
    <w:rsid w:val="003A4C0E"/>
    <w:rsid w:val="003B5327"/>
    <w:rsid w:val="003B6BC8"/>
    <w:rsid w:val="003C7E73"/>
    <w:rsid w:val="003D124A"/>
    <w:rsid w:val="003D1F92"/>
    <w:rsid w:val="003E0516"/>
    <w:rsid w:val="003E638C"/>
    <w:rsid w:val="00415BE6"/>
    <w:rsid w:val="00447EF2"/>
    <w:rsid w:val="0045158D"/>
    <w:rsid w:val="0047356B"/>
    <w:rsid w:val="0047522F"/>
    <w:rsid w:val="00492443"/>
    <w:rsid w:val="004979BE"/>
    <w:rsid w:val="004A0319"/>
    <w:rsid w:val="004A0C86"/>
    <w:rsid w:val="004A175B"/>
    <w:rsid w:val="004A5E32"/>
    <w:rsid w:val="004B0AD8"/>
    <w:rsid w:val="004D057B"/>
    <w:rsid w:val="004D20EA"/>
    <w:rsid w:val="004E5513"/>
    <w:rsid w:val="004F26E0"/>
    <w:rsid w:val="004F2A42"/>
    <w:rsid w:val="00503065"/>
    <w:rsid w:val="0050541B"/>
    <w:rsid w:val="00517750"/>
    <w:rsid w:val="00535DFF"/>
    <w:rsid w:val="005452B6"/>
    <w:rsid w:val="00550060"/>
    <w:rsid w:val="0055140C"/>
    <w:rsid w:val="005524D7"/>
    <w:rsid w:val="005650EA"/>
    <w:rsid w:val="00565E48"/>
    <w:rsid w:val="005667A6"/>
    <w:rsid w:val="005809BC"/>
    <w:rsid w:val="00580BDB"/>
    <w:rsid w:val="005843C1"/>
    <w:rsid w:val="0059286F"/>
    <w:rsid w:val="0059568F"/>
    <w:rsid w:val="00597784"/>
    <w:rsid w:val="005A4E20"/>
    <w:rsid w:val="005D5FED"/>
    <w:rsid w:val="005E7914"/>
    <w:rsid w:val="005F61B2"/>
    <w:rsid w:val="00607651"/>
    <w:rsid w:val="00613400"/>
    <w:rsid w:val="00613413"/>
    <w:rsid w:val="006162F3"/>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291"/>
    <w:rsid w:val="007677E8"/>
    <w:rsid w:val="0077759A"/>
    <w:rsid w:val="007A2B40"/>
    <w:rsid w:val="007B096C"/>
    <w:rsid w:val="007B441B"/>
    <w:rsid w:val="007D51DC"/>
    <w:rsid w:val="007D54A0"/>
    <w:rsid w:val="007F694D"/>
    <w:rsid w:val="0081135E"/>
    <w:rsid w:val="008234AB"/>
    <w:rsid w:val="00824317"/>
    <w:rsid w:val="008323A9"/>
    <w:rsid w:val="00850D26"/>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27E72"/>
    <w:rsid w:val="00932A31"/>
    <w:rsid w:val="009364C9"/>
    <w:rsid w:val="00960B12"/>
    <w:rsid w:val="00964411"/>
    <w:rsid w:val="00965DFF"/>
    <w:rsid w:val="00971704"/>
    <w:rsid w:val="009A6BA0"/>
    <w:rsid w:val="009D4256"/>
    <w:rsid w:val="009D6C50"/>
    <w:rsid w:val="009F374F"/>
    <w:rsid w:val="009F4831"/>
    <w:rsid w:val="009F557C"/>
    <w:rsid w:val="00A44AAC"/>
    <w:rsid w:val="00A5609C"/>
    <w:rsid w:val="00A64644"/>
    <w:rsid w:val="00A932BB"/>
    <w:rsid w:val="00AA1017"/>
    <w:rsid w:val="00AA351B"/>
    <w:rsid w:val="00AA73EC"/>
    <w:rsid w:val="00AC23B3"/>
    <w:rsid w:val="00AD635A"/>
    <w:rsid w:val="00AE37BB"/>
    <w:rsid w:val="00B05061"/>
    <w:rsid w:val="00B13EE8"/>
    <w:rsid w:val="00B22870"/>
    <w:rsid w:val="00B5463E"/>
    <w:rsid w:val="00B5509D"/>
    <w:rsid w:val="00B73038"/>
    <w:rsid w:val="00B90620"/>
    <w:rsid w:val="00B955BB"/>
    <w:rsid w:val="00B95BE9"/>
    <w:rsid w:val="00BB51F7"/>
    <w:rsid w:val="00BC259A"/>
    <w:rsid w:val="00BC2ABE"/>
    <w:rsid w:val="00BC45AE"/>
    <w:rsid w:val="00BC4A74"/>
    <w:rsid w:val="00BD6466"/>
    <w:rsid w:val="00BE0B4A"/>
    <w:rsid w:val="00BE32E5"/>
    <w:rsid w:val="00BE5434"/>
    <w:rsid w:val="00C0172D"/>
    <w:rsid w:val="00C160E2"/>
    <w:rsid w:val="00C1725A"/>
    <w:rsid w:val="00C31509"/>
    <w:rsid w:val="00C418DD"/>
    <w:rsid w:val="00C54350"/>
    <w:rsid w:val="00C54DEC"/>
    <w:rsid w:val="00C66D8D"/>
    <w:rsid w:val="00C7350F"/>
    <w:rsid w:val="00C73AB6"/>
    <w:rsid w:val="00C73C45"/>
    <w:rsid w:val="00C76ABA"/>
    <w:rsid w:val="00C906B8"/>
    <w:rsid w:val="00C93EB1"/>
    <w:rsid w:val="00C93F90"/>
    <w:rsid w:val="00C94633"/>
    <w:rsid w:val="00C947CE"/>
    <w:rsid w:val="00C96DFB"/>
    <w:rsid w:val="00CA08AB"/>
    <w:rsid w:val="00CB7F5E"/>
    <w:rsid w:val="00CC2559"/>
    <w:rsid w:val="00CC619D"/>
    <w:rsid w:val="00CD1AA5"/>
    <w:rsid w:val="00CD53CF"/>
    <w:rsid w:val="00CF6506"/>
    <w:rsid w:val="00D03330"/>
    <w:rsid w:val="00D07FBD"/>
    <w:rsid w:val="00D10A9B"/>
    <w:rsid w:val="00D147DC"/>
    <w:rsid w:val="00D14E7A"/>
    <w:rsid w:val="00D32461"/>
    <w:rsid w:val="00D47047"/>
    <w:rsid w:val="00D51409"/>
    <w:rsid w:val="00D75F49"/>
    <w:rsid w:val="00D8249A"/>
    <w:rsid w:val="00D915CC"/>
    <w:rsid w:val="00D91C2D"/>
    <w:rsid w:val="00DA34AB"/>
    <w:rsid w:val="00DA59A2"/>
    <w:rsid w:val="00DB2F36"/>
    <w:rsid w:val="00DB53B7"/>
    <w:rsid w:val="00DB5D50"/>
    <w:rsid w:val="00DC3C2A"/>
    <w:rsid w:val="00DD19C0"/>
    <w:rsid w:val="00DD47D1"/>
    <w:rsid w:val="00DD4BE5"/>
    <w:rsid w:val="00DE152C"/>
    <w:rsid w:val="00DE406C"/>
    <w:rsid w:val="00DE73EB"/>
    <w:rsid w:val="00E10853"/>
    <w:rsid w:val="00E122D0"/>
    <w:rsid w:val="00E13E37"/>
    <w:rsid w:val="00E2003A"/>
    <w:rsid w:val="00E254EB"/>
    <w:rsid w:val="00E323F9"/>
    <w:rsid w:val="00E32508"/>
    <w:rsid w:val="00E34B92"/>
    <w:rsid w:val="00E47AEB"/>
    <w:rsid w:val="00E50518"/>
    <w:rsid w:val="00E51608"/>
    <w:rsid w:val="00E516E3"/>
    <w:rsid w:val="00E567EC"/>
    <w:rsid w:val="00E660E9"/>
    <w:rsid w:val="00E705B3"/>
    <w:rsid w:val="00E72D8A"/>
    <w:rsid w:val="00E75272"/>
    <w:rsid w:val="00E81ED9"/>
    <w:rsid w:val="00E821C6"/>
    <w:rsid w:val="00E8511D"/>
    <w:rsid w:val="00E96D4F"/>
    <w:rsid w:val="00EA6135"/>
    <w:rsid w:val="00EC3EFF"/>
    <w:rsid w:val="00ED0C19"/>
    <w:rsid w:val="00EE2690"/>
    <w:rsid w:val="00EF33F4"/>
    <w:rsid w:val="00F22D92"/>
    <w:rsid w:val="00F25387"/>
    <w:rsid w:val="00F316AF"/>
    <w:rsid w:val="00F3249E"/>
    <w:rsid w:val="00F329DD"/>
    <w:rsid w:val="00F338D4"/>
    <w:rsid w:val="00F655E1"/>
    <w:rsid w:val="00F718A6"/>
    <w:rsid w:val="00F83074"/>
    <w:rsid w:val="00F85422"/>
    <w:rsid w:val="00F86637"/>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4629</TotalTime>
  <Pages>2</Pages>
  <Words>2924</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103</cp:revision>
  <dcterms:created xsi:type="dcterms:W3CDTF">2020-04-22T05:19:00Z</dcterms:created>
  <dcterms:modified xsi:type="dcterms:W3CDTF">2025-10-10T06:47:00Z</dcterms:modified>
</cp:coreProperties>
</file>