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361E" w14:textId="6D2FF14B" w:rsidR="00067135" w:rsidRPr="001B4C3C" w:rsidRDefault="00BF0D31" w:rsidP="0086270E">
      <w:pPr>
        <w:pStyle w:val="Caption"/>
        <w:spacing w:before="0"/>
        <w:rPr>
          <w:rFonts w:asciiTheme="minorHAnsi" w:hAnsiTheme="minorHAnsi" w:cstheme="minorHAnsi"/>
          <w:sz w:val="22"/>
          <w:szCs w:val="22"/>
        </w:rPr>
      </w:pPr>
      <w:r w:rsidRPr="001B4C3C">
        <w:rPr>
          <w:rFonts w:asciiTheme="minorHAnsi" w:hAnsiTheme="minorHAnsi" w:cstheme="minorHAnsi"/>
          <w:noProof/>
          <w:sz w:val="22"/>
          <w:szCs w:val="22"/>
        </w:rPr>
        <w:drawing>
          <wp:inline distT="0" distB="0" distL="0" distR="0" wp14:anchorId="1773E528" wp14:editId="5D10EBB9">
            <wp:extent cx="830580" cy="54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541020"/>
                    </a:xfrm>
                    <a:prstGeom prst="rect">
                      <a:avLst/>
                    </a:prstGeom>
                    <a:noFill/>
                    <a:ln>
                      <a:noFill/>
                    </a:ln>
                  </pic:spPr>
                </pic:pic>
              </a:graphicData>
            </a:graphic>
          </wp:inline>
        </w:drawing>
      </w:r>
    </w:p>
    <w:p w14:paraId="0818F88A" w14:textId="0FF9D28E" w:rsidR="003D7C58" w:rsidRPr="001B4C3C" w:rsidRDefault="00752CBA" w:rsidP="00235BD6">
      <w:pPr>
        <w:pStyle w:val="Caption"/>
        <w:rPr>
          <w:rFonts w:asciiTheme="minorHAnsi" w:hAnsiTheme="minorHAnsi" w:cstheme="minorHAnsi"/>
          <w:color w:val="404040"/>
          <w:sz w:val="22"/>
          <w:szCs w:val="22"/>
        </w:rPr>
      </w:pPr>
      <w:r w:rsidRPr="001B4C3C">
        <w:rPr>
          <w:rFonts w:asciiTheme="minorHAnsi" w:hAnsiTheme="minorHAnsi" w:cstheme="minorHAnsi"/>
          <w:color w:val="404040"/>
          <w:sz w:val="22"/>
          <w:szCs w:val="22"/>
        </w:rPr>
        <w:t>AKCINĖ BENDROV</w:t>
      </w:r>
      <w:r w:rsidR="00CF3606" w:rsidRPr="001B4C3C">
        <w:rPr>
          <w:rFonts w:asciiTheme="minorHAnsi" w:hAnsiTheme="minorHAnsi" w:cstheme="minorHAnsi"/>
          <w:color w:val="404040"/>
          <w:sz w:val="22"/>
          <w:szCs w:val="22"/>
        </w:rPr>
        <w:t xml:space="preserve">Ė </w:t>
      </w:r>
      <w:r w:rsidR="003D7C58" w:rsidRPr="001B4C3C">
        <w:rPr>
          <w:rFonts w:asciiTheme="minorHAnsi" w:hAnsiTheme="minorHAnsi" w:cstheme="minorHAnsi"/>
          <w:color w:val="404040"/>
          <w:sz w:val="22"/>
          <w:szCs w:val="22"/>
        </w:rPr>
        <w:t>„ORO NAVIGACIJA“</w:t>
      </w:r>
    </w:p>
    <w:p w14:paraId="3E34BDA5" w14:textId="77777777" w:rsidR="003D7C58" w:rsidRPr="001B4C3C" w:rsidRDefault="003D7C58" w:rsidP="00235BD6">
      <w:pPr>
        <w:jc w:val="center"/>
        <w:rPr>
          <w:rFonts w:asciiTheme="minorHAnsi" w:hAnsiTheme="minorHAnsi" w:cstheme="minorHAnsi"/>
          <w:sz w:val="22"/>
          <w:szCs w:val="22"/>
        </w:rPr>
      </w:pPr>
    </w:p>
    <w:p w14:paraId="085C3A29" w14:textId="77777777" w:rsidR="009647D8" w:rsidRPr="001B4C3C" w:rsidRDefault="009647D8" w:rsidP="00235BD6">
      <w:pPr>
        <w:jc w:val="center"/>
        <w:rPr>
          <w:rFonts w:asciiTheme="minorHAnsi" w:hAnsiTheme="minorHAnsi" w:cstheme="minorHAnsi"/>
          <w:sz w:val="22"/>
          <w:szCs w:val="22"/>
        </w:rPr>
      </w:pPr>
    </w:p>
    <w:p w14:paraId="552FFADB" w14:textId="48708D0A" w:rsidR="00E9459C" w:rsidRPr="001B4C3C" w:rsidRDefault="00793887" w:rsidP="00E9459C">
      <w:pPr>
        <w:rPr>
          <w:rFonts w:asciiTheme="minorHAnsi" w:hAnsiTheme="minorHAnsi" w:cstheme="minorHAnsi"/>
          <w:sz w:val="22"/>
          <w:szCs w:val="22"/>
          <w:lang w:val="en-GB"/>
        </w:rPr>
      </w:pPr>
      <w:r w:rsidRPr="001B4C3C">
        <w:rPr>
          <w:rFonts w:asciiTheme="minorHAnsi" w:hAnsiTheme="minorHAnsi" w:cstheme="minorHAnsi"/>
          <w:sz w:val="22"/>
          <w:szCs w:val="22"/>
          <w:lang w:val="en-GB"/>
        </w:rPr>
        <w:t xml:space="preserve">To whom it may concern                                                                          </w:t>
      </w:r>
      <w:r w:rsidR="005C17D1" w:rsidRPr="001B4C3C">
        <w:rPr>
          <w:rFonts w:asciiTheme="minorHAnsi" w:hAnsiTheme="minorHAnsi" w:cstheme="minorHAnsi"/>
          <w:sz w:val="22"/>
          <w:szCs w:val="22"/>
          <w:lang w:val="en-GB"/>
        </w:rPr>
        <w:t xml:space="preserve">        </w:t>
      </w:r>
      <w:r w:rsidR="003D3DDD" w:rsidRPr="001B4C3C">
        <w:rPr>
          <w:rFonts w:asciiTheme="minorHAnsi" w:hAnsiTheme="minorHAnsi" w:cstheme="minorHAnsi"/>
          <w:sz w:val="22"/>
          <w:szCs w:val="22"/>
          <w:lang w:val="en-GB"/>
        </w:rPr>
        <w:t xml:space="preserve">                               </w:t>
      </w:r>
      <w:r w:rsidR="0080735D" w:rsidRPr="001B4C3C">
        <w:rPr>
          <w:rFonts w:asciiTheme="minorHAnsi" w:hAnsiTheme="minorHAnsi" w:cstheme="minorHAnsi"/>
          <w:sz w:val="22"/>
          <w:szCs w:val="22"/>
          <w:lang w:val="en-GB"/>
        </w:rPr>
        <w:t xml:space="preserve">   </w:t>
      </w:r>
      <w:r w:rsidR="008A785B" w:rsidRPr="001B4C3C">
        <w:rPr>
          <w:rFonts w:asciiTheme="minorHAnsi" w:hAnsiTheme="minorHAnsi" w:cstheme="minorHAnsi"/>
          <w:sz w:val="22"/>
          <w:szCs w:val="22"/>
          <w:lang w:val="en-GB"/>
        </w:rPr>
        <w:t xml:space="preserve">   </w:t>
      </w:r>
      <w:r w:rsidR="001B4C3C" w:rsidRPr="001B4C3C">
        <w:rPr>
          <w:rFonts w:asciiTheme="minorHAnsi" w:hAnsiTheme="minorHAnsi" w:cstheme="minorHAnsi"/>
          <w:sz w:val="22"/>
          <w:szCs w:val="22"/>
          <w:lang w:val="en-US"/>
        </w:rPr>
        <w:t>10</w:t>
      </w:r>
      <w:r w:rsidR="003D3DDD" w:rsidRPr="001B4C3C">
        <w:rPr>
          <w:rFonts w:asciiTheme="minorHAnsi" w:hAnsiTheme="minorHAnsi" w:cstheme="minorHAnsi"/>
          <w:sz w:val="22"/>
          <w:szCs w:val="22"/>
          <w:lang w:val="en-GB"/>
        </w:rPr>
        <w:t xml:space="preserve"> </w:t>
      </w:r>
      <w:r w:rsidR="001B4C3C" w:rsidRPr="001B4C3C">
        <w:rPr>
          <w:rFonts w:asciiTheme="minorHAnsi" w:hAnsiTheme="minorHAnsi" w:cstheme="minorHAnsi"/>
          <w:sz w:val="22"/>
          <w:szCs w:val="22"/>
          <w:lang w:val="en-GB"/>
        </w:rPr>
        <w:t>October</w:t>
      </w:r>
      <w:r w:rsidR="005C17D1" w:rsidRPr="001B4C3C">
        <w:rPr>
          <w:rFonts w:asciiTheme="minorHAnsi" w:hAnsiTheme="minorHAnsi" w:cstheme="minorHAnsi"/>
          <w:sz w:val="22"/>
          <w:szCs w:val="22"/>
          <w:lang w:val="en-GB"/>
        </w:rPr>
        <w:t xml:space="preserve"> 202</w:t>
      </w:r>
      <w:r w:rsidR="008A785B" w:rsidRPr="001B4C3C">
        <w:rPr>
          <w:rFonts w:asciiTheme="minorHAnsi" w:hAnsiTheme="minorHAnsi" w:cstheme="minorHAnsi"/>
          <w:sz w:val="22"/>
          <w:szCs w:val="22"/>
          <w:lang w:val="en-GB"/>
        </w:rPr>
        <w:t>5</w:t>
      </w:r>
    </w:p>
    <w:p w14:paraId="2CB773BC" w14:textId="77777777" w:rsidR="00BA7F78" w:rsidRPr="001B4C3C" w:rsidRDefault="00BA7F78" w:rsidP="00BA7F78">
      <w:pPr>
        <w:ind w:left="7370"/>
        <w:rPr>
          <w:rFonts w:asciiTheme="minorHAnsi" w:hAnsiTheme="minorHAnsi" w:cstheme="minorHAnsi"/>
          <w:sz w:val="22"/>
          <w:szCs w:val="22"/>
          <w:lang w:val="en-GB"/>
        </w:rPr>
      </w:pPr>
    </w:p>
    <w:p w14:paraId="14DFB46A" w14:textId="77777777" w:rsidR="00793887" w:rsidRPr="001B4C3C" w:rsidRDefault="00793887" w:rsidP="00793887">
      <w:pPr>
        <w:rPr>
          <w:rFonts w:asciiTheme="minorHAnsi" w:hAnsiTheme="minorHAnsi" w:cstheme="minorHAnsi"/>
          <w:sz w:val="22"/>
          <w:szCs w:val="22"/>
          <w:lang w:val="en-GB"/>
        </w:rPr>
      </w:pPr>
      <w:r w:rsidRPr="001B4C3C">
        <w:rPr>
          <w:rFonts w:asciiTheme="minorHAnsi" w:hAnsiTheme="minorHAnsi" w:cstheme="minorHAnsi"/>
          <w:sz w:val="22"/>
          <w:szCs w:val="22"/>
          <w:lang w:val="en-GB"/>
        </w:rPr>
        <w:t>Sending via Central Public Procurement</w:t>
      </w:r>
    </w:p>
    <w:p w14:paraId="6518F410" w14:textId="77777777" w:rsidR="00E9459C" w:rsidRPr="001B4C3C" w:rsidRDefault="00793887" w:rsidP="00793887">
      <w:pPr>
        <w:rPr>
          <w:rFonts w:asciiTheme="minorHAnsi" w:hAnsiTheme="minorHAnsi" w:cstheme="minorHAnsi"/>
          <w:sz w:val="22"/>
          <w:szCs w:val="22"/>
          <w:lang w:val="en-GB"/>
        </w:rPr>
      </w:pPr>
      <w:r w:rsidRPr="001B4C3C">
        <w:rPr>
          <w:rFonts w:asciiTheme="minorHAnsi" w:hAnsiTheme="minorHAnsi" w:cstheme="minorHAnsi"/>
          <w:sz w:val="22"/>
          <w:szCs w:val="22"/>
          <w:lang w:val="en-GB"/>
        </w:rPr>
        <w:t xml:space="preserve">Information System (CPP IS)                                                                     </w:t>
      </w:r>
    </w:p>
    <w:p w14:paraId="0957F470" w14:textId="77777777" w:rsidR="00E9459C" w:rsidRPr="001B4C3C" w:rsidRDefault="00E9459C">
      <w:pPr>
        <w:spacing w:line="360" w:lineRule="auto"/>
        <w:rPr>
          <w:rFonts w:asciiTheme="minorHAnsi" w:hAnsiTheme="minorHAnsi" w:cstheme="minorHAnsi"/>
          <w:sz w:val="22"/>
          <w:szCs w:val="22"/>
          <w:lang w:val="en-GB"/>
        </w:rPr>
      </w:pPr>
    </w:p>
    <w:p w14:paraId="082A5349" w14:textId="4BB4FDC2" w:rsidR="00D745EA" w:rsidRPr="001B4C3C" w:rsidRDefault="00793887" w:rsidP="00D745EA">
      <w:pPr>
        <w:rPr>
          <w:rFonts w:asciiTheme="minorHAnsi" w:hAnsiTheme="minorHAnsi" w:cstheme="minorHAnsi"/>
          <w:b/>
          <w:bCs/>
          <w:sz w:val="22"/>
          <w:szCs w:val="22"/>
        </w:rPr>
      </w:pPr>
      <w:r w:rsidRPr="001B4C3C">
        <w:rPr>
          <w:rFonts w:asciiTheme="minorHAnsi" w:hAnsiTheme="minorHAnsi" w:cstheme="minorHAnsi"/>
          <w:b/>
          <w:sz w:val="22"/>
          <w:szCs w:val="22"/>
          <w:lang w:val="en-GB"/>
        </w:rPr>
        <w:t xml:space="preserve">Subject: </w:t>
      </w:r>
      <w:r w:rsidR="00EB62C1" w:rsidRPr="001B4C3C">
        <w:rPr>
          <w:rFonts w:asciiTheme="minorHAnsi" w:hAnsiTheme="minorHAnsi" w:cstheme="minorHAnsi"/>
          <w:b/>
          <w:sz w:val="22"/>
          <w:szCs w:val="22"/>
          <w:lang w:val="en-GB"/>
        </w:rPr>
        <w:t>A</w:t>
      </w:r>
      <w:r w:rsidR="003D3DDD" w:rsidRPr="001B4C3C">
        <w:rPr>
          <w:rFonts w:asciiTheme="minorHAnsi" w:hAnsiTheme="minorHAnsi" w:cstheme="minorHAnsi"/>
          <w:b/>
          <w:sz w:val="22"/>
          <w:szCs w:val="22"/>
          <w:lang w:val="en-GB"/>
        </w:rPr>
        <w:t>NSWER</w:t>
      </w:r>
      <w:r w:rsidR="0080735D" w:rsidRPr="001B4C3C">
        <w:rPr>
          <w:rFonts w:asciiTheme="minorHAnsi" w:hAnsiTheme="minorHAnsi" w:cstheme="minorHAnsi"/>
          <w:b/>
          <w:sz w:val="22"/>
          <w:szCs w:val="22"/>
          <w:lang w:val="en-GB"/>
        </w:rPr>
        <w:t>S</w:t>
      </w:r>
      <w:r w:rsidR="003D3DDD" w:rsidRPr="001B4C3C">
        <w:rPr>
          <w:rFonts w:asciiTheme="minorHAnsi" w:hAnsiTheme="minorHAnsi" w:cstheme="minorHAnsi"/>
          <w:b/>
          <w:sz w:val="22"/>
          <w:szCs w:val="22"/>
          <w:lang w:val="en-GB"/>
        </w:rPr>
        <w:t xml:space="preserve"> TO QUESTION</w:t>
      </w:r>
      <w:r w:rsidR="0080735D" w:rsidRPr="001B4C3C">
        <w:rPr>
          <w:rFonts w:asciiTheme="minorHAnsi" w:hAnsiTheme="minorHAnsi" w:cstheme="minorHAnsi"/>
          <w:b/>
          <w:sz w:val="22"/>
          <w:szCs w:val="22"/>
          <w:lang w:val="en-GB"/>
        </w:rPr>
        <w:t>S</w:t>
      </w:r>
      <w:r w:rsidR="00EB62C1" w:rsidRPr="001B4C3C">
        <w:rPr>
          <w:rFonts w:asciiTheme="minorHAnsi" w:hAnsiTheme="minorHAnsi" w:cstheme="minorHAnsi"/>
          <w:b/>
          <w:sz w:val="22"/>
          <w:szCs w:val="22"/>
          <w:lang w:val="en-GB"/>
        </w:rPr>
        <w:t xml:space="preserve"> (</w:t>
      </w:r>
      <w:r w:rsidR="001B4C3C" w:rsidRPr="001B4C3C">
        <w:rPr>
          <w:rFonts w:asciiTheme="minorHAnsi" w:hAnsiTheme="minorHAnsi" w:cstheme="minorHAnsi"/>
          <w:b/>
          <w:sz w:val="22"/>
          <w:szCs w:val="22"/>
          <w:lang w:val="en-GB"/>
        </w:rPr>
        <w:t>PROCUREMENT OF THE RADIO EQUIPMENT</w:t>
      </w:r>
      <w:r w:rsidR="00EB62C1" w:rsidRPr="001B4C3C">
        <w:rPr>
          <w:rFonts w:asciiTheme="minorHAnsi" w:hAnsiTheme="minorHAnsi" w:cstheme="minorHAnsi"/>
          <w:b/>
          <w:bCs/>
          <w:sz w:val="22"/>
          <w:szCs w:val="22"/>
        </w:rPr>
        <w:t>)</w:t>
      </w:r>
    </w:p>
    <w:p w14:paraId="5AC9CDB1" w14:textId="77777777" w:rsidR="0011062E" w:rsidRPr="001B4C3C" w:rsidRDefault="0011062E" w:rsidP="00D745EA">
      <w:pPr>
        <w:rPr>
          <w:rFonts w:asciiTheme="minorHAnsi" w:hAnsiTheme="minorHAnsi" w:cstheme="minorHAnsi"/>
          <w:b/>
          <w:sz w:val="22"/>
          <w:szCs w:val="22"/>
          <w:lang w:val="en-US"/>
        </w:rPr>
      </w:pPr>
    </w:p>
    <w:p w14:paraId="0AE4E5A8" w14:textId="77777777" w:rsidR="00DA56E9" w:rsidRPr="001B4C3C" w:rsidRDefault="00DA56E9" w:rsidP="00D745EA">
      <w:pPr>
        <w:rPr>
          <w:rFonts w:asciiTheme="minorHAnsi" w:hAnsiTheme="minorHAnsi" w:cstheme="minorHAnsi"/>
          <w:b/>
          <w:sz w:val="22"/>
          <w:szCs w:val="22"/>
          <w:lang w:val="en-GB"/>
        </w:rPr>
      </w:pPr>
    </w:p>
    <w:p w14:paraId="0A4B1628" w14:textId="243FC05B" w:rsidR="00D745EA" w:rsidRPr="001B4C3C" w:rsidRDefault="005C17D1" w:rsidP="00EB62C1">
      <w:pPr>
        <w:spacing w:after="240"/>
        <w:jc w:val="both"/>
        <w:rPr>
          <w:rFonts w:asciiTheme="minorHAnsi" w:hAnsiTheme="minorHAnsi" w:cstheme="minorHAnsi"/>
          <w:sz w:val="22"/>
          <w:szCs w:val="22"/>
          <w:lang w:val="en-US"/>
        </w:rPr>
      </w:pPr>
      <w:r w:rsidRPr="001B4C3C">
        <w:rPr>
          <w:rFonts w:asciiTheme="minorHAnsi" w:hAnsiTheme="minorHAnsi" w:cstheme="minorHAnsi"/>
          <w:sz w:val="22"/>
          <w:szCs w:val="22"/>
          <w:lang w:val="en-GB"/>
        </w:rPr>
        <w:t>Please be informed that we have received question</w:t>
      </w:r>
      <w:r w:rsidR="0080735D" w:rsidRPr="001B4C3C">
        <w:rPr>
          <w:rFonts w:asciiTheme="minorHAnsi" w:hAnsiTheme="minorHAnsi" w:cstheme="minorHAnsi"/>
          <w:sz w:val="22"/>
          <w:szCs w:val="22"/>
          <w:lang w:val="en-GB"/>
        </w:rPr>
        <w:t>s</w:t>
      </w:r>
      <w:r w:rsidR="00AC0F17" w:rsidRPr="001B4C3C">
        <w:rPr>
          <w:rFonts w:asciiTheme="minorHAnsi" w:hAnsiTheme="minorHAnsi" w:cstheme="minorHAnsi"/>
          <w:sz w:val="22"/>
          <w:szCs w:val="22"/>
          <w:lang w:val="en-US"/>
        </w:rPr>
        <w:t xml:space="preserve">. </w:t>
      </w:r>
      <w:r w:rsidR="004D6D94">
        <w:rPr>
          <w:rFonts w:asciiTheme="minorHAnsi" w:hAnsiTheme="minorHAnsi" w:cstheme="minorHAnsi"/>
          <w:sz w:val="22"/>
          <w:szCs w:val="22"/>
          <w:lang w:val="en-US"/>
        </w:rPr>
        <w:t>PPLC</w:t>
      </w:r>
      <w:r w:rsidRPr="001B4C3C">
        <w:rPr>
          <w:rFonts w:asciiTheme="minorHAnsi" w:hAnsiTheme="minorHAnsi" w:cstheme="minorHAnsi"/>
          <w:sz w:val="22"/>
          <w:szCs w:val="22"/>
          <w:lang w:val="en-US"/>
        </w:rPr>
        <w:t xml:space="preserve"> Oro </w:t>
      </w:r>
      <w:proofErr w:type="spellStart"/>
      <w:r w:rsidR="004D6D94">
        <w:rPr>
          <w:rFonts w:asciiTheme="minorHAnsi" w:hAnsiTheme="minorHAnsi" w:cstheme="minorHAnsi"/>
          <w:sz w:val="22"/>
          <w:szCs w:val="22"/>
          <w:lang w:val="en-US"/>
        </w:rPr>
        <w:t>N</w:t>
      </w:r>
      <w:r w:rsidRPr="001B4C3C">
        <w:rPr>
          <w:rFonts w:asciiTheme="minorHAnsi" w:hAnsiTheme="minorHAnsi" w:cstheme="minorHAnsi"/>
          <w:sz w:val="22"/>
          <w:szCs w:val="22"/>
          <w:lang w:val="en-US"/>
        </w:rPr>
        <w:t>avigacija</w:t>
      </w:r>
      <w:proofErr w:type="spellEnd"/>
      <w:r w:rsidR="00DA56E9" w:rsidRPr="001B4C3C">
        <w:rPr>
          <w:rFonts w:asciiTheme="minorHAnsi" w:hAnsiTheme="minorHAnsi" w:cstheme="minorHAnsi"/>
          <w:sz w:val="22"/>
          <w:szCs w:val="22"/>
          <w:lang w:val="en-US"/>
        </w:rPr>
        <w:t xml:space="preserve"> Public Procurement </w:t>
      </w:r>
      <w:r w:rsidR="00E00C00" w:rsidRPr="001B4C3C">
        <w:rPr>
          <w:rFonts w:asciiTheme="minorHAnsi" w:hAnsiTheme="minorHAnsi" w:cstheme="minorHAnsi"/>
          <w:sz w:val="22"/>
          <w:szCs w:val="22"/>
          <w:lang w:val="en-US"/>
        </w:rPr>
        <w:t>Commission</w:t>
      </w:r>
      <w:r w:rsidR="00DA56E9" w:rsidRPr="001B4C3C">
        <w:rPr>
          <w:rFonts w:asciiTheme="minorHAnsi" w:hAnsiTheme="minorHAnsi" w:cstheme="minorHAnsi"/>
          <w:sz w:val="22"/>
          <w:szCs w:val="22"/>
          <w:lang w:val="en-US"/>
        </w:rPr>
        <w:t xml:space="preserve"> </w:t>
      </w:r>
      <w:r w:rsidR="00E00C00" w:rsidRPr="001B4C3C">
        <w:rPr>
          <w:rFonts w:asciiTheme="minorHAnsi" w:hAnsiTheme="minorHAnsi" w:cstheme="minorHAnsi"/>
          <w:sz w:val="22"/>
          <w:szCs w:val="22"/>
          <w:lang w:val="en-US"/>
        </w:rPr>
        <w:t>has examined</w:t>
      </w:r>
      <w:r w:rsidRPr="001B4C3C">
        <w:rPr>
          <w:rFonts w:asciiTheme="minorHAnsi" w:hAnsiTheme="minorHAnsi" w:cstheme="minorHAnsi"/>
          <w:sz w:val="22"/>
          <w:szCs w:val="22"/>
          <w:lang w:val="en-US"/>
        </w:rPr>
        <w:t xml:space="preserve"> </w:t>
      </w:r>
      <w:r w:rsidR="0080735D" w:rsidRPr="001B4C3C">
        <w:rPr>
          <w:rFonts w:asciiTheme="minorHAnsi" w:hAnsiTheme="minorHAnsi" w:cstheme="minorHAnsi"/>
          <w:sz w:val="22"/>
          <w:szCs w:val="22"/>
          <w:lang w:val="en-US"/>
        </w:rPr>
        <w:t>them</w:t>
      </w:r>
      <w:r w:rsidR="00EB62C1" w:rsidRPr="001B4C3C">
        <w:rPr>
          <w:rFonts w:asciiTheme="minorHAnsi" w:hAnsiTheme="minorHAnsi" w:cstheme="minorHAnsi"/>
          <w:sz w:val="22"/>
          <w:szCs w:val="22"/>
          <w:lang w:val="en-US"/>
        </w:rPr>
        <w:t xml:space="preserve"> and p</w:t>
      </w:r>
      <w:r w:rsidRPr="001B4C3C">
        <w:rPr>
          <w:rFonts w:asciiTheme="minorHAnsi" w:hAnsiTheme="minorHAnsi" w:cstheme="minorHAnsi"/>
          <w:sz w:val="22"/>
          <w:szCs w:val="22"/>
          <w:lang w:val="en-US"/>
        </w:rPr>
        <w:t>rovides answer</w:t>
      </w:r>
      <w:r w:rsidR="0080735D" w:rsidRPr="001B4C3C">
        <w:rPr>
          <w:rFonts w:asciiTheme="minorHAnsi" w:hAnsiTheme="minorHAnsi" w:cstheme="minorHAnsi"/>
          <w:sz w:val="22"/>
          <w:szCs w:val="22"/>
          <w:lang w:val="en-US"/>
        </w:rPr>
        <w:t>s</w:t>
      </w:r>
      <w:r w:rsidR="00AC0F17" w:rsidRPr="001B4C3C">
        <w:rPr>
          <w:rFonts w:asciiTheme="minorHAnsi" w:hAnsiTheme="minorHAnsi" w:cstheme="minorHAnsi"/>
          <w:sz w:val="22"/>
          <w:szCs w:val="22"/>
          <w:lang w:val="en-US"/>
        </w:rPr>
        <w:t>:</w:t>
      </w:r>
    </w:p>
    <w:tbl>
      <w:tblPr>
        <w:tblStyle w:val="TableGrid"/>
        <w:tblW w:w="0" w:type="auto"/>
        <w:tblLook w:val="04A0" w:firstRow="1" w:lastRow="0" w:firstColumn="1" w:lastColumn="0" w:noHBand="0" w:noVBand="1"/>
      </w:tblPr>
      <w:tblGrid>
        <w:gridCol w:w="562"/>
        <w:gridCol w:w="4536"/>
        <w:gridCol w:w="4530"/>
      </w:tblGrid>
      <w:tr w:rsidR="001B4C3C" w:rsidRPr="001B4C3C" w14:paraId="71771F7B" w14:textId="77777777" w:rsidTr="00D86D9C">
        <w:tc>
          <w:tcPr>
            <w:tcW w:w="562" w:type="dxa"/>
            <w:vAlign w:val="center"/>
          </w:tcPr>
          <w:p w14:paraId="01CDE3C6" w14:textId="46E0904D" w:rsidR="001B4C3C" w:rsidRPr="001B4C3C" w:rsidRDefault="001B4C3C" w:rsidP="001B4C3C">
            <w:pPr>
              <w:jc w:val="both"/>
              <w:rPr>
                <w:rFonts w:asciiTheme="minorHAnsi" w:hAnsiTheme="minorHAnsi" w:cstheme="minorHAnsi"/>
                <w:sz w:val="22"/>
                <w:szCs w:val="22"/>
                <w:lang w:val="en-US"/>
              </w:rPr>
            </w:pPr>
            <w:proofErr w:type="spellStart"/>
            <w:r w:rsidRPr="001B4C3C">
              <w:rPr>
                <w:rFonts w:asciiTheme="minorHAnsi" w:hAnsiTheme="minorHAnsi" w:cstheme="minorHAnsi"/>
                <w:i/>
                <w:sz w:val="22"/>
                <w:szCs w:val="22"/>
              </w:rPr>
              <w:t>No</w:t>
            </w:r>
            <w:proofErr w:type="spellEnd"/>
            <w:r w:rsidRPr="001B4C3C">
              <w:rPr>
                <w:rFonts w:asciiTheme="minorHAnsi" w:hAnsiTheme="minorHAnsi" w:cstheme="minorHAnsi"/>
                <w:i/>
                <w:sz w:val="22"/>
                <w:szCs w:val="22"/>
              </w:rPr>
              <w:t>.</w:t>
            </w:r>
          </w:p>
        </w:tc>
        <w:tc>
          <w:tcPr>
            <w:tcW w:w="4536" w:type="dxa"/>
            <w:vAlign w:val="center"/>
          </w:tcPr>
          <w:p w14:paraId="52A7CF96" w14:textId="300CB636"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i/>
                <w:iCs/>
                <w:sz w:val="22"/>
                <w:szCs w:val="22"/>
                <w:lang w:val="en-US"/>
              </w:rPr>
              <w:t>Question</w:t>
            </w:r>
          </w:p>
        </w:tc>
        <w:tc>
          <w:tcPr>
            <w:tcW w:w="4530" w:type="dxa"/>
            <w:vAlign w:val="center"/>
          </w:tcPr>
          <w:p w14:paraId="0AD3913A" w14:textId="72B70018" w:rsidR="001B4C3C" w:rsidRPr="001B4C3C" w:rsidRDefault="001B4C3C" w:rsidP="001B4C3C">
            <w:pPr>
              <w:jc w:val="both"/>
              <w:rPr>
                <w:rFonts w:asciiTheme="minorHAnsi" w:hAnsiTheme="minorHAnsi" w:cstheme="minorHAnsi"/>
                <w:sz w:val="22"/>
                <w:szCs w:val="22"/>
                <w:lang w:val="en-US"/>
              </w:rPr>
            </w:pPr>
            <w:proofErr w:type="spellStart"/>
            <w:r w:rsidRPr="001B4C3C">
              <w:rPr>
                <w:rFonts w:asciiTheme="minorHAnsi" w:hAnsiTheme="minorHAnsi" w:cstheme="minorHAnsi"/>
                <w:i/>
                <w:sz w:val="22"/>
                <w:szCs w:val="22"/>
              </w:rPr>
              <w:t>Answer</w:t>
            </w:r>
            <w:proofErr w:type="spellEnd"/>
          </w:p>
        </w:tc>
      </w:tr>
      <w:tr w:rsidR="001B4C3C" w:rsidRPr="001B4C3C" w14:paraId="12F587A2" w14:textId="77777777" w:rsidTr="001B4C3C">
        <w:tc>
          <w:tcPr>
            <w:tcW w:w="562" w:type="dxa"/>
          </w:tcPr>
          <w:p w14:paraId="01FFA17B" w14:textId="718B87AF"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w:t>
            </w:r>
          </w:p>
        </w:tc>
        <w:tc>
          <w:tcPr>
            <w:tcW w:w="4536" w:type="dxa"/>
          </w:tcPr>
          <w:p w14:paraId="10E1453B" w14:textId="77777777" w:rsidR="001B4C3C" w:rsidRPr="001B4C3C" w:rsidRDefault="001B4C3C" w:rsidP="001B4C3C">
            <w:pPr>
              <w:spacing w:after="120"/>
              <w:jc w:val="both"/>
              <w:rPr>
                <w:rFonts w:asciiTheme="minorHAnsi" w:hAnsiTheme="minorHAnsi" w:cstheme="minorHAnsi"/>
                <w:w w:val="110"/>
                <w:sz w:val="22"/>
                <w:szCs w:val="22"/>
                <w:lang w:val="en-US"/>
              </w:rPr>
            </w:pPr>
            <w:r w:rsidRPr="001B4C3C">
              <w:rPr>
                <w:rFonts w:asciiTheme="minorHAnsi" w:hAnsiTheme="minorHAnsi" w:cstheme="minorHAnsi"/>
                <w:w w:val="105"/>
                <w:sz w:val="22"/>
                <w:szCs w:val="22"/>
                <w:lang w:val="en-US"/>
              </w:rPr>
              <w:t>Kindly clarify whether the requirement is for single-cavity or dual-cavity filters</w:t>
            </w:r>
            <w:r w:rsidRPr="001B4C3C">
              <w:rPr>
                <w:rFonts w:asciiTheme="minorHAnsi" w:hAnsiTheme="minorHAnsi" w:cstheme="minorHAnsi"/>
                <w:w w:val="110"/>
                <w:sz w:val="22"/>
                <w:szCs w:val="22"/>
                <w:lang w:val="en-US"/>
              </w:rPr>
              <w:t>.</w:t>
            </w:r>
          </w:p>
          <w:p w14:paraId="2D299744" w14:textId="77777777" w:rsidR="001B4C3C" w:rsidRPr="001B4C3C" w:rsidRDefault="001B4C3C" w:rsidP="001B4C3C">
            <w:pPr>
              <w:jc w:val="both"/>
              <w:rPr>
                <w:rFonts w:asciiTheme="minorHAnsi" w:hAnsiTheme="minorHAnsi" w:cstheme="minorHAnsi"/>
                <w:spacing w:val="-2"/>
                <w:sz w:val="22"/>
                <w:szCs w:val="22"/>
                <w:lang w:val="en-US"/>
              </w:rPr>
            </w:pPr>
            <w:r w:rsidRPr="001B4C3C">
              <w:rPr>
                <w:rFonts w:asciiTheme="minorHAnsi" w:hAnsiTheme="minorHAnsi" w:cstheme="minorHAnsi"/>
                <w:sz w:val="22"/>
                <w:szCs w:val="22"/>
                <w:lang w:val="en-US"/>
              </w:rPr>
              <w:t>Tender</w:t>
            </w:r>
            <w:r w:rsidRPr="001B4C3C">
              <w:rPr>
                <w:rFonts w:asciiTheme="minorHAnsi" w:hAnsiTheme="minorHAnsi" w:cstheme="minorHAnsi"/>
                <w:spacing w:val="21"/>
                <w:sz w:val="22"/>
                <w:szCs w:val="22"/>
                <w:lang w:val="en-US"/>
              </w:rPr>
              <w:t xml:space="preserve"> </w:t>
            </w:r>
            <w:r w:rsidRPr="001B4C3C">
              <w:rPr>
                <w:rFonts w:asciiTheme="minorHAnsi" w:hAnsiTheme="minorHAnsi" w:cstheme="minorHAnsi"/>
                <w:sz w:val="22"/>
                <w:szCs w:val="22"/>
                <w:lang w:val="en-US"/>
              </w:rPr>
              <w:t>Document</w:t>
            </w:r>
            <w:r w:rsidRPr="001B4C3C">
              <w:rPr>
                <w:rFonts w:asciiTheme="minorHAnsi" w:hAnsiTheme="minorHAnsi" w:cstheme="minorHAnsi"/>
                <w:spacing w:val="26"/>
                <w:sz w:val="22"/>
                <w:szCs w:val="22"/>
                <w:lang w:val="en-US"/>
              </w:rPr>
              <w:t xml:space="preserve"> </w:t>
            </w:r>
            <w:r w:rsidRPr="001B4C3C">
              <w:rPr>
                <w:rFonts w:asciiTheme="minorHAnsi" w:hAnsiTheme="minorHAnsi" w:cstheme="minorHAnsi"/>
                <w:spacing w:val="-2"/>
                <w:sz w:val="22"/>
                <w:szCs w:val="22"/>
                <w:lang w:val="en-US"/>
              </w:rPr>
              <w:t>Reference:</w:t>
            </w:r>
          </w:p>
          <w:p w14:paraId="2F9CD356" w14:textId="77777777" w:rsidR="001B4C3C" w:rsidRPr="001B4C3C" w:rsidRDefault="001B4C3C" w:rsidP="001B4C3C">
            <w:pPr>
              <w:jc w:val="both"/>
              <w:rPr>
                <w:rFonts w:asciiTheme="minorHAnsi" w:hAnsiTheme="minorHAnsi" w:cstheme="minorHAnsi"/>
                <w:spacing w:val="-2"/>
                <w:sz w:val="22"/>
                <w:szCs w:val="22"/>
                <w:lang w:val="en-US"/>
              </w:rPr>
            </w:pPr>
            <w:r w:rsidRPr="001B4C3C">
              <w:rPr>
                <w:rFonts w:asciiTheme="minorHAnsi" w:hAnsiTheme="minorHAnsi" w:cstheme="minorHAnsi"/>
                <w:spacing w:val="-2"/>
                <w:sz w:val="22"/>
                <w:szCs w:val="22"/>
                <w:lang w:val="en-US"/>
              </w:rPr>
              <w:t>Annex1.TenderForm</w:t>
            </w:r>
          </w:p>
          <w:p w14:paraId="46E29F75" w14:textId="2E645698"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pacing w:val="-2"/>
                <w:sz w:val="22"/>
                <w:szCs w:val="22"/>
                <w:lang w:val="en-US"/>
              </w:rPr>
              <w:t>5. VHF band-pass filters.</w:t>
            </w:r>
          </w:p>
        </w:tc>
        <w:tc>
          <w:tcPr>
            <w:tcW w:w="4530" w:type="dxa"/>
          </w:tcPr>
          <w:p w14:paraId="5A5AE294"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The technical requirements do not specify a specific type of filter cavity, so both single and dual cavity filters that meet all the technical parameters specified in section 3.5 of the Technical Specification may be offered.</w:t>
            </w:r>
          </w:p>
          <w:p w14:paraId="7F0C390C" w14:textId="77777777" w:rsidR="001B4C3C" w:rsidRPr="001B4C3C" w:rsidRDefault="001B4C3C" w:rsidP="001B4C3C">
            <w:pPr>
              <w:jc w:val="both"/>
              <w:rPr>
                <w:rFonts w:asciiTheme="minorHAnsi" w:hAnsiTheme="minorHAnsi" w:cstheme="minorHAnsi"/>
                <w:sz w:val="22"/>
                <w:szCs w:val="22"/>
                <w:lang w:val="en-US"/>
              </w:rPr>
            </w:pPr>
          </w:p>
        </w:tc>
      </w:tr>
      <w:tr w:rsidR="001B4C3C" w:rsidRPr="001B4C3C" w14:paraId="74CDE9E3" w14:textId="77777777" w:rsidTr="001B4C3C">
        <w:tc>
          <w:tcPr>
            <w:tcW w:w="562" w:type="dxa"/>
          </w:tcPr>
          <w:p w14:paraId="70611882" w14:textId="6BB32E0A"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2.</w:t>
            </w:r>
          </w:p>
        </w:tc>
        <w:tc>
          <w:tcPr>
            <w:tcW w:w="4536" w:type="dxa"/>
          </w:tcPr>
          <w:p w14:paraId="53FA3383" w14:textId="77777777" w:rsidR="001B4C3C" w:rsidRPr="001B4C3C" w:rsidRDefault="001B4C3C" w:rsidP="001B4C3C">
            <w:pPr>
              <w:spacing w:after="12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Kindly clarify whether the requirement is for '</w:t>
            </w:r>
            <w:proofErr w:type="spellStart"/>
            <w:r w:rsidRPr="001B4C3C">
              <w:rPr>
                <w:rFonts w:asciiTheme="minorHAnsi" w:hAnsiTheme="minorHAnsi" w:cstheme="minorHAnsi"/>
                <w:sz w:val="22"/>
                <w:szCs w:val="22"/>
                <w:lang w:val="en-US"/>
              </w:rPr>
              <w:t>tuneable</w:t>
            </w:r>
            <w:proofErr w:type="spellEnd"/>
            <w:r w:rsidRPr="001B4C3C">
              <w:rPr>
                <w:rFonts w:asciiTheme="minorHAnsi" w:hAnsiTheme="minorHAnsi" w:cstheme="minorHAnsi"/>
                <w:sz w:val="22"/>
                <w:szCs w:val="22"/>
                <w:lang w:val="en-US"/>
              </w:rPr>
              <w:t xml:space="preserve"> filters' or 'auto-</w:t>
            </w:r>
            <w:proofErr w:type="spellStart"/>
            <w:r w:rsidRPr="001B4C3C">
              <w:rPr>
                <w:rFonts w:asciiTheme="minorHAnsi" w:hAnsiTheme="minorHAnsi" w:cstheme="minorHAnsi"/>
                <w:sz w:val="22"/>
                <w:szCs w:val="22"/>
                <w:lang w:val="en-US"/>
              </w:rPr>
              <w:t>tuneable</w:t>
            </w:r>
            <w:proofErr w:type="spellEnd"/>
            <w:r w:rsidRPr="001B4C3C">
              <w:rPr>
                <w:rFonts w:asciiTheme="minorHAnsi" w:hAnsiTheme="minorHAnsi" w:cstheme="minorHAnsi"/>
                <w:sz w:val="22"/>
                <w:szCs w:val="22"/>
                <w:lang w:val="en-US"/>
              </w:rPr>
              <w:t xml:space="preserve"> filters'.</w:t>
            </w:r>
          </w:p>
          <w:p w14:paraId="4097086C" w14:textId="77777777" w:rsidR="001B4C3C" w:rsidRPr="001B4C3C" w:rsidRDefault="001B4C3C" w:rsidP="001B4C3C">
            <w:pPr>
              <w:jc w:val="both"/>
              <w:rPr>
                <w:rFonts w:asciiTheme="minorHAnsi" w:hAnsiTheme="minorHAnsi" w:cstheme="minorHAnsi"/>
                <w:sz w:val="22"/>
                <w:szCs w:val="22"/>
              </w:rPr>
            </w:pPr>
            <w:r w:rsidRPr="001B4C3C">
              <w:rPr>
                <w:rFonts w:asciiTheme="minorHAnsi" w:hAnsiTheme="minorHAnsi" w:cstheme="minorHAnsi"/>
                <w:sz w:val="22"/>
                <w:szCs w:val="22"/>
                <w:lang w:val="en-US"/>
              </w:rPr>
              <w:t>Tender Document Reference:</w:t>
            </w:r>
            <w:r w:rsidRPr="001B4C3C">
              <w:rPr>
                <w:rFonts w:asciiTheme="minorHAnsi" w:hAnsiTheme="minorHAnsi" w:cstheme="minorHAnsi"/>
                <w:sz w:val="22"/>
                <w:szCs w:val="22"/>
              </w:rPr>
              <w:t xml:space="preserve"> </w:t>
            </w:r>
          </w:p>
          <w:p w14:paraId="7D2AFD49"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Annex1. Tender Form</w:t>
            </w:r>
          </w:p>
          <w:p w14:paraId="57F61814" w14:textId="7543C27E"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5.2 Shall be automatically tuned depending on the transmitter frequency.</w:t>
            </w:r>
          </w:p>
        </w:tc>
        <w:tc>
          <w:tcPr>
            <w:tcW w:w="4530" w:type="dxa"/>
          </w:tcPr>
          <w:p w14:paraId="1706A3FD" w14:textId="4389480C"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As indicated in item 5.2, VHF bandpass filters shall be automatically </w:t>
            </w:r>
            <w:proofErr w:type="spellStart"/>
            <w:r w:rsidRPr="001B4C3C">
              <w:rPr>
                <w:rFonts w:asciiTheme="minorHAnsi" w:hAnsiTheme="minorHAnsi" w:cstheme="minorHAnsi"/>
                <w:sz w:val="22"/>
                <w:szCs w:val="22"/>
                <w:lang w:val="en-US"/>
              </w:rPr>
              <w:t>tuneable</w:t>
            </w:r>
            <w:proofErr w:type="spellEnd"/>
            <w:r w:rsidRPr="001B4C3C">
              <w:rPr>
                <w:rFonts w:asciiTheme="minorHAnsi" w:hAnsiTheme="minorHAnsi" w:cstheme="minorHAnsi"/>
                <w:sz w:val="22"/>
                <w:szCs w:val="22"/>
                <w:lang w:val="en-US"/>
              </w:rPr>
              <w:t xml:space="preserve"> to the selected transmitter frequency.</w:t>
            </w:r>
          </w:p>
        </w:tc>
      </w:tr>
      <w:tr w:rsidR="001B4C3C" w:rsidRPr="001B4C3C" w14:paraId="2F4A6551" w14:textId="77777777" w:rsidTr="001B4C3C">
        <w:tc>
          <w:tcPr>
            <w:tcW w:w="562" w:type="dxa"/>
          </w:tcPr>
          <w:p w14:paraId="1A92A686" w14:textId="049DB9F9"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3.</w:t>
            </w:r>
          </w:p>
        </w:tc>
        <w:tc>
          <w:tcPr>
            <w:tcW w:w="4536" w:type="dxa"/>
          </w:tcPr>
          <w:p w14:paraId="31F42F1E" w14:textId="63D406EC"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Note that one 19" cabinet mounting adaptor can accommodate one (1) or two</w:t>
            </w:r>
            <w:r>
              <w:rPr>
                <w:rFonts w:asciiTheme="minorHAnsi" w:hAnsiTheme="minorHAnsi" w:cstheme="minorHAnsi"/>
                <w:sz w:val="22"/>
                <w:szCs w:val="22"/>
                <w:lang w:val="en-US"/>
              </w:rPr>
              <w:t xml:space="preserve"> </w:t>
            </w:r>
            <w:r w:rsidRPr="001B4C3C">
              <w:rPr>
                <w:rFonts w:asciiTheme="minorHAnsi" w:hAnsiTheme="minorHAnsi" w:cstheme="minorHAnsi"/>
                <w:sz w:val="22"/>
                <w:szCs w:val="22"/>
                <w:lang w:val="en-US"/>
              </w:rPr>
              <w:t xml:space="preserve">(2) VHF radios. Please clarify the </w:t>
            </w:r>
            <w:proofErr w:type="gramStart"/>
            <w:r w:rsidRPr="001B4C3C">
              <w:rPr>
                <w:rFonts w:asciiTheme="minorHAnsi" w:hAnsiTheme="minorHAnsi" w:cstheme="minorHAnsi"/>
                <w:sz w:val="22"/>
                <w:szCs w:val="22"/>
                <w:lang w:val="en-US"/>
              </w:rPr>
              <w:t>below</w:t>
            </w:r>
            <w:proofErr w:type="gramEnd"/>
            <w:r w:rsidRPr="001B4C3C">
              <w:rPr>
                <w:rFonts w:asciiTheme="minorHAnsi" w:hAnsiTheme="minorHAnsi" w:cstheme="minorHAnsi"/>
                <w:sz w:val="22"/>
                <w:szCs w:val="22"/>
                <w:lang w:val="en-US"/>
              </w:rPr>
              <w:t>:</w:t>
            </w:r>
          </w:p>
          <w:p w14:paraId="7FC06B6F"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 Are the main standby transmitters radios installed in a single cabinet so that a single adaptor can be quoted for '2' radios?</w:t>
            </w:r>
          </w:p>
          <w:p w14:paraId="13E683DA"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2. Are the main standby receiver radios installed in a single cabinet so that a single adaptor can be quoted for '2' radios?</w:t>
            </w:r>
          </w:p>
          <w:p w14:paraId="0D5D05DC"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3. Are the main standby transceiver radios installed in a single cabinet so that a single adaptor can be quoted for '2' radios?</w:t>
            </w:r>
          </w:p>
          <w:p w14:paraId="44B67D39" w14:textId="77777777" w:rsidR="001B4C3C" w:rsidRPr="001B4C3C" w:rsidRDefault="001B4C3C" w:rsidP="001B4C3C">
            <w:pPr>
              <w:spacing w:before="12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Tender Document Reference: </w:t>
            </w:r>
          </w:p>
          <w:p w14:paraId="27EEC54E"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Annex1.TenderForm</w:t>
            </w:r>
          </w:p>
          <w:p w14:paraId="070B1C4E" w14:textId="0E1413C3"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1.7 Shelves or mounting adaptors for installation of transmitters, receivers, transceivers, filters and multicouplers in metallic cabinet [Clause 2.1.7 of the </w:t>
            </w:r>
            <w:proofErr w:type="gramStart"/>
            <w:r w:rsidRPr="001B4C3C">
              <w:rPr>
                <w:rFonts w:asciiTheme="minorHAnsi" w:hAnsiTheme="minorHAnsi" w:cstheme="minorHAnsi"/>
                <w:sz w:val="22"/>
                <w:szCs w:val="22"/>
                <w:lang w:val="en-US"/>
              </w:rPr>
              <w:t>Technical</w:t>
            </w:r>
            <w:proofErr w:type="gramEnd"/>
            <w:r w:rsidRPr="001B4C3C">
              <w:rPr>
                <w:rFonts w:asciiTheme="minorHAnsi" w:hAnsiTheme="minorHAnsi" w:cstheme="minorHAnsi"/>
                <w:sz w:val="22"/>
                <w:szCs w:val="22"/>
                <w:lang w:val="en-US"/>
              </w:rPr>
              <w:t xml:space="preserve"> specification).</w:t>
            </w:r>
          </w:p>
        </w:tc>
        <w:tc>
          <w:tcPr>
            <w:tcW w:w="4530" w:type="dxa"/>
          </w:tcPr>
          <w:p w14:paraId="3346CBD3" w14:textId="77777777" w:rsidR="001B4C3C" w:rsidRPr="001B4C3C" w:rsidRDefault="001B4C3C" w:rsidP="001B4C3C">
            <w:pPr>
              <w:spacing w:after="6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 The main and standby radio transmitters will be installed in two cabinets – one for main and second for standby radios.</w:t>
            </w:r>
          </w:p>
          <w:p w14:paraId="3E062908" w14:textId="77777777" w:rsidR="001B4C3C" w:rsidRPr="001B4C3C" w:rsidRDefault="001B4C3C" w:rsidP="001B4C3C">
            <w:pPr>
              <w:spacing w:after="6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2. The main and standby radio receivers will be installed in the single cabinet.</w:t>
            </w:r>
          </w:p>
          <w:p w14:paraId="50498399" w14:textId="0D60E769"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3. The main and standby radio transceivers will be installed in the single cabinet.</w:t>
            </w:r>
          </w:p>
        </w:tc>
      </w:tr>
      <w:tr w:rsidR="001B4C3C" w:rsidRPr="001B4C3C" w14:paraId="2D563ED2" w14:textId="77777777" w:rsidTr="001B4C3C">
        <w:tc>
          <w:tcPr>
            <w:tcW w:w="562" w:type="dxa"/>
          </w:tcPr>
          <w:p w14:paraId="541D9B02" w14:textId="599A4FE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4.</w:t>
            </w:r>
          </w:p>
        </w:tc>
        <w:tc>
          <w:tcPr>
            <w:tcW w:w="4536" w:type="dxa"/>
          </w:tcPr>
          <w:p w14:paraId="0FF849EE" w14:textId="77777777" w:rsidR="001B4C3C" w:rsidRPr="001B4C3C" w:rsidRDefault="001B4C3C" w:rsidP="001B4C3C">
            <w:pPr>
              <w:spacing w:after="120"/>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Kindly confirm the number of ports required on each multicoupler: 4, 8, 12, or 16?</w:t>
            </w:r>
          </w:p>
          <w:p w14:paraId="4338F059" w14:textId="77777777" w:rsidR="001B4C3C" w:rsidRPr="001B4C3C" w:rsidRDefault="001B4C3C" w:rsidP="001B4C3C">
            <w:pPr>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7A696BB5" w14:textId="77777777" w:rsidR="001B4C3C" w:rsidRPr="001B4C3C" w:rsidRDefault="001B4C3C" w:rsidP="001B4C3C">
            <w:pPr>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Annex 3. Technical Specification</w:t>
            </w:r>
          </w:p>
          <w:p w14:paraId="0ED0799D" w14:textId="3955F5BE"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color w:val="333333"/>
                <w:sz w:val="22"/>
                <w:szCs w:val="22"/>
                <w:lang w:val="en-US" w:eastAsia="lt-LT"/>
              </w:rPr>
              <w:t xml:space="preserve">2.1.4 VHF multicouplers for receivers- 2 units, which shall be suitable for installation in metallic </w:t>
            </w:r>
            <w:r w:rsidRPr="001B4C3C">
              <w:rPr>
                <w:rFonts w:asciiTheme="minorHAnsi" w:hAnsiTheme="minorHAnsi" w:cstheme="minorHAnsi"/>
                <w:color w:val="333333"/>
                <w:sz w:val="22"/>
                <w:szCs w:val="22"/>
                <w:lang w:val="en-US" w:eastAsia="lt-LT"/>
              </w:rPr>
              <w:lastRenderedPageBreak/>
              <w:t>cabinet 19 inches wide (H2000 x W600 x D800 mm). If applicable, the splitters to connect multicouplers to receivers shall be offered.</w:t>
            </w:r>
          </w:p>
        </w:tc>
        <w:tc>
          <w:tcPr>
            <w:tcW w:w="4530" w:type="dxa"/>
          </w:tcPr>
          <w:p w14:paraId="6ED6465D" w14:textId="31C13E96"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GB"/>
              </w:rPr>
              <w:lastRenderedPageBreak/>
              <w:t>VHF multicouplers for receivers can have 12 or 16 ports.</w:t>
            </w:r>
          </w:p>
        </w:tc>
      </w:tr>
      <w:tr w:rsidR="001B4C3C" w:rsidRPr="001B4C3C" w14:paraId="17B62BF4" w14:textId="77777777" w:rsidTr="001B4C3C">
        <w:tc>
          <w:tcPr>
            <w:tcW w:w="562" w:type="dxa"/>
          </w:tcPr>
          <w:p w14:paraId="60B4BA74" w14:textId="5D8ABBAF"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rPr>
              <w:t>5.</w:t>
            </w:r>
          </w:p>
        </w:tc>
        <w:tc>
          <w:tcPr>
            <w:tcW w:w="4536" w:type="dxa"/>
          </w:tcPr>
          <w:p w14:paraId="2E4F1572" w14:textId="77777777" w:rsidR="001B4C3C" w:rsidRPr="001B4C3C" w:rsidRDefault="001B4C3C" w:rsidP="001B4C3C">
            <w:pPr>
              <w:pStyle w:val="Default"/>
              <w:spacing w:after="12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Kindly clarify if the requirement is for 'internal main/standby </w:t>
            </w:r>
            <w:proofErr w:type="gramStart"/>
            <w:r w:rsidRPr="001B4C3C">
              <w:rPr>
                <w:rFonts w:asciiTheme="minorHAnsi" w:hAnsiTheme="minorHAnsi" w:cstheme="minorHAnsi"/>
                <w:sz w:val="22"/>
                <w:szCs w:val="22"/>
                <w:lang w:val="en-US"/>
              </w:rPr>
              <w:t>changeover</w:t>
            </w:r>
            <w:proofErr w:type="gramEnd"/>
            <w:r w:rsidRPr="001B4C3C">
              <w:rPr>
                <w:rFonts w:asciiTheme="minorHAnsi" w:hAnsiTheme="minorHAnsi" w:cstheme="minorHAnsi"/>
                <w:sz w:val="22"/>
                <w:szCs w:val="22"/>
                <w:lang w:val="en-US"/>
              </w:rPr>
              <w:t xml:space="preserve"> or external main/standby changeover for transmitters, receivers and transceivers?</w:t>
            </w:r>
          </w:p>
          <w:p w14:paraId="2AF68D55" w14:textId="77777777" w:rsidR="001B4C3C" w:rsidRPr="001B4C3C" w:rsidRDefault="001B4C3C" w:rsidP="001B4C3C">
            <w:pPr>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4F98C454" w14:textId="77777777" w:rsidR="001B4C3C" w:rsidRPr="001B4C3C" w:rsidRDefault="001B4C3C" w:rsidP="001B4C3C">
            <w:pPr>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Annex 3. Technical Specification</w:t>
            </w:r>
          </w:p>
          <w:p w14:paraId="32B0AB2D" w14:textId="77777777" w:rsidR="001B4C3C" w:rsidRPr="001B4C3C" w:rsidRDefault="001B4C3C" w:rsidP="001B4C3C">
            <w:pPr>
              <w:pStyle w:val="Default"/>
              <w:spacing w:after="12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2.1.4 VHF multicouplers for receivers- 2 units, which shall be suitable for installation in metallic cabinet 19 inches wide (H2000 x W600 x D800 mm). If applicable, the splitters to connect multicouplers to receivers shall be offered.</w:t>
            </w:r>
          </w:p>
          <w:p w14:paraId="1061EEE0" w14:textId="3EA39CF6"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2.1.8.4. N-type male to N-type male RF connecting cables for connection transmitters to band-pass filters, transmitter M/S pairs, transceiver M/S pairs, all standard lengths.</w:t>
            </w:r>
          </w:p>
        </w:tc>
        <w:tc>
          <w:tcPr>
            <w:tcW w:w="4530" w:type="dxa"/>
          </w:tcPr>
          <w:p w14:paraId="25C96B60" w14:textId="77777777" w:rsidR="001B4C3C" w:rsidRPr="001B4C3C" w:rsidRDefault="001B4C3C" w:rsidP="001B4C3C">
            <w:pPr>
              <w:spacing w:after="60"/>
              <w:jc w:val="both"/>
              <w:rPr>
                <w:rFonts w:asciiTheme="minorHAnsi" w:hAnsiTheme="minorHAnsi" w:cstheme="minorHAnsi"/>
                <w:sz w:val="22"/>
                <w:szCs w:val="22"/>
                <w:lang w:val="en-GB"/>
              </w:rPr>
            </w:pPr>
            <w:r w:rsidRPr="001B4C3C">
              <w:rPr>
                <w:rFonts w:asciiTheme="minorHAnsi" w:hAnsiTheme="minorHAnsi" w:cstheme="minorHAnsi"/>
                <w:sz w:val="22"/>
                <w:szCs w:val="22"/>
                <w:lang w:val="en-GB"/>
              </w:rPr>
              <w:t xml:space="preserve">Main transmitters and 4 </w:t>
            </w:r>
            <w:proofErr w:type="spellStart"/>
            <w:r w:rsidRPr="001B4C3C">
              <w:rPr>
                <w:rFonts w:asciiTheme="minorHAnsi" w:hAnsiTheme="minorHAnsi" w:cstheme="minorHAnsi"/>
                <w:sz w:val="22"/>
                <w:szCs w:val="22"/>
                <w:lang w:val="en-GB"/>
              </w:rPr>
              <w:t>Stby</w:t>
            </w:r>
            <w:proofErr w:type="spellEnd"/>
            <w:r w:rsidRPr="001B4C3C">
              <w:rPr>
                <w:rFonts w:asciiTheme="minorHAnsi" w:hAnsiTheme="minorHAnsi" w:cstheme="minorHAnsi"/>
                <w:sz w:val="22"/>
                <w:szCs w:val="22"/>
                <w:lang w:val="en-GB"/>
              </w:rPr>
              <w:t xml:space="preserve"> transmitters will be connected to VHF band-pass filters, each of them will be connected to a separate antenna. The remaining 6 Main and 6 </w:t>
            </w:r>
            <w:proofErr w:type="spellStart"/>
            <w:r w:rsidRPr="001B4C3C">
              <w:rPr>
                <w:rFonts w:asciiTheme="minorHAnsi" w:hAnsiTheme="minorHAnsi" w:cstheme="minorHAnsi"/>
                <w:sz w:val="22"/>
                <w:szCs w:val="22"/>
                <w:lang w:val="en-GB"/>
              </w:rPr>
              <w:t>Stby</w:t>
            </w:r>
            <w:proofErr w:type="spellEnd"/>
            <w:r w:rsidRPr="001B4C3C">
              <w:rPr>
                <w:rFonts w:asciiTheme="minorHAnsi" w:hAnsiTheme="minorHAnsi" w:cstheme="minorHAnsi"/>
                <w:sz w:val="22"/>
                <w:szCs w:val="22"/>
                <w:lang w:val="en-GB"/>
              </w:rPr>
              <w:t xml:space="preserve"> transmitters will be connected as M/S pairs with one antenna of each pair.</w:t>
            </w:r>
          </w:p>
          <w:p w14:paraId="3B290BD4" w14:textId="77777777" w:rsidR="001B4C3C" w:rsidRPr="001B4C3C" w:rsidRDefault="001B4C3C" w:rsidP="001B4C3C">
            <w:pPr>
              <w:spacing w:after="60"/>
              <w:jc w:val="both"/>
              <w:rPr>
                <w:rFonts w:asciiTheme="minorHAnsi" w:hAnsiTheme="minorHAnsi" w:cstheme="minorHAnsi"/>
                <w:sz w:val="22"/>
                <w:szCs w:val="22"/>
                <w:lang w:val="en-GB"/>
              </w:rPr>
            </w:pPr>
            <w:r w:rsidRPr="001B4C3C">
              <w:rPr>
                <w:rFonts w:asciiTheme="minorHAnsi" w:hAnsiTheme="minorHAnsi" w:cstheme="minorHAnsi"/>
                <w:sz w:val="22"/>
                <w:szCs w:val="22"/>
                <w:lang w:val="en-GB"/>
              </w:rPr>
              <w:t xml:space="preserve">The Main receivers will be connected to one VHF multicoupler, which will be connected to one antenna and the </w:t>
            </w:r>
            <w:proofErr w:type="spellStart"/>
            <w:r w:rsidRPr="001B4C3C">
              <w:rPr>
                <w:rFonts w:asciiTheme="minorHAnsi" w:hAnsiTheme="minorHAnsi" w:cstheme="minorHAnsi"/>
                <w:sz w:val="22"/>
                <w:szCs w:val="22"/>
                <w:lang w:val="en-GB"/>
              </w:rPr>
              <w:t>Stby</w:t>
            </w:r>
            <w:proofErr w:type="spellEnd"/>
            <w:r w:rsidRPr="001B4C3C">
              <w:rPr>
                <w:rFonts w:asciiTheme="minorHAnsi" w:hAnsiTheme="minorHAnsi" w:cstheme="minorHAnsi"/>
                <w:sz w:val="22"/>
                <w:szCs w:val="22"/>
                <w:lang w:val="en-GB"/>
              </w:rPr>
              <w:t xml:space="preserve"> receivers to a second multicoupler, which will be connected to the other antenna.</w:t>
            </w:r>
          </w:p>
          <w:p w14:paraId="1815CF16" w14:textId="30B7A892"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GB"/>
              </w:rPr>
              <w:t>The transceivers are intended for use only as a main, each with a separate antenna.</w:t>
            </w:r>
          </w:p>
        </w:tc>
      </w:tr>
      <w:tr w:rsidR="001B4C3C" w:rsidRPr="001B4C3C" w14:paraId="54B899A3" w14:textId="77777777" w:rsidTr="001B4C3C">
        <w:tc>
          <w:tcPr>
            <w:tcW w:w="562" w:type="dxa"/>
          </w:tcPr>
          <w:p w14:paraId="42C0E284" w14:textId="10CAB9BD"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6.</w:t>
            </w:r>
          </w:p>
        </w:tc>
        <w:tc>
          <w:tcPr>
            <w:tcW w:w="4536" w:type="dxa"/>
          </w:tcPr>
          <w:p w14:paraId="4C445330"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Kindly clarify the following:</w:t>
            </w:r>
          </w:p>
          <w:p w14:paraId="743835DF"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 Please confirm that the qty</w:t>
            </w:r>
          </w:p>
          <w:p w14:paraId="2B779942"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.08 filters and associated cables and connectors are required for' connecting 8 M/S pairs of transmitters</w:t>
            </w:r>
            <w:proofErr w:type="gramStart"/>
            <w:r w:rsidRPr="001B4C3C">
              <w:rPr>
                <w:rFonts w:asciiTheme="minorHAnsi" w:hAnsiTheme="minorHAnsi" w:cstheme="minorHAnsi"/>
                <w:sz w:val="22"/>
                <w:szCs w:val="22"/>
                <w:lang w:val="en-US"/>
              </w:rPr>
              <w:t>' ?</w:t>
            </w:r>
            <w:proofErr w:type="gramEnd"/>
          </w:p>
          <w:p w14:paraId="263F4C86"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2. Please confirm that no filter control cables /RF cables to filters are required for the remaining '2 M/S pairs of transmitters' and ' 7 M/S pairs of transceivers', and that only RF cables with connectors for</w:t>
            </w:r>
          </w:p>
          <w:p w14:paraId="65677876"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M/S </w:t>
            </w:r>
            <w:proofErr w:type="gramStart"/>
            <w:r w:rsidRPr="001B4C3C">
              <w:rPr>
                <w:rFonts w:asciiTheme="minorHAnsi" w:hAnsiTheme="minorHAnsi" w:cstheme="minorHAnsi"/>
                <w:sz w:val="22"/>
                <w:szCs w:val="22"/>
                <w:lang w:val="en-US"/>
              </w:rPr>
              <w:t>connection are required</w:t>
            </w:r>
            <w:proofErr w:type="gramEnd"/>
            <w:r w:rsidRPr="001B4C3C">
              <w:rPr>
                <w:rFonts w:asciiTheme="minorHAnsi" w:hAnsiTheme="minorHAnsi" w:cstheme="minorHAnsi"/>
                <w:sz w:val="22"/>
                <w:szCs w:val="22"/>
                <w:lang w:val="en-US"/>
              </w:rPr>
              <w:t>?</w:t>
            </w:r>
          </w:p>
          <w:p w14:paraId="4D852128" w14:textId="77777777" w:rsidR="001B4C3C" w:rsidRPr="001B4C3C" w:rsidRDefault="001B4C3C" w:rsidP="001B4C3C">
            <w:pPr>
              <w:spacing w:before="120"/>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0755D0A7" w14:textId="77777777" w:rsidR="001B4C3C" w:rsidRPr="001B4C3C" w:rsidRDefault="001B4C3C" w:rsidP="001B4C3C">
            <w:pPr>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Annex 3. Technical Specification</w:t>
            </w:r>
          </w:p>
          <w:p w14:paraId="02325756"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2.1.2. VHF band-pass filters adjustable for transmitters - 8 units, which shall be suitable for installation in metallic cabinet 19 inches wide (H2000 x W600 x D800 mm).</w:t>
            </w:r>
          </w:p>
          <w:p w14:paraId="604D285A"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Annex1.TenderForm</w:t>
            </w:r>
          </w:p>
          <w:p w14:paraId="7CBEC89A" w14:textId="0B11E1B0"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N-type male to N-type male RF connecting cables for connection transmitters to band-pass filters, transmitter M/S pairs, transceiver M/S pairs, all standard lengths (Clause 2.1.8.4 of the </w:t>
            </w:r>
            <w:proofErr w:type="gramStart"/>
            <w:r w:rsidRPr="001B4C3C">
              <w:rPr>
                <w:rFonts w:asciiTheme="minorHAnsi" w:hAnsiTheme="minorHAnsi" w:cstheme="minorHAnsi"/>
                <w:sz w:val="22"/>
                <w:szCs w:val="22"/>
                <w:lang w:val="en-US"/>
              </w:rPr>
              <w:t>Technical</w:t>
            </w:r>
            <w:proofErr w:type="gramEnd"/>
            <w:r w:rsidRPr="001B4C3C">
              <w:rPr>
                <w:rFonts w:asciiTheme="minorHAnsi" w:hAnsiTheme="minorHAnsi" w:cstheme="minorHAnsi"/>
                <w:sz w:val="22"/>
                <w:szCs w:val="22"/>
                <w:lang w:val="en-US"/>
              </w:rPr>
              <w:t xml:space="preserve"> specification)</w:t>
            </w:r>
          </w:p>
        </w:tc>
        <w:tc>
          <w:tcPr>
            <w:tcW w:w="4530" w:type="dxa"/>
          </w:tcPr>
          <w:p w14:paraId="480BD103"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1. The VHF band-pass filters are intended for use with 4 main and 4 </w:t>
            </w:r>
            <w:proofErr w:type="spellStart"/>
            <w:r w:rsidRPr="001B4C3C">
              <w:rPr>
                <w:rFonts w:asciiTheme="minorHAnsi" w:hAnsiTheme="minorHAnsi" w:cstheme="minorHAnsi"/>
                <w:sz w:val="22"/>
                <w:szCs w:val="22"/>
                <w:lang w:val="en-US"/>
              </w:rPr>
              <w:t>stby</w:t>
            </w:r>
            <w:proofErr w:type="spellEnd"/>
            <w:r w:rsidRPr="001B4C3C">
              <w:rPr>
                <w:rFonts w:asciiTheme="minorHAnsi" w:hAnsiTheme="minorHAnsi" w:cstheme="minorHAnsi"/>
                <w:sz w:val="22"/>
                <w:szCs w:val="22"/>
                <w:lang w:val="en-US"/>
              </w:rPr>
              <w:t xml:space="preserve"> transmitters with some “problematic” frequencies.</w:t>
            </w:r>
          </w:p>
          <w:p w14:paraId="085E4326"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2. The remaining </w:t>
            </w:r>
            <w:proofErr w:type="gramStart"/>
            <w:r w:rsidRPr="001B4C3C">
              <w:rPr>
                <w:rFonts w:asciiTheme="minorHAnsi" w:hAnsiTheme="minorHAnsi" w:cstheme="minorHAnsi"/>
                <w:sz w:val="22"/>
                <w:szCs w:val="22"/>
                <w:lang w:val="en-US"/>
              </w:rPr>
              <w:t>radios</w:t>
            </w:r>
            <w:proofErr w:type="gramEnd"/>
            <w:r w:rsidRPr="001B4C3C">
              <w:rPr>
                <w:rFonts w:asciiTheme="minorHAnsi" w:hAnsiTheme="minorHAnsi" w:cstheme="minorHAnsi"/>
                <w:sz w:val="22"/>
                <w:szCs w:val="22"/>
                <w:lang w:val="en-US"/>
              </w:rPr>
              <w:t xml:space="preserve"> will not be connected to the filters. Therefore, no filter control cables and RF cables to filters are required.</w:t>
            </w:r>
          </w:p>
          <w:p w14:paraId="3E22B64E" w14:textId="2342C13A"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Just RF cables with connectors for M/S connection for 6 M/S transmitter pairs shall be offered.</w:t>
            </w:r>
          </w:p>
        </w:tc>
      </w:tr>
      <w:tr w:rsidR="001B4C3C" w:rsidRPr="001B4C3C" w14:paraId="64FC8100" w14:textId="77777777" w:rsidTr="001B4C3C">
        <w:tc>
          <w:tcPr>
            <w:tcW w:w="562" w:type="dxa"/>
          </w:tcPr>
          <w:p w14:paraId="48EAF11C" w14:textId="52FB9F4B"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7.</w:t>
            </w:r>
          </w:p>
        </w:tc>
        <w:tc>
          <w:tcPr>
            <w:tcW w:w="4536" w:type="dxa"/>
          </w:tcPr>
          <w:p w14:paraId="1A1AD631"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Please note that IEC 60950-1 has been withdrawn and replaced by IEC 62368-1.</w:t>
            </w:r>
          </w:p>
          <w:p w14:paraId="1297D664" w14:textId="77777777" w:rsidR="001B4C3C" w:rsidRPr="001B4C3C" w:rsidRDefault="001B4C3C" w:rsidP="001B4C3C">
            <w:pPr>
              <w:spacing w:after="8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Kindly confirm that the compliance requirement is for the standard IEC 62368-1.</w:t>
            </w:r>
          </w:p>
          <w:p w14:paraId="660883D5" w14:textId="77777777" w:rsidR="001B4C3C" w:rsidRPr="001B4C3C" w:rsidRDefault="001B4C3C" w:rsidP="001B4C3C">
            <w:pPr>
              <w:spacing w:before="120"/>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6FB6637C" w14:textId="77777777" w:rsidR="001B4C3C" w:rsidRPr="001B4C3C" w:rsidRDefault="001B4C3C" w:rsidP="001B4C3C">
            <w:pPr>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Annex 3. Technical Specification</w:t>
            </w:r>
          </w:p>
          <w:p w14:paraId="7830926A" w14:textId="43137579"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14.4. IEC 60950-1, Information technology equipment - Safety.</w:t>
            </w:r>
          </w:p>
        </w:tc>
        <w:tc>
          <w:tcPr>
            <w:tcW w:w="4530" w:type="dxa"/>
          </w:tcPr>
          <w:p w14:paraId="5C8E6C4F"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We confirm that the safety standard for information technology equipment IEC 60950-1 has been replaced by IEC 62368-1, and this standard shall be applied.</w:t>
            </w:r>
          </w:p>
          <w:p w14:paraId="7A6DE524" w14:textId="5EDE0C3B"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The revised version of Annex 3 of the SPC "Technical Specification" is attached.</w:t>
            </w:r>
          </w:p>
        </w:tc>
      </w:tr>
      <w:tr w:rsidR="001B4C3C" w:rsidRPr="001B4C3C" w14:paraId="08DF5AE4" w14:textId="77777777" w:rsidTr="001B4C3C">
        <w:tc>
          <w:tcPr>
            <w:tcW w:w="562" w:type="dxa"/>
          </w:tcPr>
          <w:p w14:paraId="45EDBEA2" w14:textId="0788251B"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8.</w:t>
            </w:r>
          </w:p>
        </w:tc>
        <w:tc>
          <w:tcPr>
            <w:tcW w:w="4536" w:type="dxa"/>
          </w:tcPr>
          <w:p w14:paraId="0D041EFB" w14:textId="77777777" w:rsidR="001B4C3C" w:rsidRPr="001B4C3C" w:rsidRDefault="001B4C3C" w:rsidP="001B4C3C">
            <w:pPr>
              <w:spacing w:after="8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If increased warranty duration is offered over the minimum 24 </w:t>
            </w:r>
            <w:proofErr w:type="spellStart"/>
            <w:r w:rsidRPr="001B4C3C">
              <w:rPr>
                <w:rFonts w:asciiTheme="minorHAnsi" w:hAnsiTheme="minorHAnsi" w:cstheme="minorHAnsi"/>
                <w:sz w:val="22"/>
                <w:szCs w:val="22"/>
                <w:lang w:val="en-US"/>
              </w:rPr>
              <w:t>mths</w:t>
            </w:r>
            <w:proofErr w:type="spellEnd"/>
            <w:r w:rsidRPr="001B4C3C">
              <w:rPr>
                <w:rFonts w:asciiTheme="minorHAnsi" w:hAnsiTheme="minorHAnsi" w:cstheme="minorHAnsi"/>
                <w:sz w:val="22"/>
                <w:szCs w:val="22"/>
                <w:lang w:val="en-US"/>
              </w:rPr>
              <w:t>/2 yrs will this increase</w:t>
            </w:r>
            <w:r w:rsidRPr="001B4C3C">
              <w:rPr>
                <w:rFonts w:asciiTheme="minorHAnsi" w:hAnsiTheme="minorHAnsi" w:cstheme="minorHAnsi"/>
                <w:sz w:val="22"/>
                <w:szCs w:val="22"/>
              </w:rPr>
              <w:t xml:space="preserve"> </w:t>
            </w:r>
            <w:r w:rsidRPr="001B4C3C">
              <w:rPr>
                <w:rFonts w:asciiTheme="minorHAnsi" w:hAnsiTheme="minorHAnsi" w:cstheme="minorHAnsi"/>
                <w:sz w:val="22"/>
                <w:szCs w:val="22"/>
                <w:lang w:val="en-US"/>
              </w:rPr>
              <w:t xml:space="preserve">reduce the </w:t>
            </w:r>
            <w:proofErr w:type="gramStart"/>
            <w:r w:rsidRPr="001B4C3C">
              <w:rPr>
                <w:rFonts w:asciiTheme="minorHAnsi" w:hAnsiTheme="minorHAnsi" w:cstheme="minorHAnsi"/>
                <w:sz w:val="22"/>
                <w:szCs w:val="22"/>
                <w:lang w:val="en-US"/>
              </w:rPr>
              <w:t>after warranty</w:t>
            </w:r>
            <w:proofErr w:type="gramEnd"/>
            <w:r w:rsidRPr="001B4C3C">
              <w:rPr>
                <w:rFonts w:asciiTheme="minorHAnsi" w:hAnsiTheme="minorHAnsi" w:cstheme="minorHAnsi"/>
                <w:sz w:val="22"/>
                <w:szCs w:val="22"/>
                <w:lang w:val="en-US"/>
              </w:rPr>
              <w:t xml:space="preserve"> support duration as stated in Annex 3 item 13.1 'within a period of 8 </w:t>
            </w:r>
            <w:r w:rsidRPr="001B4C3C">
              <w:rPr>
                <w:rFonts w:asciiTheme="minorHAnsi" w:hAnsiTheme="minorHAnsi" w:cstheme="minorHAnsi"/>
                <w:sz w:val="22"/>
                <w:szCs w:val="22"/>
                <w:lang w:val="en-US"/>
              </w:rPr>
              <w:lastRenderedPageBreak/>
              <w:t>years' to keep the overall duration to 10 years (2 yrs+ 8 yrs).</w:t>
            </w:r>
          </w:p>
          <w:p w14:paraId="72253010" w14:textId="77777777" w:rsidR="001B4C3C" w:rsidRPr="001B4C3C" w:rsidRDefault="001B4C3C" w:rsidP="001B4C3C">
            <w:pPr>
              <w:spacing w:before="120"/>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17B1CE73" w14:textId="77777777" w:rsidR="001B4C3C" w:rsidRPr="001B4C3C" w:rsidRDefault="001B4C3C" w:rsidP="001B4C3C">
            <w:pPr>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Annex 3. Technical Specification</w:t>
            </w:r>
          </w:p>
          <w:p w14:paraId="4CB71A54" w14:textId="1B49D65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13. After warranty support, sub-item 13.1</w:t>
            </w:r>
          </w:p>
        </w:tc>
        <w:tc>
          <w:tcPr>
            <w:tcW w:w="4530" w:type="dxa"/>
          </w:tcPr>
          <w:p w14:paraId="7AB082CC"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lastRenderedPageBreak/>
              <w:t xml:space="preserve">The Supplier must guarantee that the service life of the supplied radio equipment will be at least 10 years The Supplier must ensure that the equipment has a service life of at least 10 years, </w:t>
            </w:r>
            <w:r w:rsidRPr="001B4C3C">
              <w:rPr>
                <w:rFonts w:asciiTheme="minorHAnsi" w:hAnsiTheme="minorHAnsi" w:cstheme="minorHAnsi"/>
                <w:sz w:val="22"/>
                <w:szCs w:val="22"/>
                <w:lang w:val="en-US"/>
              </w:rPr>
              <w:lastRenderedPageBreak/>
              <w:t xml:space="preserve">during which spare parts and software updates must be available (requirement of clause 9.2 of the </w:t>
            </w:r>
            <w:proofErr w:type="gramStart"/>
            <w:r w:rsidRPr="001B4C3C">
              <w:rPr>
                <w:rFonts w:asciiTheme="minorHAnsi" w:hAnsiTheme="minorHAnsi" w:cstheme="minorHAnsi"/>
                <w:sz w:val="22"/>
                <w:szCs w:val="22"/>
                <w:lang w:val="en-US"/>
              </w:rPr>
              <w:t>Technical</w:t>
            </w:r>
            <w:proofErr w:type="gramEnd"/>
            <w:r w:rsidRPr="001B4C3C">
              <w:rPr>
                <w:rFonts w:asciiTheme="minorHAnsi" w:hAnsiTheme="minorHAnsi" w:cstheme="minorHAnsi"/>
                <w:sz w:val="22"/>
                <w:szCs w:val="22"/>
                <w:lang w:val="en-US"/>
              </w:rPr>
              <w:t xml:space="preserve"> specification). </w:t>
            </w:r>
          </w:p>
          <w:p w14:paraId="2779DB50" w14:textId="6096B8FB"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If the Supplier offers a warranty period longer than the minimum 24 months, the 8-year period specified in clause 13.1 of the Technical Specifications shall be shortened accordingly so that the total warranty and post-warranty period is the required 10 years. For example, if the warranty period offered is 3 years, the post-warranty service period will be 7 years.</w:t>
            </w:r>
          </w:p>
        </w:tc>
      </w:tr>
      <w:tr w:rsidR="001B4C3C" w:rsidRPr="001B4C3C" w14:paraId="4AC085DC" w14:textId="77777777" w:rsidTr="001B4C3C">
        <w:tc>
          <w:tcPr>
            <w:tcW w:w="562" w:type="dxa"/>
          </w:tcPr>
          <w:p w14:paraId="7BAE9399" w14:textId="11434C2E"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lastRenderedPageBreak/>
              <w:t>9.</w:t>
            </w:r>
          </w:p>
        </w:tc>
        <w:tc>
          <w:tcPr>
            <w:tcW w:w="4536" w:type="dxa"/>
          </w:tcPr>
          <w:p w14:paraId="5DCE2FC4" w14:textId="77777777" w:rsidR="001B4C3C" w:rsidRPr="001B4C3C" w:rsidRDefault="001B4C3C" w:rsidP="001B4C3C">
            <w:pPr>
              <w:spacing w:after="8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 3 lists the set of documentation to be included, whereas Annex 1, Section 5 Price of the Tender does not mention any documentation requirements. Could you please clarify where the pricing details should be included?</w:t>
            </w:r>
          </w:p>
          <w:p w14:paraId="4A0B4EBD" w14:textId="77777777" w:rsidR="001B4C3C" w:rsidRPr="001B4C3C" w:rsidRDefault="001B4C3C" w:rsidP="001B4C3C">
            <w:pPr>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2ED88F03"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 3. Technical Specifications</w:t>
            </w:r>
          </w:p>
          <w:p w14:paraId="44F34493"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6.2 Other documents that the Supplier must submit (in electronic form).</w:t>
            </w:r>
          </w:p>
          <w:p w14:paraId="439A971D"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Annex1.TenderForm</w:t>
            </w:r>
          </w:p>
          <w:p w14:paraId="73614C51" w14:textId="1CA419F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5. Price of the Tender.</w:t>
            </w:r>
          </w:p>
        </w:tc>
        <w:tc>
          <w:tcPr>
            <w:tcW w:w="4530" w:type="dxa"/>
          </w:tcPr>
          <w:p w14:paraId="5E84D7D2" w14:textId="77777777" w:rsidR="001B4C3C" w:rsidRPr="001B4C3C" w:rsidRDefault="001B4C3C" w:rsidP="001B4C3C">
            <w:pPr>
              <w:spacing w:after="4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Detailed information regarding the Price of the Tender, including its components, must be provided by completing Tables 1–3 of Annex 1 “Tender Form” of the SPC.</w:t>
            </w:r>
          </w:p>
          <w:p w14:paraId="29586AE2" w14:textId="77777777" w:rsidR="001B4C3C" w:rsidRPr="001B4C3C" w:rsidRDefault="001B4C3C" w:rsidP="001B4C3C">
            <w:pPr>
              <w:spacing w:after="4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Clause 6.2 of Annex 3 of the SPC “Technical Specification” specifies the documents that </w:t>
            </w:r>
            <w:r w:rsidRPr="001B4C3C">
              <w:rPr>
                <w:rFonts w:asciiTheme="minorHAnsi" w:hAnsiTheme="minorHAnsi" w:cstheme="minorHAnsi"/>
                <w:b/>
                <w:bCs/>
                <w:sz w:val="22"/>
                <w:szCs w:val="22"/>
                <w:lang w:val="en-US"/>
              </w:rPr>
              <w:t>must be submitted during the performance of the contract</w:t>
            </w:r>
            <w:r w:rsidRPr="001B4C3C">
              <w:rPr>
                <w:rFonts w:asciiTheme="minorHAnsi" w:hAnsiTheme="minorHAnsi" w:cstheme="minorHAnsi"/>
                <w:sz w:val="22"/>
                <w:szCs w:val="22"/>
                <w:lang w:val="en-US"/>
              </w:rPr>
              <w:t>. The clause also specifies at what stage each document must be submitted.</w:t>
            </w:r>
          </w:p>
          <w:p w14:paraId="4009208A" w14:textId="77777777" w:rsidR="001B4C3C" w:rsidRPr="001B4C3C" w:rsidRDefault="001B4C3C" w:rsidP="001B4C3C">
            <w:pPr>
              <w:spacing w:after="4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The complete list of documents </w:t>
            </w:r>
            <w:r w:rsidRPr="001B4C3C">
              <w:rPr>
                <w:rFonts w:asciiTheme="minorHAnsi" w:hAnsiTheme="minorHAnsi" w:cstheme="minorHAnsi"/>
                <w:b/>
                <w:bCs/>
                <w:sz w:val="22"/>
                <w:szCs w:val="22"/>
                <w:lang w:val="en-US"/>
              </w:rPr>
              <w:t>to be submitted with the Tender</w:t>
            </w:r>
            <w:r w:rsidRPr="001B4C3C">
              <w:rPr>
                <w:rFonts w:asciiTheme="minorHAnsi" w:hAnsiTheme="minorHAnsi" w:cstheme="minorHAnsi"/>
                <w:sz w:val="22"/>
                <w:szCs w:val="22"/>
                <w:lang w:val="en-US"/>
              </w:rPr>
              <w:t xml:space="preserve"> is specified in clause 4.2 of the SPC.</w:t>
            </w:r>
          </w:p>
          <w:p w14:paraId="76B9A374" w14:textId="77777777" w:rsidR="001B4C3C" w:rsidRPr="001B4C3C" w:rsidRDefault="001B4C3C" w:rsidP="001B4C3C">
            <w:pPr>
              <w:jc w:val="both"/>
              <w:rPr>
                <w:rFonts w:asciiTheme="minorHAnsi" w:hAnsiTheme="minorHAnsi" w:cstheme="minorHAnsi"/>
                <w:sz w:val="22"/>
                <w:szCs w:val="22"/>
                <w:lang w:val="en-US"/>
              </w:rPr>
            </w:pPr>
          </w:p>
        </w:tc>
      </w:tr>
      <w:tr w:rsidR="001B4C3C" w:rsidRPr="001B4C3C" w14:paraId="04357BCF" w14:textId="77777777" w:rsidTr="001B4C3C">
        <w:tc>
          <w:tcPr>
            <w:tcW w:w="562" w:type="dxa"/>
          </w:tcPr>
          <w:p w14:paraId="56DC3857" w14:textId="39323011"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10.</w:t>
            </w:r>
          </w:p>
        </w:tc>
        <w:tc>
          <w:tcPr>
            <w:tcW w:w="4536" w:type="dxa"/>
          </w:tcPr>
          <w:p w14:paraId="556ABF29" w14:textId="77777777" w:rsidR="001B4C3C" w:rsidRPr="001B4C3C" w:rsidRDefault="001B4C3C" w:rsidP="001B4C3C">
            <w:pPr>
              <w:spacing w:after="8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9.3.5. In the case of software operation problems, if they cannot be eliminated through remote consultations, the Supplier must send its specialist to the site of installation of the Equipment within 5 working days at the latest for elimination of the problem. Please can you update to 10 working days?</w:t>
            </w:r>
          </w:p>
          <w:p w14:paraId="7B347091" w14:textId="77777777" w:rsidR="001B4C3C" w:rsidRPr="001B4C3C" w:rsidRDefault="001B4C3C" w:rsidP="001B4C3C">
            <w:pPr>
              <w:spacing w:before="120"/>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596A3F44" w14:textId="25CF615D"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color w:val="333333"/>
                <w:sz w:val="22"/>
                <w:szCs w:val="22"/>
                <w:lang w:val="en-US" w:eastAsia="lt-LT"/>
              </w:rPr>
              <w:t>Annex 3. Technical Specification - 9.3.5</w:t>
            </w:r>
          </w:p>
        </w:tc>
        <w:tc>
          <w:tcPr>
            <w:tcW w:w="4530" w:type="dxa"/>
          </w:tcPr>
          <w:p w14:paraId="5C09EF7D" w14:textId="1FD6FBD6"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This requirement is important for mission critical equipment and remains unchanged.</w:t>
            </w:r>
          </w:p>
        </w:tc>
      </w:tr>
      <w:tr w:rsidR="001B4C3C" w:rsidRPr="001B4C3C" w14:paraId="76DBBE41" w14:textId="77777777" w:rsidTr="001B4C3C">
        <w:tc>
          <w:tcPr>
            <w:tcW w:w="562" w:type="dxa"/>
          </w:tcPr>
          <w:p w14:paraId="12DB6F2C" w14:textId="15880C6C"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11.</w:t>
            </w:r>
          </w:p>
        </w:tc>
        <w:tc>
          <w:tcPr>
            <w:tcW w:w="4536" w:type="dxa"/>
          </w:tcPr>
          <w:p w14:paraId="1F51503F" w14:textId="77777777" w:rsidR="001B4C3C" w:rsidRPr="001B4C3C" w:rsidRDefault="001B4C3C" w:rsidP="001B4C3C">
            <w:pPr>
              <w:tabs>
                <w:tab w:val="left" w:pos="256"/>
              </w:tabs>
              <w:spacing w:after="6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13.3.4. The supplier assesses the failure no later than within 5 working days from the receipt of the defective part and calculates the repair price of the part at the rate specified in the contract and indicates it to the Customer in writing. Upon the Customer's request, the Supplier must provide a written justification of the repair price. Please can you update to 10 working days?</w:t>
            </w:r>
          </w:p>
          <w:p w14:paraId="0D803F88" w14:textId="77777777" w:rsidR="001B4C3C" w:rsidRPr="001B4C3C" w:rsidRDefault="001B4C3C" w:rsidP="001B4C3C">
            <w:pPr>
              <w:spacing w:before="120"/>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07449C97" w14:textId="0C11F231"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color w:val="333333"/>
                <w:sz w:val="22"/>
                <w:szCs w:val="22"/>
                <w:lang w:val="en-US" w:eastAsia="lt-LT"/>
              </w:rPr>
              <w:t>Annex 3. Technical Specification - 13.3.4</w:t>
            </w:r>
          </w:p>
        </w:tc>
        <w:tc>
          <w:tcPr>
            <w:tcW w:w="4530" w:type="dxa"/>
          </w:tcPr>
          <w:p w14:paraId="6E3809C5" w14:textId="2784F49B"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This requirement is important to accelerate the restoration of critical equipment and remains unchanged.</w:t>
            </w:r>
          </w:p>
        </w:tc>
      </w:tr>
      <w:tr w:rsidR="001B4C3C" w:rsidRPr="001B4C3C" w14:paraId="66D407CC" w14:textId="77777777" w:rsidTr="001B4C3C">
        <w:tc>
          <w:tcPr>
            <w:tcW w:w="562" w:type="dxa"/>
          </w:tcPr>
          <w:p w14:paraId="671EAED5" w14:textId="32A897A1"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12.</w:t>
            </w:r>
          </w:p>
        </w:tc>
        <w:tc>
          <w:tcPr>
            <w:tcW w:w="4536" w:type="dxa"/>
          </w:tcPr>
          <w:p w14:paraId="08CDD39C" w14:textId="77777777" w:rsidR="001B4C3C" w:rsidRPr="001B4C3C" w:rsidRDefault="001B4C3C" w:rsidP="001B4C3C">
            <w:pPr>
              <w:tabs>
                <w:tab w:val="left" w:pos="256"/>
              </w:tabs>
              <w:spacing w:after="6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Annex </w:t>
            </w:r>
            <w:proofErr w:type="gramStart"/>
            <w:r w:rsidRPr="001B4C3C">
              <w:rPr>
                <w:rFonts w:asciiTheme="minorHAnsi" w:hAnsiTheme="minorHAnsi" w:cstheme="minorHAnsi"/>
                <w:sz w:val="22"/>
                <w:szCs w:val="22"/>
                <w:lang w:val="en-US"/>
              </w:rPr>
              <w:t>3 section</w:t>
            </w:r>
            <w:proofErr w:type="gramEnd"/>
            <w:r w:rsidRPr="001B4C3C">
              <w:rPr>
                <w:rFonts w:asciiTheme="minorHAnsi" w:hAnsiTheme="minorHAnsi" w:cstheme="minorHAnsi"/>
                <w:sz w:val="22"/>
                <w:szCs w:val="22"/>
                <w:lang w:val="en-US"/>
              </w:rPr>
              <w:t xml:space="preserve"> </w:t>
            </w:r>
            <w:proofErr w:type="gramStart"/>
            <w:r w:rsidRPr="001B4C3C">
              <w:rPr>
                <w:rFonts w:asciiTheme="minorHAnsi" w:hAnsiTheme="minorHAnsi" w:cstheme="minorHAnsi"/>
                <w:sz w:val="22"/>
                <w:szCs w:val="22"/>
                <w:lang w:val="en-US"/>
              </w:rPr>
              <w:t>requests that</w:t>
            </w:r>
            <w:proofErr w:type="gramEnd"/>
            <w:r w:rsidRPr="001B4C3C">
              <w:rPr>
                <w:rFonts w:asciiTheme="minorHAnsi" w:hAnsiTheme="minorHAnsi" w:cstheme="minorHAnsi"/>
                <w:sz w:val="22"/>
                <w:szCs w:val="22"/>
                <w:lang w:val="en-US"/>
              </w:rPr>
              <w:t xml:space="preserve"> "5.</w:t>
            </w:r>
            <w:proofErr w:type="gramStart"/>
            <w:r w:rsidRPr="001B4C3C">
              <w:rPr>
                <w:rFonts w:asciiTheme="minorHAnsi" w:hAnsiTheme="minorHAnsi" w:cstheme="minorHAnsi"/>
                <w:sz w:val="22"/>
                <w:szCs w:val="22"/>
                <w:lang w:val="en-US"/>
              </w:rPr>
              <w:t>1.To</w:t>
            </w:r>
            <w:proofErr w:type="gramEnd"/>
            <w:r w:rsidRPr="001B4C3C">
              <w:rPr>
                <w:rFonts w:asciiTheme="minorHAnsi" w:hAnsiTheme="minorHAnsi" w:cstheme="minorHAnsi"/>
                <w:sz w:val="22"/>
                <w:szCs w:val="22"/>
                <w:lang w:val="en-US"/>
              </w:rPr>
              <w:t xml:space="preserve"> demonstrate equipment in operation, the Supplier shall organize FAT for Customer representatives after the technical training", whereas Annex 1, Section 5 Price of the </w:t>
            </w:r>
            <w:proofErr w:type="gramStart"/>
            <w:r w:rsidRPr="001B4C3C">
              <w:rPr>
                <w:rFonts w:asciiTheme="minorHAnsi" w:hAnsiTheme="minorHAnsi" w:cstheme="minorHAnsi"/>
                <w:sz w:val="22"/>
                <w:szCs w:val="22"/>
                <w:lang w:val="en-US"/>
              </w:rPr>
              <w:t>Tender</w:t>
            </w:r>
            <w:proofErr w:type="gramEnd"/>
            <w:r w:rsidRPr="001B4C3C">
              <w:rPr>
                <w:rFonts w:asciiTheme="minorHAnsi" w:hAnsiTheme="minorHAnsi" w:cstheme="minorHAnsi"/>
                <w:sz w:val="22"/>
                <w:szCs w:val="22"/>
                <w:lang w:val="en-US"/>
              </w:rPr>
              <w:t xml:space="preserve"> does not mention any FAT / factory testing requirements. Could you please clarify where the pricing details should be included?</w:t>
            </w:r>
          </w:p>
          <w:p w14:paraId="5B3BAC29" w14:textId="77777777" w:rsidR="001B4C3C" w:rsidRPr="001B4C3C" w:rsidRDefault="001B4C3C" w:rsidP="001B4C3C">
            <w:pPr>
              <w:spacing w:before="120"/>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1F261EE3" w14:textId="1B488C58"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lastRenderedPageBreak/>
              <w:t>Annex 3. Technical Specifications 5.1 5.1. To demonstrate equipment in operation, the Supplier shall organize FAT for Customer representatives after the technical training. Annex 1. Tender Form 5. Price of the Tender.</w:t>
            </w:r>
          </w:p>
        </w:tc>
        <w:tc>
          <w:tcPr>
            <w:tcW w:w="4530" w:type="dxa"/>
          </w:tcPr>
          <w:p w14:paraId="147BA776" w14:textId="493CD194"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lastRenderedPageBreak/>
              <w:t>The cost of FAT</w:t>
            </w:r>
            <w:r w:rsidRPr="001B4C3C">
              <w:rPr>
                <w:rFonts w:asciiTheme="minorHAnsi" w:hAnsiTheme="minorHAnsi" w:cstheme="minorHAnsi"/>
                <w:sz w:val="22"/>
                <w:szCs w:val="22"/>
              </w:rPr>
              <w:t xml:space="preserve"> </w:t>
            </w:r>
            <w:r w:rsidRPr="001B4C3C">
              <w:rPr>
                <w:rFonts w:asciiTheme="minorHAnsi" w:hAnsiTheme="minorHAnsi" w:cstheme="minorHAnsi"/>
                <w:sz w:val="22"/>
                <w:szCs w:val="22"/>
                <w:lang w:val="en-US"/>
              </w:rPr>
              <w:t>is not itemized separately in the Price of the Tender. All expenses related to FAT must be included in the price of the equipment.</w:t>
            </w:r>
          </w:p>
        </w:tc>
      </w:tr>
      <w:tr w:rsidR="001B4C3C" w:rsidRPr="001B4C3C" w14:paraId="11563A2F" w14:textId="77777777" w:rsidTr="001B4C3C">
        <w:tc>
          <w:tcPr>
            <w:tcW w:w="562" w:type="dxa"/>
          </w:tcPr>
          <w:p w14:paraId="6F3C0435" w14:textId="3D40EACA"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13.</w:t>
            </w:r>
          </w:p>
        </w:tc>
        <w:tc>
          <w:tcPr>
            <w:tcW w:w="4536" w:type="dxa"/>
          </w:tcPr>
          <w:p w14:paraId="7E7C20EB" w14:textId="77777777" w:rsidR="001B4C3C" w:rsidRPr="001B4C3C" w:rsidRDefault="001B4C3C" w:rsidP="001B4C3C">
            <w:pPr>
              <w:tabs>
                <w:tab w:val="left" w:pos="256"/>
              </w:tabs>
              <w:spacing w:after="12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We understand that RCMS need not be supplied if the radios allow configuring, monitoring and control via existing RCMS Park Air R4 MARC server and therefore compliance to section 7.1 to 7.8 is 'not applicable' in this case. Please confirm.</w:t>
            </w:r>
          </w:p>
          <w:p w14:paraId="7B07D9E5" w14:textId="77777777" w:rsidR="001B4C3C" w:rsidRPr="001B4C3C" w:rsidRDefault="001B4C3C" w:rsidP="001B4C3C">
            <w:pPr>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773F1036"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 1. Tender Form</w:t>
            </w:r>
          </w:p>
          <w:p w14:paraId="495DE8B8"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7. Remote control and monitoring</w:t>
            </w:r>
          </w:p>
          <w:p w14:paraId="6C7A630E" w14:textId="32B5B37C"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The transmitters, receivers, transceivers (and others if applicable) shall </w:t>
            </w:r>
            <w:proofErr w:type="gramStart"/>
            <w:r w:rsidRPr="001B4C3C">
              <w:rPr>
                <w:rFonts w:asciiTheme="minorHAnsi" w:hAnsiTheme="minorHAnsi" w:cstheme="minorHAnsi"/>
                <w:sz w:val="22"/>
                <w:szCs w:val="22"/>
                <w:lang w:val="en-US"/>
              </w:rPr>
              <w:t>allow</w:t>
            </w:r>
            <w:proofErr w:type="gramEnd"/>
            <w:r w:rsidRPr="001B4C3C">
              <w:rPr>
                <w:rFonts w:asciiTheme="minorHAnsi" w:hAnsiTheme="minorHAnsi" w:cstheme="minorHAnsi"/>
                <w:sz w:val="22"/>
                <w:szCs w:val="22"/>
                <w:lang w:val="en-US"/>
              </w:rPr>
              <w:t xml:space="preserve"> to configure, monitor and control them via RCMS Park Air R4 MARC server. If this</w:t>
            </w:r>
            <w:r w:rsidRPr="001B4C3C">
              <w:rPr>
                <w:rFonts w:asciiTheme="minorHAnsi" w:hAnsiTheme="minorHAnsi" w:cstheme="minorHAnsi"/>
                <w:sz w:val="22"/>
                <w:szCs w:val="22"/>
              </w:rPr>
              <w:t xml:space="preserve"> </w:t>
            </w:r>
            <w:r w:rsidRPr="001B4C3C">
              <w:rPr>
                <w:rFonts w:asciiTheme="minorHAnsi" w:hAnsiTheme="minorHAnsi" w:cstheme="minorHAnsi"/>
                <w:sz w:val="22"/>
                <w:szCs w:val="22"/>
                <w:lang w:val="en-US"/>
              </w:rPr>
              <w:t>RCMS is not suitable, then the Supplier shall provide a suitable RCMS together with the 2 PCs or server and 2 PCs to control the radio devices the Supplier supplies.</w:t>
            </w:r>
          </w:p>
        </w:tc>
        <w:tc>
          <w:tcPr>
            <w:tcW w:w="4530" w:type="dxa"/>
          </w:tcPr>
          <w:p w14:paraId="7FB37150"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If the proposed equipment is compatible with the Contracting Entity’s existing RCMS Park Air R4 MARC server, i.e. it ensures the performance of all the functions specified in sections 3.7.2–3.7.8 of the compliance table in Annex 1, then the RCMS does not need to be supplied.</w:t>
            </w:r>
          </w:p>
          <w:p w14:paraId="2E370F64" w14:textId="220EFF0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If the proposed equipment does not ensure full compliance with the requirements listed in these sections when using the RCMS Park Air R4 MARC server, the Supplier must provide a suitable RCMS solution - either by updating the existing RCMS accordingly or by supplying a suitable RCMS, as specified in section 3.7.1 of the compliance table in Annex 1.</w:t>
            </w:r>
          </w:p>
        </w:tc>
      </w:tr>
      <w:tr w:rsidR="001B4C3C" w:rsidRPr="001B4C3C" w14:paraId="146E1602" w14:textId="77777777" w:rsidTr="001B4C3C">
        <w:tc>
          <w:tcPr>
            <w:tcW w:w="562" w:type="dxa"/>
          </w:tcPr>
          <w:p w14:paraId="3402E229" w14:textId="345A77DA"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14.</w:t>
            </w:r>
          </w:p>
        </w:tc>
        <w:tc>
          <w:tcPr>
            <w:tcW w:w="4536" w:type="dxa"/>
          </w:tcPr>
          <w:p w14:paraId="0DB4A48A"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Please clarify whether these access control requirements are intended for IT equipment such as PCs and servers only, and not applicable to the below:</w:t>
            </w:r>
          </w:p>
          <w:p w14:paraId="6618FA67"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w:t>
            </w:r>
            <w:r w:rsidRPr="001B4C3C">
              <w:rPr>
                <w:rFonts w:asciiTheme="minorHAnsi" w:hAnsiTheme="minorHAnsi" w:cstheme="minorHAnsi"/>
                <w:sz w:val="22"/>
                <w:szCs w:val="22"/>
                <w:lang w:val="en-US"/>
              </w:rPr>
              <w:tab/>
              <w:t>radio communication equipment like VHF ground radios</w:t>
            </w:r>
          </w:p>
          <w:p w14:paraId="674B2B11"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b)</w:t>
            </w:r>
            <w:r w:rsidRPr="001B4C3C">
              <w:rPr>
                <w:rFonts w:asciiTheme="minorHAnsi" w:hAnsiTheme="minorHAnsi" w:cstheme="minorHAnsi"/>
                <w:sz w:val="22"/>
                <w:szCs w:val="22"/>
                <w:lang w:val="en-US"/>
              </w:rPr>
              <w:tab/>
              <w:t>remote radio controller.</w:t>
            </w:r>
          </w:p>
          <w:p w14:paraId="49C0095C" w14:textId="77777777" w:rsidR="001B4C3C" w:rsidRPr="001B4C3C" w:rsidRDefault="001B4C3C" w:rsidP="001B4C3C">
            <w:pPr>
              <w:spacing w:before="120"/>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6733F49F"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 3. Technical Specifications</w:t>
            </w:r>
          </w:p>
          <w:p w14:paraId="4F3C6EAC"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Section 11.9 Access control requirements</w:t>
            </w:r>
          </w:p>
          <w:p w14:paraId="6DAB0480" w14:textId="77777777" w:rsidR="001B4C3C" w:rsidRPr="001B4C3C" w:rsidRDefault="001B4C3C" w:rsidP="001B4C3C">
            <w:pPr>
              <w:jc w:val="both"/>
              <w:rPr>
                <w:rFonts w:asciiTheme="minorHAnsi" w:hAnsiTheme="minorHAnsi" w:cstheme="minorHAnsi"/>
                <w:sz w:val="22"/>
                <w:szCs w:val="22"/>
                <w:lang w:val="en-US"/>
              </w:rPr>
            </w:pPr>
          </w:p>
        </w:tc>
        <w:tc>
          <w:tcPr>
            <w:tcW w:w="4530" w:type="dxa"/>
          </w:tcPr>
          <w:p w14:paraId="54D898E3" w14:textId="5C6EA070"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Access control requirements are applicable for all equipment under supply. If any of these requirements can’t be implemented an explanatory information shall be provided.</w:t>
            </w:r>
          </w:p>
        </w:tc>
      </w:tr>
      <w:tr w:rsidR="001B4C3C" w:rsidRPr="001B4C3C" w14:paraId="3F6A88E7" w14:textId="77777777" w:rsidTr="001B4C3C">
        <w:tc>
          <w:tcPr>
            <w:tcW w:w="562" w:type="dxa"/>
          </w:tcPr>
          <w:p w14:paraId="5E4F0086" w14:textId="1B0DCE5E"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15.</w:t>
            </w:r>
          </w:p>
        </w:tc>
        <w:tc>
          <w:tcPr>
            <w:tcW w:w="4536" w:type="dxa"/>
          </w:tcPr>
          <w:p w14:paraId="7BB2B247" w14:textId="77777777" w:rsidR="001B4C3C" w:rsidRPr="001B4C3C" w:rsidRDefault="001B4C3C" w:rsidP="001B4C3C">
            <w:pPr>
              <w:tabs>
                <w:tab w:val="left" w:pos="256"/>
              </w:tabs>
              <w:spacing w:after="12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Please clarify whether this refers to a vulnerability test conducted on-site before installation, or a vulnerability test specifically on the </w:t>
            </w:r>
            <w:proofErr w:type="gramStart"/>
            <w:r w:rsidRPr="001B4C3C">
              <w:rPr>
                <w:rFonts w:asciiTheme="minorHAnsi" w:hAnsiTheme="minorHAnsi" w:cstheme="minorHAnsi"/>
                <w:sz w:val="22"/>
                <w:szCs w:val="22"/>
                <w:lang w:val="en-US"/>
              </w:rPr>
              <w:t>supplied equipment</w:t>
            </w:r>
            <w:proofErr w:type="gramEnd"/>
            <w:r w:rsidRPr="001B4C3C">
              <w:rPr>
                <w:rFonts w:asciiTheme="minorHAnsi" w:hAnsiTheme="minorHAnsi" w:cstheme="minorHAnsi"/>
                <w:sz w:val="22"/>
                <w:szCs w:val="22"/>
                <w:lang w:val="en-US"/>
              </w:rPr>
              <w:t xml:space="preserve"> </w:t>
            </w:r>
            <w:proofErr w:type="gramStart"/>
            <w:r w:rsidRPr="001B4C3C">
              <w:rPr>
                <w:rFonts w:asciiTheme="minorHAnsi" w:hAnsiTheme="minorHAnsi" w:cstheme="minorHAnsi"/>
                <w:sz w:val="22"/>
                <w:szCs w:val="22"/>
                <w:lang w:val="en-US"/>
              </w:rPr>
              <w:t>( VHF</w:t>
            </w:r>
            <w:proofErr w:type="gramEnd"/>
            <w:r w:rsidRPr="001B4C3C">
              <w:rPr>
                <w:rFonts w:asciiTheme="minorHAnsi" w:hAnsiTheme="minorHAnsi" w:cstheme="minorHAnsi"/>
                <w:sz w:val="22"/>
                <w:szCs w:val="22"/>
                <w:lang w:val="en-US"/>
              </w:rPr>
              <w:t xml:space="preserve"> radios and remote radio controller) itself?</w:t>
            </w:r>
          </w:p>
          <w:p w14:paraId="116E4E99" w14:textId="77777777" w:rsidR="001B4C3C" w:rsidRPr="001B4C3C" w:rsidRDefault="001B4C3C" w:rsidP="001B4C3C">
            <w:pPr>
              <w:tabs>
                <w:tab w:val="left" w:pos="256"/>
              </w:tabs>
              <w:spacing w:after="12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Additionally, if the test pertains to the equipment, could you confirm whether the assessment is limited only to the VHF radio equipment, and not applicable to the radio remote controller?</w:t>
            </w:r>
          </w:p>
          <w:p w14:paraId="4FCA0059" w14:textId="77777777" w:rsidR="001B4C3C" w:rsidRPr="001B4C3C" w:rsidRDefault="001B4C3C" w:rsidP="001B4C3C">
            <w:pPr>
              <w:spacing w:before="120"/>
              <w:jc w:val="both"/>
              <w:rPr>
                <w:rFonts w:asciiTheme="minorHAnsi" w:hAnsiTheme="minorHAnsi" w:cstheme="minorHAnsi"/>
                <w:color w:val="333333"/>
                <w:sz w:val="22"/>
                <w:szCs w:val="22"/>
                <w:lang w:val="en-US" w:eastAsia="lt-LT"/>
              </w:rPr>
            </w:pPr>
            <w:r w:rsidRPr="001B4C3C">
              <w:rPr>
                <w:rFonts w:asciiTheme="minorHAnsi" w:hAnsiTheme="minorHAnsi" w:cstheme="minorHAnsi"/>
                <w:color w:val="333333"/>
                <w:sz w:val="22"/>
                <w:szCs w:val="22"/>
                <w:lang w:val="en-US" w:eastAsia="lt-LT"/>
              </w:rPr>
              <w:t>Tender Document Reference:</w:t>
            </w:r>
          </w:p>
          <w:p w14:paraId="137C3C16"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 3. Technical Specifications</w:t>
            </w:r>
          </w:p>
          <w:p w14:paraId="17D3FE8E" w14:textId="2019E518"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11.2. Before installing or upgrading the equipment, a vulnerability assessment shall be performed using automated scanners or manual testing. If vulnerabilities are found, their criticality shall be assessed. The test results (report) shall be submitted to the Customer. Only after the vulnerabilities have been eliminated, </w:t>
            </w:r>
            <w:proofErr w:type="gramStart"/>
            <w:r w:rsidRPr="001B4C3C">
              <w:rPr>
                <w:rFonts w:asciiTheme="minorHAnsi" w:hAnsiTheme="minorHAnsi" w:cstheme="minorHAnsi"/>
                <w:sz w:val="22"/>
                <w:szCs w:val="22"/>
                <w:lang w:val="en-US"/>
              </w:rPr>
              <w:t>the equipment can</w:t>
            </w:r>
            <w:proofErr w:type="gramEnd"/>
            <w:r w:rsidRPr="001B4C3C">
              <w:rPr>
                <w:rFonts w:asciiTheme="minorHAnsi" w:hAnsiTheme="minorHAnsi" w:cstheme="minorHAnsi"/>
                <w:sz w:val="22"/>
                <w:szCs w:val="22"/>
                <w:lang w:val="en-US"/>
              </w:rPr>
              <w:t xml:space="preserve"> be used in operation.</w:t>
            </w:r>
          </w:p>
        </w:tc>
        <w:tc>
          <w:tcPr>
            <w:tcW w:w="4530" w:type="dxa"/>
          </w:tcPr>
          <w:p w14:paraId="3AD95A50" w14:textId="1C76A00A"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Vulnerability assessment requirements are applicable for all equipment under supply. The Supplier shall decide the method and scope of assessment to be applied.</w:t>
            </w:r>
          </w:p>
        </w:tc>
      </w:tr>
      <w:tr w:rsidR="001B4C3C" w:rsidRPr="001B4C3C" w14:paraId="7BC5E43B" w14:textId="77777777" w:rsidTr="001B4C3C">
        <w:tc>
          <w:tcPr>
            <w:tcW w:w="562" w:type="dxa"/>
          </w:tcPr>
          <w:p w14:paraId="7512D796" w14:textId="0DE65CB4"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lastRenderedPageBreak/>
              <w:t>16.</w:t>
            </w:r>
          </w:p>
        </w:tc>
        <w:tc>
          <w:tcPr>
            <w:tcW w:w="4536" w:type="dxa"/>
          </w:tcPr>
          <w:p w14:paraId="597F1A4A"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Kindly confirm that for the </w:t>
            </w:r>
            <w:proofErr w:type="gramStart"/>
            <w:r w:rsidRPr="001B4C3C">
              <w:rPr>
                <w:rFonts w:asciiTheme="minorHAnsi" w:hAnsiTheme="minorHAnsi" w:cstheme="minorHAnsi"/>
                <w:sz w:val="22"/>
                <w:szCs w:val="22"/>
                <w:lang w:val="en-US"/>
              </w:rPr>
              <w:t>supplied radio equipment</w:t>
            </w:r>
            <w:proofErr w:type="gramEnd"/>
            <w:r w:rsidRPr="001B4C3C">
              <w:rPr>
                <w:rFonts w:asciiTheme="minorHAnsi" w:hAnsiTheme="minorHAnsi" w:cstheme="minorHAnsi"/>
                <w:sz w:val="22"/>
                <w:szCs w:val="22"/>
                <w:lang w:val="en-US"/>
              </w:rPr>
              <w:t xml:space="preserve"> compliance </w:t>
            </w:r>
            <w:proofErr w:type="gramStart"/>
            <w:r w:rsidRPr="001B4C3C">
              <w:rPr>
                <w:rFonts w:asciiTheme="minorHAnsi" w:hAnsiTheme="minorHAnsi" w:cstheme="minorHAnsi"/>
                <w:sz w:val="22"/>
                <w:szCs w:val="22"/>
                <w:lang w:val="en-US"/>
              </w:rPr>
              <w:t>to</w:t>
            </w:r>
            <w:proofErr w:type="gramEnd"/>
            <w:r w:rsidRPr="001B4C3C">
              <w:rPr>
                <w:rFonts w:asciiTheme="minorHAnsi" w:hAnsiTheme="minorHAnsi" w:cstheme="minorHAnsi"/>
                <w:sz w:val="22"/>
                <w:szCs w:val="22"/>
                <w:lang w:val="en-US"/>
              </w:rPr>
              <w:t xml:space="preserve"> the below security standards are sufficient and acceptable in place of the requirements listed under section 11. Security </w:t>
            </w:r>
            <w:proofErr w:type="gramStart"/>
            <w:r w:rsidRPr="001B4C3C">
              <w:rPr>
                <w:rFonts w:asciiTheme="minorHAnsi" w:hAnsiTheme="minorHAnsi" w:cstheme="minorHAnsi"/>
                <w:sz w:val="22"/>
                <w:szCs w:val="22"/>
                <w:lang w:val="en-US"/>
              </w:rPr>
              <w:t>requirements ?</w:t>
            </w:r>
            <w:proofErr w:type="gramEnd"/>
          </w:p>
          <w:p w14:paraId="7C206BDC"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w:t>
            </w:r>
            <w:r w:rsidRPr="001B4C3C">
              <w:rPr>
                <w:rFonts w:asciiTheme="minorHAnsi" w:hAnsiTheme="minorHAnsi" w:cstheme="minorHAnsi"/>
                <w:sz w:val="22"/>
                <w:szCs w:val="22"/>
                <w:lang w:val="en-US"/>
              </w:rPr>
              <w:tab/>
              <w:t>Eurocontrol VoIP Security Baseline requirement VOIP-SEC-AIPOO50</w:t>
            </w:r>
          </w:p>
          <w:p w14:paraId="02D6D51B"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2.</w:t>
            </w:r>
            <w:r w:rsidRPr="001B4C3C">
              <w:rPr>
                <w:rFonts w:asciiTheme="minorHAnsi" w:hAnsiTheme="minorHAnsi" w:cstheme="minorHAnsi"/>
                <w:sz w:val="22"/>
                <w:szCs w:val="22"/>
                <w:lang w:val="en-US"/>
              </w:rPr>
              <w:tab/>
              <w:t>EN 18031-1 European cybersecurity standard</w:t>
            </w:r>
          </w:p>
          <w:p w14:paraId="06BA1BCB"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3.</w:t>
            </w:r>
            <w:r w:rsidRPr="001B4C3C">
              <w:rPr>
                <w:rFonts w:asciiTheme="minorHAnsi" w:hAnsiTheme="minorHAnsi" w:cstheme="minorHAnsi"/>
                <w:sz w:val="22"/>
                <w:szCs w:val="22"/>
                <w:lang w:val="en-US"/>
              </w:rPr>
              <w:tab/>
              <w:t>ISO27001 Cybersecurity essential Plus.</w:t>
            </w:r>
          </w:p>
          <w:p w14:paraId="2CC8E9F4" w14:textId="77777777" w:rsidR="001B4C3C" w:rsidRPr="001B4C3C" w:rsidRDefault="001B4C3C" w:rsidP="001B4C3C">
            <w:pPr>
              <w:tabs>
                <w:tab w:val="left" w:pos="256"/>
              </w:tabs>
              <w:jc w:val="both"/>
              <w:rPr>
                <w:rFonts w:asciiTheme="minorHAnsi" w:hAnsiTheme="minorHAnsi" w:cstheme="minorHAnsi"/>
                <w:sz w:val="22"/>
                <w:szCs w:val="22"/>
                <w:lang w:val="en-US"/>
              </w:rPr>
            </w:pPr>
          </w:p>
          <w:p w14:paraId="32C410BF"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Tender Document Reference:</w:t>
            </w:r>
          </w:p>
          <w:p w14:paraId="26C3352F"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 3. Technical Specifications</w:t>
            </w:r>
          </w:p>
          <w:p w14:paraId="6EE5953E" w14:textId="29DC1A5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Section 11. Security requirements</w:t>
            </w:r>
          </w:p>
        </w:tc>
        <w:tc>
          <w:tcPr>
            <w:tcW w:w="4530" w:type="dxa"/>
          </w:tcPr>
          <w:p w14:paraId="7BEB37A8"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The security requirements are defined in the documents referred to in sections 11.1.1 and 11.1.2 of the Technical Specification. As these documents do not specify which </w:t>
            </w:r>
            <w:proofErr w:type="gramStart"/>
            <w:r w:rsidRPr="001B4C3C">
              <w:rPr>
                <w:rFonts w:asciiTheme="minorHAnsi" w:hAnsiTheme="minorHAnsi" w:cstheme="minorHAnsi"/>
                <w:sz w:val="22"/>
                <w:szCs w:val="22"/>
                <w:lang w:val="en-US"/>
              </w:rPr>
              <w:t>particular documents</w:t>
            </w:r>
            <w:proofErr w:type="gramEnd"/>
            <w:r w:rsidRPr="001B4C3C">
              <w:rPr>
                <w:rFonts w:asciiTheme="minorHAnsi" w:hAnsiTheme="minorHAnsi" w:cstheme="minorHAnsi"/>
                <w:sz w:val="22"/>
                <w:szCs w:val="22"/>
                <w:lang w:val="en-US"/>
              </w:rPr>
              <w:t xml:space="preserve"> must be submitted, the Supplier may provide documentation demonstrating that the proposed equipment complies with these requirements, </w:t>
            </w:r>
            <w:proofErr w:type="gramStart"/>
            <w:r w:rsidRPr="001B4C3C">
              <w:rPr>
                <w:rFonts w:asciiTheme="minorHAnsi" w:hAnsiTheme="minorHAnsi" w:cstheme="minorHAnsi"/>
                <w:sz w:val="22"/>
                <w:szCs w:val="22"/>
                <w:lang w:val="en-US"/>
              </w:rPr>
              <w:t>provided that</w:t>
            </w:r>
            <w:proofErr w:type="gramEnd"/>
            <w:r w:rsidRPr="001B4C3C">
              <w:rPr>
                <w:rFonts w:asciiTheme="minorHAnsi" w:hAnsiTheme="minorHAnsi" w:cstheme="minorHAnsi"/>
                <w:sz w:val="22"/>
                <w:szCs w:val="22"/>
                <w:lang w:val="en-US"/>
              </w:rPr>
              <w:t xml:space="preserve"> they confirm the required or equivalent level of security and does not contradict the requirements set out in section 11 of the Technical Specification. The sufficiency of the documents submitted will be assessed after analyzing their content.</w:t>
            </w:r>
          </w:p>
          <w:p w14:paraId="789B602F" w14:textId="77777777" w:rsidR="001B4C3C" w:rsidRPr="001B4C3C" w:rsidRDefault="001B4C3C" w:rsidP="001B4C3C">
            <w:pPr>
              <w:jc w:val="both"/>
              <w:rPr>
                <w:rFonts w:asciiTheme="minorHAnsi" w:hAnsiTheme="minorHAnsi" w:cstheme="minorHAnsi"/>
                <w:sz w:val="22"/>
                <w:szCs w:val="22"/>
                <w:lang w:val="en-US"/>
              </w:rPr>
            </w:pPr>
          </w:p>
        </w:tc>
      </w:tr>
      <w:tr w:rsidR="001B4C3C" w:rsidRPr="001B4C3C" w14:paraId="057979F2" w14:textId="77777777" w:rsidTr="001B4C3C">
        <w:tc>
          <w:tcPr>
            <w:tcW w:w="562" w:type="dxa"/>
          </w:tcPr>
          <w:p w14:paraId="71D1A0B2" w14:textId="09C32B7F"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17.</w:t>
            </w:r>
          </w:p>
        </w:tc>
        <w:tc>
          <w:tcPr>
            <w:tcW w:w="4536" w:type="dxa"/>
          </w:tcPr>
          <w:p w14:paraId="1F6861F5" w14:textId="77777777" w:rsidR="001B4C3C" w:rsidRPr="001B4C3C" w:rsidRDefault="001B4C3C" w:rsidP="001B4C3C">
            <w:pPr>
              <w:tabs>
                <w:tab w:val="left" w:pos="256"/>
              </w:tabs>
              <w:spacing w:after="12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Where the supplier is not the manufacturer of the item, the '</w:t>
            </w:r>
            <w:proofErr w:type="gramStart"/>
            <w:r w:rsidRPr="001B4C3C">
              <w:rPr>
                <w:rFonts w:asciiTheme="minorHAnsi" w:hAnsiTheme="minorHAnsi" w:cstheme="minorHAnsi"/>
                <w:sz w:val="22"/>
                <w:szCs w:val="22"/>
                <w:lang w:val="en-US"/>
              </w:rPr>
              <w:t>30 day</w:t>
            </w:r>
            <w:proofErr w:type="gramEnd"/>
            <w:r w:rsidRPr="001B4C3C">
              <w:rPr>
                <w:rFonts w:asciiTheme="minorHAnsi" w:hAnsiTheme="minorHAnsi" w:cstheme="minorHAnsi"/>
                <w:sz w:val="22"/>
                <w:szCs w:val="22"/>
                <w:lang w:val="en-US"/>
              </w:rPr>
              <w:t>' time duration for the customer to receive the repaired/replacement part may not be achievable due to the lead time of that piece of equipment.</w:t>
            </w:r>
          </w:p>
          <w:p w14:paraId="0282BE0A" w14:textId="77777777" w:rsidR="001B4C3C" w:rsidRPr="001B4C3C" w:rsidRDefault="001B4C3C" w:rsidP="001B4C3C">
            <w:pPr>
              <w:tabs>
                <w:tab w:val="left" w:pos="256"/>
              </w:tabs>
              <w:spacing w:after="120"/>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 xml:space="preserve">For these situations, could this </w:t>
            </w:r>
            <w:proofErr w:type="gramStart"/>
            <w:r w:rsidRPr="001B4C3C">
              <w:rPr>
                <w:rFonts w:asciiTheme="minorHAnsi" w:hAnsiTheme="minorHAnsi" w:cstheme="minorHAnsi"/>
                <w:sz w:val="22"/>
                <w:szCs w:val="22"/>
                <w:lang w:val="en-US"/>
              </w:rPr>
              <w:t>30 day</w:t>
            </w:r>
            <w:proofErr w:type="gramEnd"/>
            <w:r w:rsidRPr="001B4C3C">
              <w:rPr>
                <w:rFonts w:asciiTheme="minorHAnsi" w:hAnsiTheme="minorHAnsi" w:cstheme="minorHAnsi"/>
                <w:sz w:val="22"/>
                <w:szCs w:val="22"/>
                <w:lang w:val="en-US"/>
              </w:rPr>
              <w:t xml:space="preserve"> duration be increased on a </w:t>
            </w:r>
            <w:proofErr w:type="gramStart"/>
            <w:r w:rsidRPr="001B4C3C">
              <w:rPr>
                <w:rFonts w:asciiTheme="minorHAnsi" w:hAnsiTheme="minorHAnsi" w:cstheme="minorHAnsi"/>
                <w:sz w:val="22"/>
                <w:szCs w:val="22"/>
                <w:lang w:val="en-US"/>
              </w:rPr>
              <w:t>case by case</w:t>
            </w:r>
            <w:proofErr w:type="gramEnd"/>
            <w:r w:rsidRPr="001B4C3C">
              <w:rPr>
                <w:rFonts w:asciiTheme="minorHAnsi" w:hAnsiTheme="minorHAnsi" w:cstheme="minorHAnsi"/>
                <w:sz w:val="22"/>
                <w:szCs w:val="22"/>
                <w:lang w:val="en-US"/>
              </w:rPr>
              <w:t xml:space="preserve"> basis?</w:t>
            </w:r>
          </w:p>
          <w:p w14:paraId="6CC1246D"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Tender Document Reference:</w:t>
            </w:r>
          </w:p>
          <w:p w14:paraId="489F5C8A"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Annex 3. Technical Specifications</w:t>
            </w:r>
          </w:p>
          <w:p w14:paraId="24ADFD1D" w14:textId="77777777" w:rsidR="001B4C3C" w:rsidRPr="001B4C3C" w:rsidRDefault="001B4C3C" w:rsidP="001B4C3C">
            <w:pPr>
              <w:tabs>
                <w:tab w:val="left" w:pos="256"/>
              </w:tabs>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Section 13. After warranty support</w:t>
            </w:r>
          </w:p>
          <w:p w14:paraId="120EB0D9" w14:textId="41D4195A"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13.3.7. The Supplier, no later than within 30 calendar days from the confirmation of the Customer's order, i.e. on the day of the Customer's written approval to repair the defective part or order a new part, the repaired or new part is delivered to the Customer. Together with the sent part or by e-mail, the Supplier submits to the Customer a note on transfer and acceptance of the repair services provided or the transfer of a new part, signed by the Supplier. The shipping and return costs of the part are paid by the Customer.</w:t>
            </w:r>
          </w:p>
        </w:tc>
        <w:tc>
          <w:tcPr>
            <w:tcW w:w="4530" w:type="dxa"/>
          </w:tcPr>
          <w:p w14:paraId="00DD670B" w14:textId="77777777" w:rsidR="001B4C3C" w:rsidRPr="001B4C3C" w:rsidRDefault="001B4C3C" w:rsidP="001B4C3C">
            <w:pPr>
              <w:jc w:val="both"/>
              <w:rPr>
                <w:rFonts w:asciiTheme="minorHAnsi" w:hAnsiTheme="minorHAnsi" w:cstheme="minorHAnsi"/>
                <w:sz w:val="22"/>
                <w:szCs w:val="22"/>
                <w:lang w:val="en-US"/>
              </w:rPr>
            </w:pPr>
            <w:r w:rsidRPr="001B4C3C">
              <w:rPr>
                <w:rFonts w:asciiTheme="minorHAnsi" w:hAnsiTheme="minorHAnsi" w:cstheme="minorHAnsi"/>
                <w:sz w:val="22"/>
                <w:szCs w:val="22"/>
                <w:lang w:val="en-US"/>
              </w:rPr>
              <w:t>The duration is reasonable and consistent with customary practice in contracts of this type. As it applies to mission critical equipment, the requirement remains unchanged.</w:t>
            </w:r>
          </w:p>
          <w:p w14:paraId="48C6C033" w14:textId="77777777" w:rsidR="001B4C3C" w:rsidRPr="001B4C3C" w:rsidRDefault="001B4C3C" w:rsidP="001B4C3C">
            <w:pPr>
              <w:jc w:val="both"/>
              <w:rPr>
                <w:rFonts w:asciiTheme="minorHAnsi" w:hAnsiTheme="minorHAnsi" w:cstheme="minorHAnsi"/>
                <w:sz w:val="22"/>
                <w:szCs w:val="22"/>
                <w:lang w:val="en-US"/>
              </w:rPr>
            </w:pPr>
          </w:p>
          <w:p w14:paraId="58A322C3" w14:textId="77777777" w:rsidR="001B4C3C" w:rsidRPr="001B4C3C" w:rsidRDefault="001B4C3C" w:rsidP="001B4C3C">
            <w:pPr>
              <w:jc w:val="both"/>
              <w:rPr>
                <w:rFonts w:asciiTheme="minorHAnsi" w:hAnsiTheme="minorHAnsi" w:cstheme="minorHAnsi"/>
                <w:sz w:val="22"/>
                <w:szCs w:val="22"/>
                <w:lang w:val="en-US"/>
              </w:rPr>
            </w:pPr>
          </w:p>
        </w:tc>
      </w:tr>
    </w:tbl>
    <w:p w14:paraId="3FDAA0DA" w14:textId="77777777" w:rsidR="001B4C3C" w:rsidRPr="001B4C3C" w:rsidRDefault="001B4C3C" w:rsidP="00EB62C1">
      <w:pPr>
        <w:spacing w:after="240"/>
        <w:jc w:val="both"/>
        <w:rPr>
          <w:rFonts w:asciiTheme="minorHAnsi" w:hAnsiTheme="minorHAnsi" w:cstheme="minorHAnsi"/>
          <w:sz w:val="22"/>
          <w:szCs w:val="22"/>
          <w:lang w:val="en-US"/>
        </w:rPr>
      </w:pPr>
    </w:p>
    <w:p w14:paraId="371DA6F0" w14:textId="77777777" w:rsidR="00B97122" w:rsidRDefault="00B97122" w:rsidP="00B97122">
      <w:pPr>
        <w:spacing w:after="120"/>
        <w:jc w:val="both"/>
        <w:rPr>
          <w:rFonts w:ascii="Calibri" w:hAnsi="Calibri" w:cs="Calibri"/>
          <w:sz w:val="22"/>
          <w:szCs w:val="22"/>
          <w:lang w:val="en-US"/>
        </w:rPr>
      </w:pPr>
      <w:r>
        <w:rPr>
          <w:rFonts w:ascii="Calibri" w:hAnsi="Calibri" w:cs="Calibri"/>
          <w:sz w:val="22"/>
          <w:szCs w:val="22"/>
          <w:lang w:val="en-US"/>
        </w:rPr>
        <w:t>ENCLOSED. Revised version of Annex 3 (Technical specification).</w:t>
      </w:r>
    </w:p>
    <w:p w14:paraId="1226BEE9" w14:textId="77777777" w:rsidR="001B4C3C" w:rsidRPr="001B4C3C" w:rsidRDefault="001B4C3C" w:rsidP="00EB62C1">
      <w:pPr>
        <w:spacing w:after="240"/>
        <w:jc w:val="both"/>
        <w:rPr>
          <w:rFonts w:asciiTheme="minorHAnsi" w:hAnsiTheme="minorHAnsi" w:cstheme="minorHAnsi"/>
          <w:sz w:val="22"/>
          <w:szCs w:val="22"/>
          <w:lang w:val="en-US"/>
        </w:rPr>
      </w:pPr>
    </w:p>
    <w:p w14:paraId="289195CC" w14:textId="77777777" w:rsidR="001B4C3C" w:rsidRPr="001B4C3C" w:rsidRDefault="001B4C3C" w:rsidP="00EB62C1">
      <w:pPr>
        <w:spacing w:after="240"/>
        <w:jc w:val="both"/>
        <w:rPr>
          <w:rFonts w:asciiTheme="minorHAnsi" w:hAnsiTheme="minorHAnsi" w:cstheme="minorHAnsi"/>
          <w:sz w:val="22"/>
          <w:szCs w:val="22"/>
          <w:lang w:val="en-US"/>
        </w:rPr>
      </w:pPr>
    </w:p>
    <w:p w14:paraId="75817EE7" w14:textId="77777777" w:rsidR="001B4C3C" w:rsidRPr="001B4C3C" w:rsidRDefault="001B4C3C" w:rsidP="00EB62C1">
      <w:pPr>
        <w:spacing w:after="240"/>
        <w:jc w:val="both"/>
        <w:rPr>
          <w:rFonts w:asciiTheme="minorHAnsi" w:hAnsiTheme="minorHAnsi" w:cstheme="minorHAnsi"/>
          <w:sz w:val="22"/>
          <w:szCs w:val="22"/>
          <w:lang w:val="en-US"/>
        </w:rPr>
      </w:pPr>
    </w:p>
    <w:p w14:paraId="1B3F9513" w14:textId="77777777" w:rsidR="001B4C3C" w:rsidRPr="001B4C3C" w:rsidRDefault="001B4C3C" w:rsidP="00EB62C1">
      <w:pPr>
        <w:spacing w:after="240"/>
        <w:jc w:val="both"/>
        <w:rPr>
          <w:rFonts w:asciiTheme="minorHAnsi" w:hAnsiTheme="minorHAnsi" w:cstheme="minorHAnsi"/>
          <w:sz w:val="22"/>
          <w:szCs w:val="22"/>
          <w:lang w:val="en-US"/>
        </w:rPr>
      </w:pPr>
    </w:p>
    <w:p w14:paraId="6D5D666D" w14:textId="77777777" w:rsidR="001B4C3C" w:rsidRPr="001B4C3C" w:rsidRDefault="001B4C3C" w:rsidP="00EB62C1">
      <w:pPr>
        <w:spacing w:after="240"/>
        <w:jc w:val="both"/>
        <w:rPr>
          <w:rFonts w:asciiTheme="minorHAnsi" w:hAnsiTheme="minorHAnsi" w:cstheme="minorHAnsi"/>
          <w:sz w:val="22"/>
          <w:szCs w:val="22"/>
          <w:lang w:val="en-US"/>
        </w:rPr>
      </w:pPr>
    </w:p>
    <w:p w14:paraId="4A0F3DE8" w14:textId="77777777" w:rsidR="001B4C3C" w:rsidRPr="001B4C3C" w:rsidRDefault="001B4C3C" w:rsidP="00EB62C1">
      <w:pPr>
        <w:spacing w:after="240"/>
        <w:jc w:val="both"/>
        <w:rPr>
          <w:rFonts w:asciiTheme="minorHAnsi" w:hAnsiTheme="minorHAnsi" w:cstheme="minorHAnsi"/>
          <w:sz w:val="22"/>
          <w:szCs w:val="22"/>
          <w:lang w:val="en-US"/>
        </w:rPr>
      </w:pPr>
    </w:p>
    <w:p w14:paraId="1EB1DFD9" w14:textId="382D904F" w:rsidR="000E7E14" w:rsidRPr="001B4C3C" w:rsidRDefault="000E7E14" w:rsidP="00F8019F">
      <w:pPr>
        <w:spacing w:after="120"/>
        <w:jc w:val="both"/>
        <w:rPr>
          <w:rFonts w:asciiTheme="minorHAnsi" w:hAnsiTheme="minorHAnsi" w:cstheme="minorHAnsi"/>
          <w:sz w:val="22"/>
          <w:szCs w:val="22"/>
          <w:lang w:val="en-US"/>
        </w:rPr>
      </w:pPr>
    </w:p>
    <w:sectPr w:rsidR="000E7E14" w:rsidRPr="001B4C3C" w:rsidSect="00F8019F">
      <w:headerReference w:type="default" r:id="rId9"/>
      <w:headerReference w:type="first" r:id="rId10"/>
      <w:pgSz w:w="11906" w:h="16838" w:code="9"/>
      <w:pgMar w:top="851" w:right="567" w:bottom="709"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BA0D" w14:textId="77777777" w:rsidR="00956C9C" w:rsidRDefault="00956C9C" w:rsidP="00F971D7">
      <w:r>
        <w:separator/>
      </w:r>
    </w:p>
  </w:endnote>
  <w:endnote w:type="continuationSeparator" w:id="0">
    <w:p w14:paraId="0055F593" w14:textId="77777777" w:rsidR="00956C9C" w:rsidRDefault="00956C9C" w:rsidP="00F9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9865" w14:textId="77777777" w:rsidR="00956C9C" w:rsidRDefault="00956C9C" w:rsidP="00F971D7">
      <w:r>
        <w:separator/>
      </w:r>
    </w:p>
  </w:footnote>
  <w:footnote w:type="continuationSeparator" w:id="0">
    <w:p w14:paraId="4B35110F" w14:textId="77777777" w:rsidR="00956C9C" w:rsidRDefault="00956C9C" w:rsidP="00F9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32A9" w14:textId="77777777" w:rsidR="00120AFC" w:rsidRDefault="00120AFC">
    <w:pPr>
      <w:pStyle w:val="Header"/>
      <w:jc w:val="center"/>
      <w:rPr>
        <w:sz w:val="22"/>
        <w:szCs w:val="22"/>
      </w:rPr>
    </w:pPr>
    <w:r w:rsidRPr="00120AFC">
      <w:rPr>
        <w:sz w:val="22"/>
        <w:szCs w:val="22"/>
      </w:rPr>
      <w:fldChar w:fldCharType="begin"/>
    </w:r>
    <w:r w:rsidRPr="00120AFC">
      <w:rPr>
        <w:sz w:val="22"/>
        <w:szCs w:val="22"/>
      </w:rPr>
      <w:instrText xml:space="preserve"> PAGE   \* MERGEFORMAT </w:instrText>
    </w:r>
    <w:r w:rsidRPr="00120AFC">
      <w:rPr>
        <w:sz w:val="22"/>
        <w:szCs w:val="22"/>
      </w:rPr>
      <w:fldChar w:fldCharType="separate"/>
    </w:r>
    <w:r w:rsidR="003D3DDD">
      <w:rPr>
        <w:noProof/>
        <w:sz w:val="22"/>
        <w:szCs w:val="22"/>
      </w:rPr>
      <w:t>2</w:t>
    </w:r>
    <w:r w:rsidRPr="00120AFC">
      <w:rPr>
        <w:sz w:val="22"/>
        <w:szCs w:val="22"/>
      </w:rPr>
      <w:fldChar w:fldCharType="end"/>
    </w:r>
  </w:p>
  <w:p w14:paraId="19045969" w14:textId="77777777" w:rsidR="00120AFC" w:rsidRDefault="00120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5CF" w14:textId="77777777" w:rsidR="00EF3C11" w:rsidRDefault="00EF3C11" w:rsidP="00AD4F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0C32"/>
    <w:multiLevelType w:val="hybridMultilevel"/>
    <w:tmpl w:val="EE96B9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ED0E37"/>
    <w:multiLevelType w:val="hybridMultilevel"/>
    <w:tmpl w:val="0568A096"/>
    <w:lvl w:ilvl="0" w:tplc="3BD601A8">
      <w:start w:val="1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892871"/>
    <w:multiLevelType w:val="hybridMultilevel"/>
    <w:tmpl w:val="B4A80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B153BF"/>
    <w:multiLevelType w:val="hybridMultilevel"/>
    <w:tmpl w:val="87A42BAC"/>
    <w:lvl w:ilvl="0" w:tplc="C068CD32">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4" w15:restartNumberingAfterBreak="0">
    <w:nsid w:val="4B694D3F"/>
    <w:multiLevelType w:val="hybridMultilevel"/>
    <w:tmpl w:val="DBB69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CA25C0"/>
    <w:multiLevelType w:val="hybridMultilevel"/>
    <w:tmpl w:val="8DC666E6"/>
    <w:lvl w:ilvl="0" w:tplc="EE30572C">
      <w:start w:val="1"/>
      <w:numFmt w:val="decimal"/>
      <w:suff w:val="space"/>
      <w:lvlText w:val="%1."/>
      <w:lvlJc w:val="left"/>
      <w:pPr>
        <w:ind w:left="737" w:hanging="17"/>
      </w:pPr>
      <w:rPr>
        <w:rFonts w:hint="default"/>
        <w:spacing w:val="0"/>
        <w:w w:val="100"/>
        <w:kern w:val="0"/>
        <w:position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D84993"/>
    <w:multiLevelType w:val="hybridMultilevel"/>
    <w:tmpl w:val="9A1C9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FC63495"/>
    <w:multiLevelType w:val="hybridMultilevel"/>
    <w:tmpl w:val="A6FC8B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9514832">
    <w:abstractNumId w:val="0"/>
  </w:num>
  <w:num w:numId="2" w16cid:durableId="294720567">
    <w:abstractNumId w:val="5"/>
  </w:num>
  <w:num w:numId="3" w16cid:durableId="888806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287765">
    <w:abstractNumId w:val="7"/>
  </w:num>
  <w:num w:numId="5" w16cid:durableId="1177354551">
    <w:abstractNumId w:val="4"/>
  </w:num>
  <w:num w:numId="6" w16cid:durableId="1557819066">
    <w:abstractNumId w:val="2"/>
  </w:num>
  <w:num w:numId="7" w16cid:durableId="1476683863">
    <w:abstractNumId w:val="1"/>
  </w:num>
  <w:num w:numId="8" w16cid:durableId="1932858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v:stroke dashstyle="1 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41"/>
    <w:rsid w:val="00006E87"/>
    <w:rsid w:val="00012213"/>
    <w:rsid w:val="00012AC4"/>
    <w:rsid w:val="00013F29"/>
    <w:rsid w:val="00021C61"/>
    <w:rsid w:val="0002214E"/>
    <w:rsid w:val="00031431"/>
    <w:rsid w:val="000545B8"/>
    <w:rsid w:val="000557A4"/>
    <w:rsid w:val="000571CF"/>
    <w:rsid w:val="000607CF"/>
    <w:rsid w:val="00062C11"/>
    <w:rsid w:val="00063C30"/>
    <w:rsid w:val="00066944"/>
    <w:rsid w:val="00067135"/>
    <w:rsid w:val="00070A88"/>
    <w:rsid w:val="000741A3"/>
    <w:rsid w:val="000804E1"/>
    <w:rsid w:val="00084E94"/>
    <w:rsid w:val="00090E68"/>
    <w:rsid w:val="000A4A40"/>
    <w:rsid w:val="000B025A"/>
    <w:rsid w:val="000C7984"/>
    <w:rsid w:val="000E7E14"/>
    <w:rsid w:val="000F27FA"/>
    <w:rsid w:val="0011062E"/>
    <w:rsid w:val="0011724C"/>
    <w:rsid w:val="00120AFC"/>
    <w:rsid w:val="0014147A"/>
    <w:rsid w:val="00142BE5"/>
    <w:rsid w:val="001505C3"/>
    <w:rsid w:val="001527C7"/>
    <w:rsid w:val="00155357"/>
    <w:rsid w:val="00165741"/>
    <w:rsid w:val="0018202A"/>
    <w:rsid w:val="001970F5"/>
    <w:rsid w:val="001B1CEB"/>
    <w:rsid w:val="001B3959"/>
    <w:rsid w:val="001B4C3C"/>
    <w:rsid w:val="001D4207"/>
    <w:rsid w:val="001F158F"/>
    <w:rsid w:val="00203BD9"/>
    <w:rsid w:val="00214481"/>
    <w:rsid w:val="002204A0"/>
    <w:rsid w:val="00220ACD"/>
    <w:rsid w:val="00226064"/>
    <w:rsid w:val="002309DA"/>
    <w:rsid w:val="00235BD6"/>
    <w:rsid w:val="00235C84"/>
    <w:rsid w:val="00245636"/>
    <w:rsid w:val="002545F5"/>
    <w:rsid w:val="00266B8F"/>
    <w:rsid w:val="00276A80"/>
    <w:rsid w:val="00282B03"/>
    <w:rsid w:val="00282D31"/>
    <w:rsid w:val="0029635C"/>
    <w:rsid w:val="002A5351"/>
    <w:rsid w:val="002A69BB"/>
    <w:rsid w:val="002B71BD"/>
    <w:rsid w:val="002C0F8D"/>
    <w:rsid w:val="002C1AE3"/>
    <w:rsid w:val="002E7247"/>
    <w:rsid w:val="002F0077"/>
    <w:rsid w:val="002F730D"/>
    <w:rsid w:val="0031448B"/>
    <w:rsid w:val="00317ED1"/>
    <w:rsid w:val="00335A9A"/>
    <w:rsid w:val="003374B1"/>
    <w:rsid w:val="00344204"/>
    <w:rsid w:val="00346E6D"/>
    <w:rsid w:val="00353D93"/>
    <w:rsid w:val="00361092"/>
    <w:rsid w:val="00361EF8"/>
    <w:rsid w:val="003663B3"/>
    <w:rsid w:val="00366A88"/>
    <w:rsid w:val="0038437F"/>
    <w:rsid w:val="00390C60"/>
    <w:rsid w:val="003A1443"/>
    <w:rsid w:val="003A23BD"/>
    <w:rsid w:val="003A3A6C"/>
    <w:rsid w:val="003A4E5A"/>
    <w:rsid w:val="003A5048"/>
    <w:rsid w:val="003A5966"/>
    <w:rsid w:val="003B61E6"/>
    <w:rsid w:val="003B7007"/>
    <w:rsid w:val="003C04F0"/>
    <w:rsid w:val="003C33B5"/>
    <w:rsid w:val="003C6307"/>
    <w:rsid w:val="003D39D8"/>
    <w:rsid w:val="003D3DDD"/>
    <w:rsid w:val="003D7C58"/>
    <w:rsid w:val="003E489B"/>
    <w:rsid w:val="003F0203"/>
    <w:rsid w:val="003F03A9"/>
    <w:rsid w:val="003F0AA8"/>
    <w:rsid w:val="003F1C54"/>
    <w:rsid w:val="003F5F0A"/>
    <w:rsid w:val="00406E62"/>
    <w:rsid w:val="004342DA"/>
    <w:rsid w:val="00442D5E"/>
    <w:rsid w:val="00444521"/>
    <w:rsid w:val="004465A7"/>
    <w:rsid w:val="00450569"/>
    <w:rsid w:val="0045144E"/>
    <w:rsid w:val="004660ED"/>
    <w:rsid w:val="0047186D"/>
    <w:rsid w:val="00472D8F"/>
    <w:rsid w:val="00480DD7"/>
    <w:rsid w:val="0048338C"/>
    <w:rsid w:val="004870E5"/>
    <w:rsid w:val="004927C4"/>
    <w:rsid w:val="004A28D1"/>
    <w:rsid w:val="004A6753"/>
    <w:rsid w:val="004C26FC"/>
    <w:rsid w:val="004C2DD5"/>
    <w:rsid w:val="004D2594"/>
    <w:rsid w:val="004D6D94"/>
    <w:rsid w:val="004E0A5F"/>
    <w:rsid w:val="004F0830"/>
    <w:rsid w:val="004F6EFC"/>
    <w:rsid w:val="005049CC"/>
    <w:rsid w:val="00513303"/>
    <w:rsid w:val="00514344"/>
    <w:rsid w:val="00517466"/>
    <w:rsid w:val="005309BF"/>
    <w:rsid w:val="00540D2D"/>
    <w:rsid w:val="00542037"/>
    <w:rsid w:val="005453FD"/>
    <w:rsid w:val="00552852"/>
    <w:rsid w:val="00565F69"/>
    <w:rsid w:val="00583EDC"/>
    <w:rsid w:val="00584487"/>
    <w:rsid w:val="00585ACB"/>
    <w:rsid w:val="00585C2A"/>
    <w:rsid w:val="005869DB"/>
    <w:rsid w:val="005874A7"/>
    <w:rsid w:val="00594054"/>
    <w:rsid w:val="005B00CD"/>
    <w:rsid w:val="005C17D1"/>
    <w:rsid w:val="005D3404"/>
    <w:rsid w:val="005E4EF3"/>
    <w:rsid w:val="005F08CA"/>
    <w:rsid w:val="00600262"/>
    <w:rsid w:val="0060027B"/>
    <w:rsid w:val="00602916"/>
    <w:rsid w:val="00605333"/>
    <w:rsid w:val="00607E90"/>
    <w:rsid w:val="00623868"/>
    <w:rsid w:val="00624EDE"/>
    <w:rsid w:val="0062550C"/>
    <w:rsid w:val="00626676"/>
    <w:rsid w:val="006370DF"/>
    <w:rsid w:val="00641809"/>
    <w:rsid w:val="00645FCA"/>
    <w:rsid w:val="0065215B"/>
    <w:rsid w:val="006551B9"/>
    <w:rsid w:val="006628DE"/>
    <w:rsid w:val="006635C1"/>
    <w:rsid w:val="00666702"/>
    <w:rsid w:val="00683005"/>
    <w:rsid w:val="00691809"/>
    <w:rsid w:val="00694552"/>
    <w:rsid w:val="0069665F"/>
    <w:rsid w:val="006A2709"/>
    <w:rsid w:val="006B1501"/>
    <w:rsid w:val="006B16F7"/>
    <w:rsid w:val="006B73B3"/>
    <w:rsid w:val="006C38CB"/>
    <w:rsid w:val="006C6E67"/>
    <w:rsid w:val="006E0FD0"/>
    <w:rsid w:val="006F0B9F"/>
    <w:rsid w:val="0070285D"/>
    <w:rsid w:val="00703D1B"/>
    <w:rsid w:val="0071394A"/>
    <w:rsid w:val="00714135"/>
    <w:rsid w:val="00722B90"/>
    <w:rsid w:val="00732434"/>
    <w:rsid w:val="007324C1"/>
    <w:rsid w:val="00737B79"/>
    <w:rsid w:val="00752CBA"/>
    <w:rsid w:val="00762C9F"/>
    <w:rsid w:val="0077237B"/>
    <w:rsid w:val="00781DD2"/>
    <w:rsid w:val="00787E73"/>
    <w:rsid w:val="00791077"/>
    <w:rsid w:val="007929E5"/>
    <w:rsid w:val="00793887"/>
    <w:rsid w:val="007A0BAC"/>
    <w:rsid w:val="007A0E1D"/>
    <w:rsid w:val="007A140B"/>
    <w:rsid w:val="007A42EB"/>
    <w:rsid w:val="007B46E8"/>
    <w:rsid w:val="007D64B1"/>
    <w:rsid w:val="007E4480"/>
    <w:rsid w:val="007F252B"/>
    <w:rsid w:val="00802426"/>
    <w:rsid w:val="0080735D"/>
    <w:rsid w:val="00824D83"/>
    <w:rsid w:val="00831B99"/>
    <w:rsid w:val="008379AE"/>
    <w:rsid w:val="00840391"/>
    <w:rsid w:val="00842DC5"/>
    <w:rsid w:val="00845722"/>
    <w:rsid w:val="0086270E"/>
    <w:rsid w:val="008675A9"/>
    <w:rsid w:val="008760D3"/>
    <w:rsid w:val="0089696C"/>
    <w:rsid w:val="008A134F"/>
    <w:rsid w:val="008A785B"/>
    <w:rsid w:val="008C1F7A"/>
    <w:rsid w:val="008C2879"/>
    <w:rsid w:val="008C3BD2"/>
    <w:rsid w:val="008C55F9"/>
    <w:rsid w:val="008E071D"/>
    <w:rsid w:val="008E2B19"/>
    <w:rsid w:val="008E7393"/>
    <w:rsid w:val="008F2BAF"/>
    <w:rsid w:val="008F7FC9"/>
    <w:rsid w:val="0090123C"/>
    <w:rsid w:val="00906797"/>
    <w:rsid w:val="009334D8"/>
    <w:rsid w:val="0093723E"/>
    <w:rsid w:val="00943536"/>
    <w:rsid w:val="00946215"/>
    <w:rsid w:val="00956C9C"/>
    <w:rsid w:val="009647D8"/>
    <w:rsid w:val="009665C4"/>
    <w:rsid w:val="00973FA7"/>
    <w:rsid w:val="00977C3C"/>
    <w:rsid w:val="00984172"/>
    <w:rsid w:val="0098673A"/>
    <w:rsid w:val="009919B3"/>
    <w:rsid w:val="00995F02"/>
    <w:rsid w:val="00996474"/>
    <w:rsid w:val="009A0B8E"/>
    <w:rsid w:val="009A52E1"/>
    <w:rsid w:val="009D01AB"/>
    <w:rsid w:val="009D2FF5"/>
    <w:rsid w:val="009D714F"/>
    <w:rsid w:val="009E13AA"/>
    <w:rsid w:val="009E7713"/>
    <w:rsid w:val="009F308E"/>
    <w:rsid w:val="009F4090"/>
    <w:rsid w:val="00A0297B"/>
    <w:rsid w:val="00A02F1F"/>
    <w:rsid w:val="00A03814"/>
    <w:rsid w:val="00A03F4D"/>
    <w:rsid w:val="00A14192"/>
    <w:rsid w:val="00A253D6"/>
    <w:rsid w:val="00A301F1"/>
    <w:rsid w:val="00A41AD1"/>
    <w:rsid w:val="00A46F9C"/>
    <w:rsid w:val="00A6115D"/>
    <w:rsid w:val="00A64469"/>
    <w:rsid w:val="00A705CD"/>
    <w:rsid w:val="00A73F95"/>
    <w:rsid w:val="00A91328"/>
    <w:rsid w:val="00A936C1"/>
    <w:rsid w:val="00A9792E"/>
    <w:rsid w:val="00AA28E5"/>
    <w:rsid w:val="00AA3672"/>
    <w:rsid w:val="00AC0F17"/>
    <w:rsid w:val="00AC5EEB"/>
    <w:rsid w:val="00AC762A"/>
    <w:rsid w:val="00AD0959"/>
    <w:rsid w:val="00AD4FC2"/>
    <w:rsid w:val="00AD63F1"/>
    <w:rsid w:val="00AE326A"/>
    <w:rsid w:val="00AF6A9E"/>
    <w:rsid w:val="00B102BB"/>
    <w:rsid w:val="00B10515"/>
    <w:rsid w:val="00B13955"/>
    <w:rsid w:val="00B364F6"/>
    <w:rsid w:val="00B37017"/>
    <w:rsid w:val="00B40977"/>
    <w:rsid w:val="00B40AA2"/>
    <w:rsid w:val="00B4475C"/>
    <w:rsid w:val="00B45FF8"/>
    <w:rsid w:val="00B46A17"/>
    <w:rsid w:val="00B715D9"/>
    <w:rsid w:val="00B754B4"/>
    <w:rsid w:val="00B81C44"/>
    <w:rsid w:val="00B87B0B"/>
    <w:rsid w:val="00B90671"/>
    <w:rsid w:val="00B97122"/>
    <w:rsid w:val="00BA7F78"/>
    <w:rsid w:val="00BB148B"/>
    <w:rsid w:val="00BB1CE9"/>
    <w:rsid w:val="00BB2257"/>
    <w:rsid w:val="00BC3B34"/>
    <w:rsid w:val="00BC467C"/>
    <w:rsid w:val="00BC507E"/>
    <w:rsid w:val="00BD2138"/>
    <w:rsid w:val="00BD6319"/>
    <w:rsid w:val="00BD64F5"/>
    <w:rsid w:val="00BD663F"/>
    <w:rsid w:val="00BF0D31"/>
    <w:rsid w:val="00C02557"/>
    <w:rsid w:val="00C035CE"/>
    <w:rsid w:val="00C131C8"/>
    <w:rsid w:val="00C23927"/>
    <w:rsid w:val="00C25441"/>
    <w:rsid w:val="00C26527"/>
    <w:rsid w:val="00C36E6A"/>
    <w:rsid w:val="00C6156A"/>
    <w:rsid w:val="00C71203"/>
    <w:rsid w:val="00C75082"/>
    <w:rsid w:val="00C766A8"/>
    <w:rsid w:val="00C84C8F"/>
    <w:rsid w:val="00CA7CBE"/>
    <w:rsid w:val="00CB775E"/>
    <w:rsid w:val="00CC629D"/>
    <w:rsid w:val="00CE25B4"/>
    <w:rsid w:val="00CF2D79"/>
    <w:rsid w:val="00CF3606"/>
    <w:rsid w:val="00CF4F62"/>
    <w:rsid w:val="00CF72ED"/>
    <w:rsid w:val="00D044B8"/>
    <w:rsid w:val="00D1116D"/>
    <w:rsid w:val="00D25261"/>
    <w:rsid w:val="00D25E7E"/>
    <w:rsid w:val="00D34F6B"/>
    <w:rsid w:val="00D355A8"/>
    <w:rsid w:val="00D3617F"/>
    <w:rsid w:val="00D43F25"/>
    <w:rsid w:val="00D53AD8"/>
    <w:rsid w:val="00D63BC8"/>
    <w:rsid w:val="00D65AF7"/>
    <w:rsid w:val="00D745EA"/>
    <w:rsid w:val="00D877A4"/>
    <w:rsid w:val="00DA2C86"/>
    <w:rsid w:val="00DA56E9"/>
    <w:rsid w:val="00DB6651"/>
    <w:rsid w:val="00DD0E37"/>
    <w:rsid w:val="00DD333B"/>
    <w:rsid w:val="00DD69D4"/>
    <w:rsid w:val="00DD737C"/>
    <w:rsid w:val="00DE00CE"/>
    <w:rsid w:val="00DE0C6E"/>
    <w:rsid w:val="00DE6ACD"/>
    <w:rsid w:val="00DF392A"/>
    <w:rsid w:val="00DF4C67"/>
    <w:rsid w:val="00E00C00"/>
    <w:rsid w:val="00E114DB"/>
    <w:rsid w:val="00E152E1"/>
    <w:rsid w:val="00E2100F"/>
    <w:rsid w:val="00E349B1"/>
    <w:rsid w:val="00E474C3"/>
    <w:rsid w:val="00E54719"/>
    <w:rsid w:val="00E576FA"/>
    <w:rsid w:val="00E634A0"/>
    <w:rsid w:val="00E63CB1"/>
    <w:rsid w:val="00E66F4B"/>
    <w:rsid w:val="00E865DE"/>
    <w:rsid w:val="00E87B0D"/>
    <w:rsid w:val="00E900A9"/>
    <w:rsid w:val="00E9459C"/>
    <w:rsid w:val="00E958CC"/>
    <w:rsid w:val="00E95C01"/>
    <w:rsid w:val="00EA0BBA"/>
    <w:rsid w:val="00EA6C1F"/>
    <w:rsid w:val="00EB62C1"/>
    <w:rsid w:val="00EC2C4F"/>
    <w:rsid w:val="00EC3947"/>
    <w:rsid w:val="00ED0E1A"/>
    <w:rsid w:val="00ED7B5F"/>
    <w:rsid w:val="00EE0A2F"/>
    <w:rsid w:val="00EF2DD1"/>
    <w:rsid w:val="00EF3C11"/>
    <w:rsid w:val="00F028E1"/>
    <w:rsid w:val="00F06F1F"/>
    <w:rsid w:val="00F162C3"/>
    <w:rsid w:val="00F25A68"/>
    <w:rsid w:val="00F347A2"/>
    <w:rsid w:val="00F3718F"/>
    <w:rsid w:val="00F427AE"/>
    <w:rsid w:val="00F45708"/>
    <w:rsid w:val="00F60CC5"/>
    <w:rsid w:val="00F6288F"/>
    <w:rsid w:val="00F67408"/>
    <w:rsid w:val="00F70752"/>
    <w:rsid w:val="00F7289A"/>
    <w:rsid w:val="00F72E70"/>
    <w:rsid w:val="00F8019F"/>
    <w:rsid w:val="00F971D7"/>
    <w:rsid w:val="00FA0FC8"/>
    <w:rsid w:val="00FA27E1"/>
    <w:rsid w:val="00FD080B"/>
    <w:rsid w:val="00FD608A"/>
    <w:rsid w:val="00FD6878"/>
    <w:rsid w:val="00FD70CB"/>
    <w:rsid w:val="00FF0B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25EC7B7A"/>
  <w15:chartTrackingRefBased/>
  <w15:docId w15:val="{FA0DCA7D-A860-4EA1-AECC-A959E92E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pPr>
      <w:tabs>
        <w:tab w:val="center" w:pos="4153"/>
        <w:tab w:val="right" w:pos="8306"/>
      </w:tabs>
    </w:pPr>
    <w:rPr>
      <w:lang w:val="x-none"/>
    </w:rPr>
  </w:style>
  <w:style w:type="paragraph" w:styleId="Caption">
    <w:name w:val="caption"/>
    <w:basedOn w:val="Normal"/>
    <w:next w:val="Normal"/>
    <w:qFormat/>
    <w:pPr>
      <w:spacing w:before="120"/>
      <w:jc w:val="center"/>
    </w:pPr>
    <w:rPr>
      <w:rFonts w:ascii="TimesLT" w:hAnsi="TimesLT"/>
      <w:b/>
    </w:rPr>
  </w:style>
  <w:style w:type="character" w:styleId="Hyperlink">
    <w:name w:val="Hyperlink"/>
    <w:uiPriority w:val="99"/>
    <w:rPr>
      <w:color w:val="0000FF"/>
      <w:u w:val="single"/>
    </w:rPr>
  </w:style>
  <w:style w:type="paragraph" w:styleId="BodyText">
    <w:name w:val="Body Text"/>
    <w:basedOn w:val="Normal"/>
    <w:pPr>
      <w:spacing w:line="360" w:lineRule="atLeast"/>
      <w:jc w:val="both"/>
    </w:pPr>
    <w:rPr>
      <w:lang w:val="en-GB"/>
    </w:rPr>
  </w:style>
  <w:style w:type="table" w:styleId="TableGrid">
    <w:name w:val="Table Grid"/>
    <w:basedOn w:val="TableNormal"/>
    <w:uiPriority w:val="39"/>
    <w:rsid w:val="00245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723E"/>
    <w:rPr>
      <w:rFonts w:ascii="Tahoma" w:hAnsi="Tahoma" w:cs="Tahoma"/>
      <w:sz w:val="16"/>
      <w:szCs w:val="16"/>
    </w:rPr>
  </w:style>
  <w:style w:type="character" w:customStyle="1" w:styleId="FooterChar">
    <w:name w:val="Footer Char"/>
    <w:link w:val="Footer"/>
    <w:rsid w:val="00120AFC"/>
    <w:rPr>
      <w:sz w:val="24"/>
      <w:szCs w:val="24"/>
      <w:lang w:eastAsia="en-US"/>
    </w:rPr>
  </w:style>
  <w:style w:type="character" w:customStyle="1" w:styleId="HeaderChar">
    <w:name w:val="Header Char"/>
    <w:link w:val="Header"/>
    <w:rsid w:val="00120AFC"/>
    <w:rPr>
      <w:sz w:val="24"/>
      <w:szCs w:val="24"/>
      <w:lang w:eastAsia="en-US"/>
    </w:rPr>
  </w:style>
  <w:style w:type="paragraph" w:customStyle="1" w:styleId="To">
    <w:name w:val="To"/>
    <w:basedOn w:val="Normal"/>
    <w:rsid w:val="0047186D"/>
    <w:pPr>
      <w:overflowPunct w:val="0"/>
      <w:autoSpaceDE w:val="0"/>
      <w:autoSpaceDN w:val="0"/>
      <w:adjustRightInd w:val="0"/>
      <w:textAlignment w:val="baseline"/>
    </w:pPr>
    <w:rPr>
      <w:rFonts w:ascii="Arial" w:hAnsi="Arial"/>
      <w:sz w:val="36"/>
      <w:szCs w:val="20"/>
      <w:lang w:val="en-GB"/>
    </w:rPr>
  </w:style>
  <w:style w:type="paragraph" w:customStyle="1" w:styleId="ToFax">
    <w:name w:val="ToFax"/>
    <w:basedOn w:val="Normal"/>
    <w:rsid w:val="0047186D"/>
    <w:pPr>
      <w:overflowPunct w:val="0"/>
      <w:autoSpaceDE w:val="0"/>
      <w:autoSpaceDN w:val="0"/>
      <w:adjustRightInd w:val="0"/>
      <w:textAlignment w:val="baseline"/>
    </w:pPr>
    <w:rPr>
      <w:rFonts w:ascii="Arial" w:hAnsi="Arial"/>
      <w:sz w:val="28"/>
      <w:szCs w:val="20"/>
      <w:lang w:val="en-GB"/>
    </w:rPr>
  </w:style>
  <w:style w:type="character" w:styleId="CommentReference">
    <w:name w:val="annotation reference"/>
    <w:rsid w:val="00BC467C"/>
    <w:rPr>
      <w:sz w:val="16"/>
      <w:szCs w:val="16"/>
    </w:rPr>
  </w:style>
  <w:style w:type="paragraph" w:styleId="CommentText">
    <w:name w:val="annotation text"/>
    <w:basedOn w:val="Normal"/>
    <w:link w:val="CommentTextChar"/>
    <w:rsid w:val="00BC467C"/>
    <w:rPr>
      <w:sz w:val="20"/>
      <w:szCs w:val="20"/>
    </w:rPr>
  </w:style>
  <w:style w:type="character" w:customStyle="1" w:styleId="CommentTextChar">
    <w:name w:val="Comment Text Char"/>
    <w:link w:val="CommentText"/>
    <w:rsid w:val="00BC467C"/>
    <w:rPr>
      <w:lang w:eastAsia="en-US"/>
    </w:rPr>
  </w:style>
  <w:style w:type="paragraph" w:styleId="CommentSubject">
    <w:name w:val="annotation subject"/>
    <w:basedOn w:val="CommentText"/>
    <w:next w:val="CommentText"/>
    <w:link w:val="CommentSubjectChar"/>
    <w:rsid w:val="00BC467C"/>
    <w:rPr>
      <w:b/>
      <w:bCs/>
    </w:rPr>
  </w:style>
  <w:style w:type="character" w:customStyle="1" w:styleId="CommentSubjectChar">
    <w:name w:val="Comment Subject Char"/>
    <w:link w:val="CommentSubject"/>
    <w:rsid w:val="00BC467C"/>
    <w:rPr>
      <w:b/>
      <w:bCs/>
      <w:lang w:eastAsia="en-US"/>
    </w:rPr>
  </w:style>
  <w:style w:type="paragraph" w:styleId="NormalWeb">
    <w:name w:val="Normal (Web)"/>
    <w:basedOn w:val="Normal"/>
    <w:uiPriority w:val="99"/>
    <w:unhideWhenUsed/>
    <w:rsid w:val="003D3DDD"/>
    <w:pPr>
      <w:spacing w:after="150"/>
    </w:pPr>
    <w:rPr>
      <w:lang w:val="en-US"/>
    </w:rPr>
  </w:style>
  <w:style w:type="paragraph" w:styleId="ListParagraph">
    <w:name w:val="List Paragraph"/>
    <w:basedOn w:val="Normal"/>
    <w:uiPriority w:val="34"/>
    <w:qFormat/>
    <w:rsid w:val="00752CBA"/>
    <w:pPr>
      <w:ind w:left="720"/>
      <w:contextualSpacing/>
    </w:pPr>
  </w:style>
  <w:style w:type="paragraph" w:customStyle="1" w:styleId="Default">
    <w:name w:val="Default"/>
    <w:rsid w:val="0077237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9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55963-6EF4-4B7B-AB69-F9500007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9139</Words>
  <Characters>5210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KANCELIARIJA</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EGLE</dc:creator>
  <cp:keywords/>
  <cp:lastModifiedBy>Donaldas Stepuro</cp:lastModifiedBy>
  <cp:revision>18</cp:revision>
  <cp:lastPrinted>2014-07-31T09:48:00Z</cp:lastPrinted>
  <dcterms:created xsi:type="dcterms:W3CDTF">2023-04-21T12:01:00Z</dcterms:created>
  <dcterms:modified xsi:type="dcterms:W3CDTF">2025-10-10T12:55:00Z</dcterms:modified>
</cp:coreProperties>
</file>