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00B2C719"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 xml:space="preserve">Pirkimo sąlygų </w:t>
      </w:r>
      <w:r w:rsidR="00316B90">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046FA2" w14:textId="1FE49158" w:rsidR="0028094B" w:rsidRDefault="0028094B" w:rsidP="00781CEF">
            <w:pPr>
              <w:pStyle w:val="Betarp"/>
              <w:contextualSpacing/>
              <w:jc w:val="both"/>
              <w:rPr>
                <w:rFonts w:ascii="Times New Roman" w:eastAsia="Times New Roman" w:hAnsi="Times New Roman" w:cs="Times New Roman"/>
                <w:b/>
                <w:bCs/>
                <w:sz w:val="22"/>
                <w:szCs w:val="22"/>
                <w:lang w:eastAsia="en-US"/>
              </w:rPr>
            </w:pPr>
            <w:r w:rsidRPr="0028094B">
              <w:rPr>
                <w:rFonts w:ascii="Times New Roman" w:eastAsia="Times New Roman" w:hAnsi="Times New Roman" w:cs="Times New Roman"/>
                <w:b/>
                <w:bCs/>
                <w:sz w:val="22"/>
                <w:szCs w:val="22"/>
                <w:lang w:eastAsia="en-US"/>
              </w:rPr>
              <w:t>Ligoninės vidinės ir išorinės</w:t>
            </w:r>
            <w:r w:rsidR="00205C93">
              <w:rPr>
                <w:rFonts w:ascii="Times New Roman" w:eastAsia="Times New Roman" w:hAnsi="Times New Roman" w:cs="Times New Roman"/>
                <w:b/>
                <w:bCs/>
                <w:sz w:val="22"/>
                <w:szCs w:val="22"/>
                <w:lang w:eastAsia="en-US"/>
              </w:rPr>
              <w:t xml:space="preserve"> </w:t>
            </w:r>
            <w:r w:rsidR="00205C93" w:rsidRPr="0028094B">
              <w:rPr>
                <w:rFonts w:ascii="Times New Roman" w:eastAsia="Times New Roman" w:hAnsi="Times New Roman" w:cs="Times New Roman"/>
                <w:b/>
                <w:bCs/>
                <w:sz w:val="22"/>
                <w:szCs w:val="22"/>
                <w:lang w:eastAsia="en-US"/>
              </w:rPr>
              <w:t>iškabos</w:t>
            </w:r>
            <w:r w:rsidR="00205C93">
              <w:rPr>
                <w:rFonts w:ascii="Times New Roman" w:eastAsia="Times New Roman" w:hAnsi="Times New Roman" w:cs="Times New Roman"/>
                <w:b/>
                <w:bCs/>
                <w:sz w:val="22"/>
                <w:szCs w:val="22"/>
                <w:lang w:eastAsia="en-US"/>
              </w:rPr>
              <w:t xml:space="preserve"> su įrengimu ir senų iškabų demontavimu</w:t>
            </w:r>
          </w:p>
          <w:p w14:paraId="249F1FE3" w14:textId="1C3B7FE8" w:rsidR="009F734E" w:rsidRPr="00781CEF" w:rsidRDefault="009F734E" w:rsidP="009F734E">
            <w:pPr>
              <w:autoSpaceDE w:val="0"/>
              <w:autoSpaceDN w:val="0"/>
              <w:adjustRightInd w:val="0"/>
              <w:jc w:val="both"/>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59CF63E0" w14:textId="1A5E4D1E" w:rsidR="007E3458" w:rsidRDefault="0028094B" w:rsidP="0028094B">
            <w:pPr>
              <w:rPr>
                <w:sz w:val="22"/>
                <w:szCs w:val="22"/>
              </w:rPr>
            </w:pPr>
            <w:r>
              <w:rPr>
                <w:sz w:val="22"/>
                <w:szCs w:val="22"/>
              </w:rPr>
              <w:t>Komunikacijos tarnybos vadovė</w:t>
            </w:r>
            <w:r w:rsidR="007E3458">
              <w:rPr>
                <w:sz w:val="22"/>
                <w:szCs w:val="22"/>
              </w:rPr>
              <w:t xml:space="preserve"> - </w:t>
            </w:r>
            <w:r w:rsidRPr="0028094B">
              <w:rPr>
                <w:sz w:val="22"/>
                <w:szCs w:val="22"/>
              </w:rPr>
              <w:t>Jolanta Juškevičien</w:t>
            </w:r>
            <w:r>
              <w:rPr>
                <w:sz w:val="22"/>
                <w:szCs w:val="22"/>
              </w:rPr>
              <w:t xml:space="preserve">ė, </w:t>
            </w:r>
            <w:r w:rsidRPr="0028094B">
              <w:rPr>
                <w:sz w:val="22"/>
                <w:szCs w:val="22"/>
              </w:rPr>
              <w:t>+370 46 491191,+370 698 50451</w:t>
            </w:r>
            <w:r>
              <w:rPr>
                <w:sz w:val="22"/>
                <w:szCs w:val="22"/>
              </w:rPr>
              <w:t xml:space="preserve">, </w:t>
            </w:r>
            <w:hyperlink r:id="rId11" w:history="1">
              <w:r w:rsidRPr="00F077D0">
                <w:rPr>
                  <w:rStyle w:val="Hipersaitas"/>
                  <w:sz w:val="22"/>
                  <w:szCs w:val="22"/>
                </w:rPr>
                <w:t>jolanta.juskeviciene@kul.lt</w:t>
              </w:r>
            </w:hyperlink>
          </w:p>
          <w:p w14:paraId="7BDB61A5" w14:textId="77777777" w:rsidR="00E417EC" w:rsidRDefault="00E417EC" w:rsidP="00FF2E3C">
            <w:pPr>
              <w:rPr>
                <w:sz w:val="22"/>
                <w:szCs w:val="22"/>
                <w:shd w:val="clear" w:color="auto" w:fill="FFFFFF"/>
              </w:rPr>
            </w:pPr>
          </w:p>
          <w:p w14:paraId="7B19D806" w14:textId="54808CEC" w:rsidR="00184C0D" w:rsidRDefault="00184C0D" w:rsidP="00FF2E3C">
            <w:r>
              <w:rPr>
                <w:sz w:val="22"/>
                <w:szCs w:val="22"/>
                <w:shd w:val="clear" w:color="auto" w:fill="FFFFFF"/>
              </w:rPr>
              <w:t>Vyriausioji finansininkė Simona Baranauskienė</w:t>
            </w:r>
            <w:r w:rsidRPr="00C115B6">
              <w:rPr>
                <w:sz w:val="22"/>
                <w:szCs w:val="22"/>
                <w:shd w:val="clear" w:color="auto" w:fill="FFFFFF"/>
              </w:rPr>
              <w:t xml:space="preserve">, tel. </w:t>
            </w:r>
            <w:r>
              <w:rPr>
                <w:sz w:val="22"/>
                <w:szCs w:val="22"/>
                <w:shd w:val="clear" w:color="auto" w:fill="FFFFFF"/>
              </w:rPr>
              <w:t xml:space="preserve">+370 </w:t>
            </w:r>
            <w:r w:rsidRPr="00C115B6">
              <w:rPr>
                <w:sz w:val="22"/>
                <w:szCs w:val="22"/>
                <w:shd w:val="clear" w:color="auto" w:fill="FFFFFF"/>
              </w:rPr>
              <w:t>46 39650</w:t>
            </w:r>
            <w:r>
              <w:rPr>
                <w:sz w:val="22"/>
                <w:szCs w:val="22"/>
                <w:shd w:val="clear" w:color="auto" w:fill="FFFFFF"/>
              </w:rPr>
              <w:t>7</w:t>
            </w:r>
            <w:r w:rsidRPr="00C115B6">
              <w:rPr>
                <w:sz w:val="22"/>
                <w:szCs w:val="22"/>
                <w:shd w:val="clear" w:color="auto" w:fill="FFFFFF"/>
              </w:rPr>
              <w:t>, el. paštas</w:t>
            </w:r>
            <w:r>
              <w:rPr>
                <w:sz w:val="22"/>
                <w:szCs w:val="22"/>
                <w:shd w:val="clear" w:color="auto" w:fill="FFFFFF"/>
              </w:rPr>
              <w:t xml:space="preserve"> </w:t>
            </w:r>
            <w:hyperlink r:id="rId12" w:history="1">
              <w:r w:rsidR="00FF2E3C" w:rsidRPr="00AC708E">
                <w:rPr>
                  <w:rStyle w:val="Hipersaitas"/>
                  <w:sz w:val="22"/>
                  <w:szCs w:val="22"/>
                  <w:shd w:val="clear" w:color="auto" w:fill="FFFFFF"/>
                </w:rPr>
                <w:t>simona.baranauskiene@kul.lt</w:t>
              </w:r>
            </w:hyperlink>
          </w:p>
          <w:p w14:paraId="36D90AA1" w14:textId="77777777" w:rsidR="00E417EC" w:rsidRDefault="00E417EC" w:rsidP="00FF2E3C">
            <w:pPr>
              <w:rPr>
                <w:sz w:val="22"/>
                <w:szCs w:val="22"/>
                <w:shd w:val="clear" w:color="auto" w:fill="FFFFFF"/>
              </w:rPr>
            </w:pPr>
          </w:p>
          <w:p w14:paraId="61F9B250" w14:textId="0AB543DA"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3"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CC5A49C" w14:textId="280A99BA" w:rsidR="00205C93" w:rsidRDefault="00205C93" w:rsidP="00205C93">
            <w:pPr>
              <w:pStyle w:val="Betarp"/>
              <w:contextualSpacing/>
              <w:jc w:val="both"/>
              <w:rPr>
                <w:rFonts w:ascii="Times New Roman" w:eastAsia="Times New Roman" w:hAnsi="Times New Roman" w:cs="Times New Roman"/>
                <w:b/>
                <w:bCs/>
                <w:sz w:val="22"/>
                <w:szCs w:val="22"/>
                <w:lang w:eastAsia="en-US"/>
              </w:rPr>
            </w:pPr>
            <w:r w:rsidRPr="0028094B">
              <w:rPr>
                <w:rFonts w:ascii="Times New Roman" w:eastAsia="Times New Roman" w:hAnsi="Times New Roman" w:cs="Times New Roman"/>
                <w:b/>
                <w:bCs/>
                <w:sz w:val="22"/>
                <w:szCs w:val="22"/>
                <w:lang w:eastAsia="en-US"/>
              </w:rPr>
              <w:t>Ligoninės vidinės ir išorinės</w:t>
            </w:r>
            <w:r>
              <w:rPr>
                <w:rFonts w:ascii="Times New Roman" w:eastAsia="Times New Roman" w:hAnsi="Times New Roman" w:cs="Times New Roman"/>
                <w:b/>
                <w:bCs/>
                <w:sz w:val="22"/>
                <w:szCs w:val="22"/>
                <w:lang w:eastAsia="en-US"/>
              </w:rPr>
              <w:t xml:space="preserve"> </w:t>
            </w:r>
            <w:r w:rsidRPr="0028094B">
              <w:rPr>
                <w:rFonts w:ascii="Times New Roman" w:eastAsia="Times New Roman" w:hAnsi="Times New Roman" w:cs="Times New Roman"/>
                <w:b/>
                <w:bCs/>
                <w:sz w:val="22"/>
                <w:szCs w:val="22"/>
                <w:lang w:eastAsia="en-US"/>
              </w:rPr>
              <w:t>iškabos</w:t>
            </w:r>
            <w:r>
              <w:rPr>
                <w:rFonts w:ascii="Times New Roman" w:eastAsia="Times New Roman" w:hAnsi="Times New Roman" w:cs="Times New Roman"/>
                <w:b/>
                <w:bCs/>
                <w:sz w:val="22"/>
                <w:szCs w:val="22"/>
                <w:lang w:eastAsia="en-US"/>
              </w:rPr>
              <w:t xml:space="preserve"> </w:t>
            </w:r>
            <w:r>
              <w:rPr>
                <w:rFonts w:ascii="Times New Roman" w:eastAsia="Times New Roman" w:hAnsi="Times New Roman" w:cs="Times New Roman"/>
                <w:b/>
                <w:bCs/>
                <w:sz w:val="22"/>
                <w:szCs w:val="22"/>
                <w:lang w:eastAsia="en-US"/>
              </w:rPr>
              <w:t>su įrengimu ir senų iškabų demontavimu</w:t>
            </w:r>
          </w:p>
          <w:p w14:paraId="683011CC" w14:textId="77777777" w:rsidR="002E7EC3" w:rsidRPr="002E7EC3" w:rsidRDefault="002E7EC3" w:rsidP="002E7EC3">
            <w:pPr>
              <w:rPr>
                <w:sz w:val="22"/>
                <w:szCs w:val="22"/>
              </w:rPr>
            </w:pPr>
          </w:p>
          <w:p w14:paraId="652E9A26" w14:textId="20D8C0BA" w:rsidR="0002555A" w:rsidRDefault="00DD7479" w:rsidP="006034CC">
            <w:pPr>
              <w:autoSpaceDE w:val="0"/>
              <w:autoSpaceDN w:val="0"/>
              <w:adjustRightInd w:val="0"/>
              <w:jc w:val="both"/>
              <w:rPr>
                <w:color w:val="000000"/>
                <w:kern w:val="2"/>
                <w:sz w:val="22"/>
                <w:szCs w:val="22"/>
              </w:rPr>
            </w:pPr>
            <w:r w:rsidRPr="00B96C6D">
              <w:rPr>
                <w:kern w:val="2"/>
                <w:sz w:val="22"/>
                <w:szCs w:val="22"/>
              </w:rPr>
              <w:t xml:space="preserve">Tiekėjas įsipareigoja Sutartyje numatytomis sąlygomis </w:t>
            </w:r>
            <w:r w:rsidR="00205C93">
              <w:rPr>
                <w:kern w:val="2"/>
                <w:sz w:val="22"/>
                <w:szCs w:val="22"/>
              </w:rPr>
              <w:t xml:space="preserve">pristatyti </w:t>
            </w:r>
            <w:r w:rsidRPr="00B96C6D">
              <w:rPr>
                <w:kern w:val="2"/>
                <w:sz w:val="22"/>
                <w:szCs w:val="22"/>
              </w:rPr>
              <w:t>Pirkėjui</w:t>
            </w:r>
            <w:r w:rsidR="006034CC">
              <w:rPr>
                <w:kern w:val="2"/>
                <w:sz w:val="22"/>
                <w:szCs w:val="22"/>
              </w:rPr>
              <w:t xml:space="preserve"> prekes</w:t>
            </w:r>
            <w:r w:rsidR="00205C93">
              <w:rPr>
                <w:kern w:val="2"/>
                <w:sz w:val="22"/>
                <w:szCs w:val="22"/>
              </w:rPr>
              <w:t xml:space="preserve">, </w:t>
            </w:r>
            <w:r w:rsidR="00205C93">
              <w:rPr>
                <w:kern w:val="2"/>
                <w:sz w:val="22"/>
                <w:szCs w:val="22"/>
              </w:rPr>
              <w:t xml:space="preserve">nurodytas Sutarties priede Nr. 1. </w:t>
            </w:r>
            <w:r w:rsidR="00205C93" w:rsidRPr="009F734E">
              <w:rPr>
                <w:color w:val="000000"/>
                <w:kern w:val="2"/>
                <w:sz w:val="22"/>
                <w:szCs w:val="22"/>
              </w:rPr>
              <w:t>„Techninė specifikacija“</w:t>
            </w:r>
            <w:r w:rsidR="00205C93">
              <w:rPr>
                <w:color w:val="000000"/>
                <w:kern w:val="2"/>
                <w:sz w:val="22"/>
                <w:szCs w:val="22"/>
              </w:rPr>
              <w:t>,</w:t>
            </w:r>
            <w:r w:rsidR="00205C93">
              <w:rPr>
                <w:kern w:val="2"/>
                <w:sz w:val="22"/>
                <w:szCs w:val="22"/>
              </w:rPr>
              <w:t xml:space="preserve"> jas sumontuoti, įrengti, pritvirtinti (priklausomai nuo užsakomų prekių pobūdžio)</w:t>
            </w:r>
            <w:r w:rsidR="00E87F00">
              <w:rPr>
                <w:kern w:val="2"/>
                <w:sz w:val="22"/>
                <w:szCs w:val="22"/>
              </w:rPr>
              <w:t>, pagal pirkėjo poreikį, atlikti maketavimą, projektavimą.</w:t>
            </w:r>
          </w:p>
          <w:p w14:paraId="2928A01D" w14:textId="77777777" w:rsidR="002E7EC3" w:rsidRPr="006034CC" w:rsidRDefault="002E7EC3" w:rsidP="006034CC">
            <w:pPr>
              <w:autoSpaceDE w:val="0"/>
              <w:autoSpaceDN w:val="0"/>
              <w:adjustRightInd w:val="0"/>
              <w:jc w:val="both"/>
              <w:rPr>
                <w:kern w:val="2"/>
                <w:sz w:val="22"/>
                <w:szCs w:val="22"/>
              </w:rPr>
            </w:pPr>
          </w:p>
          <w:p w14:paraId="74009C55" w14:textId="7F07DCCD" w:rsidR="009F734E" w:rsidRPr="00B96C6D" w:rsidRDefault="009F734E" w:rsidP="0002555A">
            <w:pPr>
              <w:jc w:val="both"/>
              <w:rPr>
                <w:color w:val="000000"/>
                <w:kern w:val="2"/>
                <w:sz w:val="22"/>
                <w:szCs w:val="22"/>
              </w:rPr>
            </w:pPr>
            <w:r w:rsidRPr="009F734E">
              <w:rPr>
                <w:color w:val="000000"/>
                <w:kern w:val="2"/>
                <w:sz w:val="22"/>
                <w:szCs w:val="22"/>
              </w:rPr>
              <w:t>Išsamus Prekių aprašymas</w:t>
            </w:r>
            <w:r w:rsidR="00205C93">
              <w:rPr>
                <w:color w:val="000000"/>
                <w:kern w:val="2"/>
                <w:sz w:val="22"/>
                <w:szCs w:val="22"/>
              </w:rPr>
              <w:t xml:space="preserve">, įrengimas </w:t>
            </w:r>
            <w:r w:rsidRPr="009F734E">
              <w:rPr>
                <w:color w:val="000000"/>
                <w:kern w:val="2"/>
                <w:sz w:val="22"/>
                <w:szCs w:val="22"/>
              </w:rPr>
              <w:t xml:space="preserve">ir kiti reikalavimai tiekiamoms Prekėms </w:t>
            </w:r>
            <w:r w:rsidR="00205C93">
              <w:rPr>
                <w:color w:val="000000"/>
                <w:kern w:val="2"/>
                <w:sz w:val="22"/>
                <w:szCs w:val="22"/>
              </w:rPr>
              <w:t>ir jų įrengimui</w:t>
            </w:r>
            <w:r w:rsidR="006A1C70">
              <w:rPr>
                <w:color w:val="000000"/>
                <w:kern w:val="2"/>
                <w:sz w:val="22"/>
                <w:szCs w:val="22"/>
              </w:rPr>
              <w:t>, montavimui</w:t>
            </w:r>
            <w:r w:rsidR="00205C93">
              <w:rPr>
                <w:color w:val="000000"/>
                <w:kern w:val="2"/>
                <w:sz w:val="22"/>
                <w:szCs w:val="22"/>
              </w:rPr>
              <w:t xml:space="preserve"> </w:t>
            </w:r>
            <w:r w:rsidRPr="009F734E">
              <w:rPr>
                <w:color w:val="000000"/>
                <w:kern w:val="2"/>
                <w:sz w:val="22"/>
                <w:szCs w:val="22"/>
              </w:rPr>
              <w:t>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7ED87213" w:rsidR="00A12F1C" w:rsidRPr="00205C93" w:rsidRDefault="00205C93" w:rsidP="00205C93">
            <w:pPr>
              <w:pStyle w:val="Betarp"/>
              <w:contextualSpacing/>
              <w:jc w:val="both"/>
              <w:rPr>
                <w:rFonts w:ascii="Times New Roman" w:eastAsia="Times New Roman" w:hAnsi="Times New Roman" w:cs="Times New Roman"/>
                <w:sz w:val="22"/>
                <w:szCs w:val="22"/>
                <w:lang w:eastAsia="en-US"/>
              </w:rPr>
            </w:pPr>
            <w:r w:rsidRPr="00205C93">
              <w:rPr>
                <w:rFonts w:ascii="Times New Roman" w:eastAsia="Times New Roman" w:hAnsi="Times New Roman" w:cs="Times New Roman"/>
                <w:sz w:val="22"/>
                <w:szCs w:val="22"/>
                <w:lang w:eastAsia="en-US"/>
              </w:rPr>
              <w:t>Ligoninės vidinės ir išorinės iškabos su įrengimu ir senų iškabų demontavimu</w:t>
            </w:r>
            <w:r w:rsidR="00D062A8" w:rsidRPr="00205C93">
              <w:rPr>
                <w:rFonts w:ascii="Times New Roman" w:hAnsi="Times New Roman" w:cs="Times New Roman"/>
                <w:kern w:val="2"/>
                <w:sz w:val="22"/>
                <w:szCs w:val="22"/>
              </w:rPr>
              <w:t xml:space="preserve">, </w:t>
            </w:r>
            <w:r w:rsidR="00D062A8" w:rsidRPr="00205C93">
              <w:rPr>
                <w:rFonts w:ascii="Times New Roman" w:hAnsi="Times New Roman" w:cs="Times New Roman"/>
                <w:kern w:val="2"/>
                <w:sz w:val="22"/>
                <w:szCs w:val="22"/>
                <w:highlight w:val="lightGray"/>
              </w:rPr>
              <w:t>pirkimo Nr.</w:t>
            </w:r>
            <w:r w:rsidR="00D062A8" w:rsidRPr="00205C93">
              <w:rPr>
                <w:rFonts w:ascii="Times New Roman" w:hAnsi="Times New Roman" w:cs="Times New Roman"/>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4444778F" w:rsidR="00B767F3" w:rsidRPr="00E53E5C" w:rsidRDefault="00205C93"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202D1EE5" w:rsidR="008F7BA9" w:rsidRPr="00C41479" w:rsidRDefault="008F7BA9" w:rsidP="008F7BA9">
            <w:pPr>
              <w:rPr>
                <w:b/>
                <w:bCs/>
                <w:kern w:val="2"/>
                <w:sz w:val="22"/>
                <w:szCs w:val="22"/>
              </w:rPr>
            </w:pPr>
            <w:r w:rsidRPr="00C41479">
              <w:rPr>
                <w:b/>
                <w:bCs/>
                <w:kern w:val="2"/>
                <w:sz w:val="22"/>
                <w:szCs w:val="22"/>
              </w:rPr>
              <w:t xml:space="preserve">4.1. Prekių pristatymo terminas, kai Prekės pristatomos </w:t>
            </w:r>
            <w:r w:rsidR="00E87F00">
              <w:rPr>
                <w:b/>
                <w:bCs/>
                <w:kern w:val="2"/>
                <w:sz w:val="22"/>
                <w:szCs w:val="22"/>
              </w:rPr>
              <w:t>dalimis</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94A7CFE" w14:textId="222951BE" w:rsidR="00E87F00" w:rsidRDefault="00E87F00" w:rsidP="00323026">
            <w:pPr>
              <w:jc w:val="both"/>
              <w:rPr>
                <w:kern w:val="2"/>
                <w:sz w:val="22"/>
                <w:szCs w:val="22"/>
              </w:rPr>
            </w:pPr>
            <w:r w:rsidRPr="00E87F00">
              <w:rPr>
                <w:kern w:val="2"/>
                <w:sz w:val="22"/>
                <w:szCs w:val="22"/>
              </w:rPr>
              <w:t>Tiekėjas pagal atskirą užsakymą įsipareigoja pristatyti</w:t>
            </w:r>
            <w:r>
              <w:rPr>
                <w:kern w:val="2"/>
                <w:sz w:val="22"/>
                <w:szCs w:val="22"/>
              </w:rPr>
              <w:t xml:space="preserve"> prekes ir atlikti su užsakomomis prekėmis reikalingus darbus, nurodytus užsakyme,</w:t>
            </w:r>
            <w:r w:rsidRPr="00E87F00">
              <w:rPr>
                <w:kern w:val="2"/>
                <w:sz w:val="22"/>
                <w:szCs w:val="22"/>
              </w:rPr>
              <w:t xml:space="preserve"> ne vėliau kaip per </w:t>
            </w:r>
            <w:r>
              <w:rPr>
                <w:kern w:val="2"/>
                <w:sz w:val="22"/>
                <w:szCs w:val="22"/>
              </w:rPr>
              <w:t>15 kalendorinių dienų</w:t>
            </w:r>
            <w:r w:rsidRPr="00E87F00">
              <w:rPr>
                <w:kern w:val="2"/>
                <w:sz w:val="22"/>
                <w:szCs w:val="22"/>
              </w:rPr>
              <w:t xml:space="preserve"> nuo užsakymo pateikimo dienos ši</w:t>
            </w:r>
            <w:r>
              <w:rPr>
                <w:kern w:val="2"/>
                <w:sz w:val="22"/>
                <w:szCs w:val="22"/>
              </w:rPr>
              <w:t>ais</w:t>
            </w:r>
            <w:r w:rsidRPr="00E87F00">
              <w:rPr>
                <w:kern w:val="2"/>
                <w:sz w:val="22"/>
                <w:szCs w:val="22"/>
              </w:rPr>
              <w:t xml:space="preserve"> adres</w:t>
            </w:r>
            <w:r>
              <w:rPr>
                <w:kern w:val="2"/>
                <w:sz w:val="22"/>
                <w:szCs w:val="22"/>
              </w:rPr>
              <w:t>ais</w:t>
            </w:r>
            <w:r w:rsidRPr="00E87F00">
              <w:rPr>
                <w:kern w:val="2"/>
                <w:sz w:val="22"/>
                <w:szCs w:val="22"/>
              </w:rPr>
              <w:t>: Klaipėda: Liepojos g. 41, Liepojos g. 43, Liepojos g, 45, Liepojos g. 49; Palanga: Vytauto g. 153, Klaipėdos pl. 76; Šilutės raj. Švėkšna, Aušros g. 27.</w:t>
            </w:r>
          </w:p>
          <w:p w14:paraId="500FE764" w14:textId="77777777" w:rsidR="00E87F00" w:rsidRDefault="00E87F00" w:rsidP="00323026">
            <w:pPr>
              <w:jc w:val="both"/>
              <w:rPr>
                <w:kern w:val="2"/>
                <w:sz w:val="22"/>
                <w:szCs w:val="22"/>
              </w:rPr>
            </w:pPr>
          </w:p>
          <w:p w14:paraId="17BD2B2B" w14:textId="2631B0A7"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2F51539F" w:rsidR="00374D1F" w:rsidRDefault="00B132AC" w:rsidP="00B132AC">
            <w:pPr>
              <w:jc w:val="both"/>
              <w:rPr>
                <w:kern w:val="2"/>
                <w:sz w:val="22"/>
                <w:szCs w:val="22"/>
              </w:rPr>
            </w:pPr>
            <w:r w:rsidRPr="00B132AC">
              <w:rPr>
                <w:kern w:val="2"/>
                <w:sz w:val="22"/>
                <w:szCs w:val="22"/>
              </w:rPr>
              <w:t xml:space="preserve">Tiekėjas turi teisę į Prekių pristatymo </w:t>
            </w:r>
            <w:r w:rsidR="00EA467C">
              <w:rPr>
                <w:kern w:val="2"/>
                <w:sz w:val="22"/>
                <w:szCs w:val="22"/>
              </w:rPr>
              <w:t xml:space="preserve">ir su prekėmis susijusių darbų atlikimo </w:t>
            </w:r>
            <w:r w:rsidRPr="00B132AC">
              <w:rPr>
                <w:kern w:val="2"/>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62038075" w:rsidR="00B767F3" w:rsidRPr="00B132AC" w:rsidRDefault="00B132AC" w:rsidP="00B132AC">
            <w:pPr>
              <w:jc w:val="both"/>
              <w:rPr>
                <w:kern w:val="2"/>
                <w:sz w:val="22"/>
                <w:szCs w:val="22"/>
              </w:rPr>
            </w:pPr>
            <w:r w:rsidRPr="00B132AC">
              <w:rPr>
                <w:kern w:val="2"/>
                <w:sz w:val="22"/>
                <w:szCs w:val="22"/>
              </w:rPr>
              <w:t>Pirkėjui sutikus, Prekių pristatymo</w:t>
            </w:r>
            <w:r w:rsidR="00EA467C">
              <w:rPr>
                <w:kern w:val="2"/>
                <w:sz w:val="22"/>
                <w:szCs w:val="22"/>
              </w:rPr>
              <w:t xml:space="preserve"> ir </w:t>
            </w:r>
            <w:r w:rsidR="00EA467C">
              <w:rPr>
                <w:kern w:val="2"/>
                <w:sz w:val="22"/>
                <w:szCs w:val="22"/>
              </w:rPr>
              <w:t>su prekėmis susijusių darbų atlikimo</w:t>
            </w:r>
            <w:r w:rsidRPr="00B132AC">
              <w:rPr>
                <w:kern w:val="2"/>
                <w:sz w:val="22"/>
                <w:szCs w:val="22"/>
              </w:rPr>
              <w:t xml:space="preserve"> terminas</w:t>
            </w:r>
            <w:r w:rsidR="00B960DD">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sidR="00EA467C">
              <w:rPr>
                <w:color w:val="000000" w:themeColor="text1"/>
                <w:kern w:val="2"/>
                <w:sz w:val="22"/>
                <w:szCs w:val="22"/>
              </w:rPr>
              <w:t>10</w:t>
            </w:r>
            <w:r w:rsidR="00973F76">
              <w:rPr>
                <w:color w:val="000000" w:themeColor="text1"/>
                <w:kern w:val="2"/>
                <w:sz w:val="22"/>
                <w:szCs w:val="22"/>
              </w:rPr>
              <w:t xml:space="preserve"> </w:t>
            </w:r>
            <w:r w:rsidR="00EA467C">
              <w:rPr>
                <w:color w:val="000000" w:themeColor="text1"/>
                <w:kern w:val="2"/>
                <w:sz w:val="22"/>
                <w:szCs w:val="22"/>
              </w:rPr>
              <w:t>kalendorinių dienų</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735E82C1" w:rsidR="00AC0450" w:rsidRDefault="00AC0450" w:rsidP="002E7EC3">
            <w:pPr>
              <w:jc w:val="both"/>
              <w:rPr>
                <w:kern w:val="2"/>
                <w:sz w:val="22"/>
                <w:szCs w:val="22"/>
              </w:rPr>
            </w:pPr>
            <w:r>
              <w:rPr>
                <w:kern w:val="2"/>
                <w:sz w:val="22"/>
                <w:szCs w:val="22"/>
              </w:rPr>
              <w:t xml:space="preserve">4.5.2. </w:t>
            </w:r>
            <w:r w:rsidR="00EA467C">
              <w:rPr>
                <w:kern w:val="2"/>
                <w:sz w:val="22"/>
                <w:szCs w:val="22"/>
              </w:rPr>
              <w:t>Prekių naudojimo instrukcijos (jei jos privalomos pagal prekės pobūdį).</w:t>
            </w:r>
            <w:r w:rsidR="001E410C" w:rsidRPr="001E410C">
              <w:rPr>
                <w:kern w:val="2"/>
                <w:sz w:val="22"/>
                <w:szCs w:val="22"/>
              </w:rPr>
              <w:t xml:space="preserve"> </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3236972E" w:rsidR="00B767F3" w:rsidRPr="00BB35FE" w:rsidRDefault="00DD7479">
            <w:pPr>
              <w:rPr>
                <w:kern w:val="2"/>
                <w:sz w:val="22"/>
                <w:szCs w:val="22"/>
              </w:rPr>
            </w:pPr>
            <w:r w:rsidRPr="00BB35FE">
              <w:rPr>
                <w:kern w:val="2"/>
                <w:sz w:val="22"/>
                <w:szCs w:val="22"/>
              </w:rPr>
              <w:t xml:space="preserve">Fiksuoto </w:t>
            </w:r>
            <w:r w:rsidR="00EA467C">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A9936AE" w:rsidR="00B132AC" w:rsidRPr="00EA467C" w:rsidRDefault="00B132AC" w:rsidP="00B132AC">
            <w:pPr>
              <w:rPr>
                <w:b/>
                <w:bCs/>
                <w:kern w:val="2"/>
                <w:sz w:val="22"/>
                <w:szCs w:val="22"/>
              </w:rPr>
            </w:pPr>
            <w:r w:rsidRPr="00EA467C">
              <w:rPr>
                <w:b/>
                <w:bCs/>
                <w:kern w:val="2"/>
                <w:sz w:val="22"/>
                <w:szCs w:val="22"/>
              </w:rPr>
              <w:t xml:space="preserve">5.2. Pradinės Sutarties vertė ir Sutarties kaina, kai taikoma </w:t>
            </w:r>
            <w:r w:rsidRPr="00EA467C">
              <w:rPr>
                <w:b/>
                <w:bCs/>
                <w:kern w:val="2"/>
                <w:sz w:val="22"/>
                <w:szCs w:val="22"/>
                <w:u w:val="single"/>
              </w:rPr>
              <w:t xml:space="preserve">fiksuoto </w:t>
            </w:r>
            <w:r w:rsidR="00EA467C" w:rsidRPr="00EA467C">
              <w:rPr>
                <w:b/>
                <w:bCs/>
                <w:kern w:val="2"/>
                <w:sz w:val="22"/>
                <w:szCs w:val="22"/>
                <w:u w:val="single"/>
              </w:rPr>
              <w:t>įkainio</w:t>
            </w:r>
            <w:r w:rsidRPr="00EA467C">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1F21DEAB" w14:textId="60B92784" w:rsidR="00EA467C" w:rsidRPr="00373CBD" w:rsidRDefault="00EA467C" w:rsidP="00EA467C">
            <w:pPr>
              <w:rPr>
                <w:kern w:val="2"/>
                <w:sz w:val="22"/>
                <w:szCs w:val="22"/>
              </w:rPr>
            </w:pPr>
            <w:r w:rsidRPr="00373CBD">
              <w:rPr>
                <w:kern w:val="2"/>
                <w:sz w:val="22"/>
                <w:szCs w:val="22"/>
              </w:rPr>
              <w:t xml:space="preserve">Pradinės Sutarties vertė yra </w:t>
            </w:r>
            <w:r w:rsidRPr="00373CBD">
              <w:rPr>
                <w:kern w:val="2"/>
                <w:sz w:val="22"/>
                <w:szCs w:val="22"/>
              </w:rPr>
              <w:t>150 000,00</w:t>
            </w:r>
            <w:r w:rsidRPr="00373CBD">
              <w:rPr>
                <w:kern w:val="2"/>
                <w:sz w:val="22"/>
                <w:szCs w:val="22"/>
              </w:rPr>
              <w:t xml:space="preserve"> </w:t>
            </w:r>
            <w:r w:rsidRPr="00373CBD">
              <w:rPr>
                <w:kern w:val="2"/>
                <w:sz w:val="22"/>
                <w:szCs w:val="22"/>
              </w:rPr>
              <w:t>(vienas šimtas penkiasdešimt eurų, 00 ct)</w:t>
            </w:r>
            <w:r w:rsidRPr="00373CBD">
              <w:rPr>
                <w:kern w:val="2"/>
                <w:sz w:val="22"/>
                <w:szCs w:val="22"/>
              </w:rPr>
              <w:t xml:space="preserve"> be PVM. </w:t>
            </w:r>
          </w:p>
          <w:p w14:paraId="7167F686" w14:textId="42E157B5" w:rsidR="00EA467C" w:rsidRPr="00373CBD" w:rsidRDefault="00EA467C" w:rsidP="00EA467C">
            <w:pPr>
              <w:rPr>
                <w:kern w:val="2"/>
                <w:sz w:val="22"/>
                <w:szCs w:val="22"/>
              </w:rPr>
            </w:pPr>
            <w:r w:rsidRPr="00373CBD">
              <w:rPr>
                <w:kern w:val="2"/>
                <w:sz w:val="22"/>
                <w:szCs w:val="22"/>
              </w:rPr>
              <w:t xml:space="preserve">PVM sudaro </w:t>
            </w:r>
            <w:r w:rsidRPr="00373CBD">
              <w:rPr>
                <w:kern w:val="2"/>
                <w:sz w:val="22"/>
                <w:szCs w:val="22"/>
              </w:rPr>
              <w:t>31 500,00</w:t>
            </w:r>
            <w:r w:rsidRPr="00373CBD">
              <w:rPr>
                <w:kern w:val="2"/>
                <w:sz w:val="22"/>
                <w:szCs w:val="22"/>
              </w:rPr>
              <w:t xml:space="preserve"> (</w:t>
            </w:r>
            <w:r w:rsidRPr="00373CBD">
              <w:rPr>
                <w:kern w:val="2"/>
                <w:sz w:val="22"/>
                <w:szCs w:val="22"/>
              </w:rPr>
              <w:t>trisdešimt vienas tūkstantis penki šimtai eurų,00 ct</w:t>
            </w:r>
            <w:r w:rsidRPr="00373CBD">
              <w:rPr>
                <w:kern w:val="2"/>
                <w:sz w:val="22"/>
                <w:szCs w:val="22"/>
              </w:rPr>
              <w:t>).</w:t>
            </w:r>
          </w:p>
          <w:p w14:paraId="3C69598F" w14:textId="153FD17F" w:rsidR="00EA467C" w:rsidRPr="00373CBD" w:rsidRDefault="00EA467C" w:rsidP="00EA467C">
            <w:pPr>
              <w:rPr>
                <w:kern w:val="2"/>
                <w:sz w:val="22"/>
                <w:szCs w:val="22"/>
              </w:rPr>
            </w:pPr>
            <w:r w:rsidRPr="00373CBD">
              <w:rPr>
                <w:kern w:val="2"/>
                <w:sz w:val="22"/>
                <w:szCs w:val="22"/>
              </w:rPr>
              <w:t xml:space="preserve">Sutarties kaina yra </w:t>
            </w:r>
            <w:r w:rsidRPr="00373CBD">
              <w:rPr>
                <w:kern w:val="2"/>
                <w:sz w:val="22"/>
                <w:szCs w:val="22"/>
              </w:rPr>
              <w:t>181 500,00</w:t>
            </w:r>
            <w:r w:rsidRPr="00373CBD">
              <w:rPr>
                <w:kern w:val="2"/>
                <w:sz w:val="22"/>
                <w:szCs w:val="22"/>
              </w:rPr>
              <w:t xml:space="preserve"> </w:t>
            </w:r>
            <w:r w:rsidRPr="00373CBD">
              <w:rPr>
                <w:kern w:val="2"/>
                <w:sz w:val="22"/>
                <w:szCs w:val="22"/>
              </w:rPr>
              <w:t>(vienas šimtas aštuoniasdešimt vienas tūkstantis penki šimtai eurų</w:t>
            </w:r>
            <w:r w:rsidR="002849A3" w:rsidRPr="00373CBD">
              <w:rPr>
                <w:kern w:val="2"/>
                <w:sz w:val="22"/>
                <w:szCs w:val="22"/>
              </w:rPr>
              <w:t>, 00 ct)</w:t>
            </w:r>
            <w:r w:rsidRPr="00373CBD">
              <w:rPr>
                <w:kern w:val="2"/>
                <w:sz w:val="22"/>
                <w:szCs w:val="22"/>
              </w:rPr>
              <w:t xml:space="preserve"> Eur su PVM.</w:t>
            </w:r>
          </w:p>
          <w:p w14:paraId="309D8590" w14:textId="77777777" w:rsidR="00EA467C" w:rsidRPr="00373CBD" w:rsidRDefault="00EA467C" w:rsidP="00EA467C">
            <w:pPr>
              <w:rPr>
                <w:kern w:val="2"/>
                <w:sz w:val="22"/>
                <w:szCs w:val="22"/>
              </w:rPr>
            </w:pPr>
          </w:p>
          <w:p w14:paraId="2619AB26" w14:textId="2BAB7FF3" w:rsidR="00EA467C" w:rsidRPr="00373CBD" w:rsidRDefault="00EA467C" w:rsidP="00EA467C">
            <w:pPr>
              <w:rPr>
                <w:color w:val="000000"/>
                <w:kern w:val="2"/>
                <w:sz w:val="22"/>
                <w:szCs w:val="22"/>
              </w:rPr>
            </w:pPr>
            <w:r w:rsidRPr="00373CBD">
              <w:rPr>
                <w:color w:val="000000"/>
                <w:kern w:val="2"/>
                <w:sz w:val="22"/>
                <w:szCs w:val="22"/>
              </w:rPr>
              <w:t>Šioje Sutartyje Pradinės Sutarties vertė yra lygi</w:t>
            </w:r>
            <w:r w:rsidRPr="00373CBD">
              <w:rPr>
                <w:color w:val="000000"/>
                <w:kern w:val="2"/>
                <w:sz w:val="22"/>
                <w:szCs w:val="22"/>
              </w:rPr>
              <w:t xml:space="preserve"> </w:t>
            </w:r>
            <w:r w:rsidRPr="00373CBD">
              <w:rPr>
                <w:b/>
                <w:bCs/>
                <w:color w:val="000000"/>
                <w:kern w:val="2"/>
                <w:sz w:val="22"/>
                <w:szCs w:val="22"/>
              </w:rPr>
              <w:t>maksimaliai pirkimui skirtai</w:t>
            </w:r>
            <w:r w:rsidRPr="00373CBD">
              <w:rPr>
                <w:b/>
                <w:bCs/>
                <w:color w:val="000000"/>
                <w:kern w:val="2"/>
                <w:sz w:val="22"/>
                <w:szCs w:val="22"/>
              </w:rPr>
              <w:t xml:space="preserve"> </w:t>
            </w:r>
            <w:r w:rsidRPr="00373CBD">
              <w:rPr>
                <w:b/>
                <w:bCs/>
                <w:color w:val="000000"/>
                <w:kern w:val="2"/>
                <w:sz w:val="22"/>
                <w:szCs w:val="22"/>
              </w:rPr>
              <w:t>lėšų sumai</w:t>
            </w:r>
            <w:r w:rsidRPr="00373CBD">
              <w:rPr>
                <w:b/>
                <w:bCs/>
                <w:color w:val="000000"/>
                <w:kern w:val="2"/>
                <w:sz w:val="22"/>
                <w:szCs w:val="22"/>
              </w:rPr>
              <w:t xml:space="preserve"> </w:t>
            </w:r>
            <w:r w:rsidRPr="00373CBD">
              <w:rPr>
                <w:b/>
                <w:bCs/>
                <w:color w:val="000000"/>
                <w:kern w:val="2"/>
                <w:sz w:val="22"/>
                <w:szCs w:val="22"/>
              </w:rPr>
              <w:t>be PVM</w:t>
            </w:r>
            <w:r w:rsidRPr="00373CBD">
              <w:rPr>
                <w:color w:val="000000"/>
                <w:kern w:val="2"/>
                <w:sz w:val="22"/>
                <w:szCs w:val="22"/>
              </w:rPr>
              <w:t> pirkimo dokumentuose ir Sutartyje nurodytų Prekių įsigijimui Tiekėjo pasiūlyme nurodytais įkainiais</w:t>
            </w:r>
            <w:r w:rsidRPr="00373CBD">
              <w:rPr>
                <w:color w:val="000000"/>
                <w:kern w:val="2"/>
                <w:sz w:val="22"/>
                <w:szCs w:val="22"/>
              </w:rPr>
              <w:t xml:space="preserve"> </w:t>
            </w:r>
            <w:r w:rsidRPr="00373CBD">
              <w:rPr>
                <w:color w:val="000000"/>
                <w:kern w:val="2"/>
                <w:sz w:val="22"/>
                <w:szCs w:val="22"/>
              </w:rPr>
              <w:t>be PVM.</w:t>
            </w:r>
            <w:r w:rsidRPr="00373CBD">
              <w:rPr>
                <w:kern w:val="2"/>
                <w:sz w:val="22"/>
                <w:szCs w:val="22"/>
              </w:rPr>
              <w:t xml:space="preserve"> </w:t>
            </w:r>
            <w:r w:rsidRPr="00373CBD">
              <w:rPr>
                <w:color w:val="000000"/>
                <w:kern w:val="2"/>
                <w:sz w:val="22"/>
                <w:szCs w:val="22"/>
              </w:rPr>
              <w:t>Pirkėjas perka Prekes pagal poreikį Sutartyje arba jos priede Nr.</w:t>
            </w:r>
            <w:r w:rsidRPr="00373CBD">
              <w:rPr>
                <w:color w:val="000000"/>
                <w:kern w:val="2"/>
                <w:sz w:val="22"/>
                <w:szCs w:val="22"/>
              </w:rPr>
              <w:t xml:space="preserve"> </w:t>
            </w:r>
            <w:r w:rsidRPr="00373CBD">
              <w:rPr>
                <w:kern w:val="2"/>
                <w:sz w:val="22"/>
                <w:szCs w:val="22"/>
              </w:rPr>
              <w:t>1</w:t>
            </w:r>
            <w:r w:rsidRPr="00373CBD">
              <w:rPr>
                <w:kern w:val="2"/>
                <w:sz w:val="22"/>
                <w:szCs w:val="22"/>
              </w:rPr>
              <w:t xml:space="preserve"> </w:t>
            </w:r>
            <w:r w:rsidRPr="00373CBD">
              <w:rPr>
                <w:color w:val="000000"/>
                <w:kern w:val="2"/>
                <w:sz w:val="22"/>
                <w:szCs w:val="22"/>
              </w:rPr>
              <w:t>nurodytais įkainiais, neviršijant bendros Sutarties kainos. Sutartyje arba jos priede Nr.</w:t>
            </w:r>
            <w:r w:rsidRPr="00373CBD">
              <w:rPr>
                <w:kern w:val="2"/>
                <w:sz w:val="22"/>
                <w:szCs w:val="22"/>
              </w:rPr>
              <w:t xml:space="preserve"> 1</w:t>
            </w:r>
            <w:r w:rsidRPr="00373CBD">
              <w:rPr>
                <w:color w:val="000000"/>
                <w:kern w:val="2"/>
                <w:sz w:val="22"/>
                <w:szCs w:val="22"/>
              </w:rPr>
              <w:t xml:space="preserve"> atskirose eilutėse nurodytas Prekių kiekis gali būti keičiamas (didėti ar mažėti).</w:t>
            </w:r>
          </w:p>
          <w:p w14:paraId="01BFD1E7" w14:textId="68E98328" w:rsidR="00142858" w:rsidRPr="00373CBD" w:rsidRDefault="00EA467C" w:rsidP="00373CBD">
            <w:pPr>
              <w:rPr>
                <w:color w:val="000000"/>
                <w:kern w:val="2"/>
                <w:sz w:val="20"/>
              </w:rPr>
            </w:pPr>
            <w:r w:rsidRPr="00373CBD">
              <w:rPr>
                <w:kern w:val="2"/>
                <w:sz w:val="22"/>
                <w:szCs w:val="22"/>
              </w:rPr>
              <w:t>Pirkėjas neįsipareigoja išpirkti preliminaraus Prekių kiekio ar bet kokios jo dalies</w:t>
            </w:r>
            <w:r w:rsidRPr="00373CBD">
              <w:rPr>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373CBD" w:rsidRDefault="00DD7479">
            <w:pPr>
              <w:rPr>
                <w:kern w:val="2"/>
                <w:sz w:val="22"/>
                <w:szCs w:val="22"/>
              </w:rPr>
            </w:pPr>
            <w:r w:rsidRPr="00373CBD">
              <w:rPr>
                <w:kern w:val="2"/>
                <w:sz w:val="22"/>
                <w:szCs w:val="22"/>
              </w:rPr>
              <w:t>Sutarties kaina bus perskaičiuojam</w:t>
            </w:r>
            <w:r w:rsidR="0089363D" w:rsidRPr="00373CBD">
              <w:rPr>
                <w:kern w:val="2"/>
                <w:sz w:val="22"/>
                <w:szCs w:val="22"/>
              </w:rPr>
              <w:t>a</w:t>
            </w:r>
            <w:r w:rsidRPr="00373CBD">
              <w:rPr>
                <w:kern w:val="2"/>
                <w:sz w:val="22"/>
                <w:szCs w:val="22"/>
              </w:rPr>
              <w:t>:</w:t>
            </w:r>
          </w:p>
          <w:p w14:paraId="1F2303D8" w14:textId="502D419B" w:rsidR="00B767F3" w:rsidRPr="00373CBD" w:rsidRDefault="00DD7479">
            <w:pPr>
              <w:rPr>
                <w:kern w:val="2"/>
                <w:sz w:val="22"/>
                <w:szCs w:val="22"/>
              </w:rPr>
            </w:pPr>
            <w:r w:rsidRPr="00373CBD">
              <w:rPr>
                <w:kern w:val="2"/>
                <w:sz w:val="22"/>
                <w:szCs w:val="22"/>
              </w:rPr>
              <w:t>5.3.1. dėl PVM tarifo pasikeitimo</w:t>
            </w:r>
            <w:r w:rsidR="00B56E69" w:rsidRPr="00373CBD">
              <w:rPr>
                <w:kern w:val="2"/>
                <w:sz w:val="22"/>
                <w:szCs w:val="22"/>
              </w:rPr>
              <w:t>.</w:t>
            </w:r>
          </w:p>
          <w:p w14:paraId="7CE73E9A" w14:textId="3E9F94A9" w:rsidR="00B767F3" w:rsidRPr="00373CBD" w:rsidRDefault="002849A3" w:rsidP="00902B93">
            <w:pPr>
              <w:rPr>
                <w:color w:val="FF0000"/>
                <w:kern w:val="2"/>
                <w:sz w:val="22"/>
                <w:szCs w:val="22"/>
              </w:rPr>
            </w:pPr>
            <w:r w:rsidRPr="00373CBD">
              <w:rPr>
                <w:kern w:val="2"/>
                <w:sz w:val="22"/>
                <w:szCs w:val="22"/>
              </w:rPr>
              <w:t>5.3.2. dėl kainų lygio pokyčio.</w:t>
            </w: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849A3"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849A3" w:rsidRPr="00B96C6D" w:rsidRDefault="002849A3" w:rsidP="002849A3">
            <w:pPr>
              <w:rPr>
                <w:b/>
                <w:bCs/>
                <w:kern w:val="2"/>
                <w:sz w:val="22"/>
                <w:szCs w:val="22"/>
              </w:rPr>
            </w:pPr>
            <w:r w:rsidRPr="00B96C6D">
              <w:rPr>
                <w:b/>
                <w:bCs/>
                <w:kern w:val="2"/>
                <w:sz w:val="22"/>
                <w:szCs w:val="22"/>
              </w:rPr>
              <w:t>5.3.3. Sutarties kainos / įkainių peržiūra dėl kainų lygio pokyčio</w:t>
            </w:r>
          </w:p>
          <w:p w14:paraId="5C40273E" w14:textId="77777777" w:rsidR="002849A3" w:rsidRPr="00B96C6D" w:rsidRDefault="002849A3" w:rsidP="002849A3">
            <w:pPr>
              <w:rPr>
                <w:color w:val="4472C4"/>
                <w:kern w:val="2"/>
                <w:sz w:val="22"/>
                <w:szCs w:val="22"/>
              </w:rPr>
            </w:pPr>
          </w:p>
          <w:p w14:paraId="242E5223" w14:textId="6363461C" w:rsidR="002849A3" w:rsidRPr="00B96C6D" w:rsidRDefault="002849A3" w:rsidP="002849A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B107CF0" w14:textId="20A85A79" w:rsidR="002849A3" w:rsidRPr="00281158" w:rsidRDefault="002849A3" w:rsidP="002849A3">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w:t>
            </w:r>
            <w:r w:rsidRPr="00281158">
              <w:rPr>
                <w:kern w:val="2"/>
                <w:sz w:val="22"/>
                <w:szCs w:val="22"/>
              </w:rPr>
              <w:t>. Sutarties įkainių peržiūra atliekama ne rečiau kaip kas 6 mėnesiai.</w:t>
            </w:r>
          </w:p>
          <w:p w14:paraId="42960C4E" w14:textId="77777777" w:rsidR="002849A3" w:rsidRPr="00281158" w:rsidRDefault="002849A3" w:rsidP="002849A3">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162F5C3" w14:textId="77777777" w:rsidR="002849A3" w:rsidRPr="00281158" w:rsidRDefault="002849A3" w:rsidP="002849A3">
            <w:pPr>
              <w:jc w:val="both"/>
              <w:rPr>
                <w:kern w:val="2"/>
                <w:sz w:val="22"/>
                <w:szCs w:val="22"/>
                <w:shd w:val="clear" w:color="auto" w:fill="FFFFFF"/>
              </w:rPr>
            </w:pPr>
            <w:r w:rsidRPr="00281158">
              <w:rPr>
                <w:kern w:val="2"/>
                <w:sz w:val="22"/>
                <w:szCs w:val="22"/>
              </w:rPr>
              <w:lastRenderedPageBreak/>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C7B031F" w14:textId="77777777" w:rsidR="002849A3" w:rsidRPr="00281158" w:rsidRDefault="002849A3" w:rsidP="002849A3">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6338877" w14:textId="77777777" w:rsidR="002849A3" w:rsidRPr="00281158" w:rsidRDefault="002849A3" w:rsidP="002849A3">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2070CA7" w14:textId="77777777" w:rsidR="002849A3" w:rsidRPr="00281158" w:rsidRDefault="002849A3" w:rsidP="002849A3">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137D5131" w14:textId="77777777" w:rsidR="002849A3" w:rsidRPr="00281158" w:rsidRDefault="002849A3" w:rsidP="002849A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Pr="00281158">
              <w:rPr>
                <w:kern w:val="2"/>
                <w:sz w:val="22"/>
                <w:szCs w:val="22"/>
              </w:rPr>
              <w:t>, kur a –įkainis (Eur be PVM)) (jei peržiūra jau buvo atlikta, tai po paskutinio perskaičiavimo) </w:t>
            </w:r>
          </w:p>
          <w:p w14:paraId="49A07547" w14:textId="77777777" w:rsidR="002849A3" w:rsidRPr="00281158" w:rsidRDefault="002849A3" w:rsidP="002849A3">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2BC012A4" w14:textId="77777777" w:rsidR="002849A3" w:rsidRPr="00281158" w:rsidRDefault="002849A3" w:rsidP="002849A3">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0297DBFF" w14:textId="77777777" w:rsidR="002849A3" w:rsidRPr="00281158" w:rsidRDefault="002849A3" w:rsidP="002849A3">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16DF84E1" w14:textId="77777777" w:rsidR="002849A3" w:rsidRPr="00281158" w:rsidRDefault="002849A3" w:rsidP="002849A3">
            <w:pPr>
              <w:jc w:val="both"/>
              <w:textAlignment w:val="baseline"/>
              <w:rPr>
                <w:sz w:val="22"/>
                <w:szCs w:val="22"/>
              </w:rPr>
            </w:pPr>
            <w:r w:rsidRPr="00281158">
              <w:rPr>
                <w:kern w:val="2"/>
                <w:sz w:val="22"/>
                <w:szCs w:val="22"/>
              </w:rPr>
              <w:t>Ind</w:t>
            </w:r>
            <w:r w:rsidRPr="00281158">
              <w:rPr>
                <w:kern w:val="2"/>
                <w:sz w:val="22"/>
                <w:szCs w:val="22"/>
                <w:vertAlign w:val="subscript"/>
              </w:rPr>
              <w:t>naujausias</w:t>
            </w:r>
            <w:r w:rsidRPr="00281158">
              <w:rPr>
                <w:kern w:val="2"/>
                <w:sz w:val="22"/>
                <w:szCs w:val="22"/>
              </w:rPr>
              <w:t xml:space="preserve"> – kreipimosi dėl įkainių peržiūros išsiuntimo kitai šaliai dieną paskelbtas naujausias vartojimo prekių ir paslaugų indeksas („Vartojimo prekių ir paslaugų“). </w:t>
            </w:r>
          </w:p>
          <w:p w14:paraId="17F96AE8" w14:textId="77777777" w:rsidR="002849A3" w:rsidRPr="00281158" w:rsidRDefault="002849A3" w:rsidP="002849A3">
            <w:pPr>
              <w:jc w:val="both"/>
              <w:rPr>
                <w:sz w:val="22"/>
                <w:szCs w:val="22"/>
              </w:rPr>
            </w:pPr>
            <w:r w:rsidRPr="00281158">
              <w:rPr>
                <w:kern w:val="2"/>
                <w:sz w:val="22"/>
                <w:szCs w:val="22"/>
              </w:rPr>
              <w:t>Ind</w:t>
            </w:r>
            <w:r w:rsidRPr="00281158">
              <w:rPr>
                <w:kern w:val="2"/>
                <w:sz w:val="22"/>
                <w:szCs w:val="22"/>
                <w:vertAlign w:val="subscript"/>
              </w:rPr>
              <w:t>pradžia</w:t>
            </w:r>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5687157B" w14:textId="77777777" w:rsidR="002849A3" w:rsidRPr="00281158" w:rsidRDefault="002849A3" w:rsidP="002849A3">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174FE94D" w14:textId="77777777" w:rsidR="002849A3" w:rsidRPr="00281158" w:rsidRDefault="002849A3" w:rsidP="002849A3">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6FB5EBBD" w14:textId="77777777" w:rsidR="002849A3" w:rsidRPr="00281158" w:rsidRDefault="002849A3" w:rsidP="002849A3">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3121976A" w:rsidR="002849A3" w:rsidRPr="00B96C6D" w:rsidRDefault="002849A3" w:rsidP="002849A3">
            <w:pPr>
              <w:jc w:val="both"/>
              <w:textAlignment w:val="baseline"/>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2849A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849A3" w:rsidRPr="00B96C6D" w:rsidRDefault="002849A3" w:rsidP="002849A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849A3" w:rsidRPr="00B96C6D" w:rsidRDefault="002849A3" w:rsidP="002849A3">
            <w:pPr>
              <w:rPr>
                <w:kern w:val="2"/>
                <w:sz w:val="22"/>
                <w:szCs w:val="22"/>
              </w:rPr>
            </w:pPr>
            <w:r w:rsidRPr="00B96C6D">
              <w:rPr>
                <w:kern w:val="2"/>
                <w:sz w:val="22"/>
                <w:szCs w:val="22"/>
              </w:rPr>
              <w:t>Netaikoma</w:t>
            </w:r>
          </w:p>
          <w:p w14:paraId="2C311572" w14:textId="77777777" w:rsidR="002849A3" w:rsidRPr="00B96C6D" w:rsidRDefault="002849A3" w:rsidP="002849A3">
            <w:pPr>
              <w:rPr>
                <w:kern w:val="2"/>
                <w:sz w:val="22"/>
                <w:szCs w:val="22"/>
              </w:rPr>
            </w:pPr>
          </w:p>
          <w:p w14:paraId="449C09AB" w14:textId="7116AD8D" w:rsidR="002849A3" w:rsidRPr="00B96C6D" w:rsidRDefault="002849A3" w:rsidP="002849A3">
            <w:pPr>
              <w:rPr>
                <w:kern w:val="2"/>
                <w:sz w:val="22"/>
                <w:szCs w:val="22"/>
              </w:rPr>
            </w:pPr>
          </w:p>
        </w:tc>
      </w:tr>
      <w:tr w:rsidR="002849A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849A3" w:rsidRPr="00B96C6D" w:rsidRDefault="002849A3" w:rsidP="002849A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 xml:space="preserve">kiekio </w:t>
            </w:r>
            <w:r w:rsidRPr="00B96C6D">
              <w:rPr>
                <w:b/>
                <w:bCs/>
                <w:kern w:val="2"/>
                <w:sz w:val="22"/>
                <w:szCs w:val="22"/>
                <w:u w:val="single"/>
              </w:rPr>
              <w:lastRenderedPageBreak/>
              <w:t>(apimties)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849A3" w:rsidRPr="00B96C6D" w:rsidRDefault="002849A3" w:rsidP="002849A3">
            <w:pPr>
              <w:rPr>
                <w:kern w:val="2"/>
                <w:sz w:val="22"/>
                <w:szCs w:val="22"/>
              </w:rPr>
            </w:pPr>
            <w:r w:rsidRPr="00B96C6D">
              <w:rPr>
                <w:kern w:val="2"/>
                <w:sz w:val="22"/>
                <w:szCs w:val="22"/>
              </w:rPr>
              <w:lastRenderedPageBreak/>
              <w:t>Netaikoma</w:t>
            </w:r>
          </w:p>
          <w:p w14:paraId="69E6AE97" w14:textId="77777777" w:rsidR="002849A3" w:rsidRPr="00B96C6D" w:rsidRDefault="002849A3" w:rsidP="002849A3">
            <w:pPr>
              <w:rPr>
                <w:kern w:val="2"/>
                <w:sz w:val="22"/>
                <w:szCs w:val="22"/>
              </w:rPr>
            </w:pPr>
          </w:p>
          <w:p w14:paraId="081DAEF5" w14:textId="48BA14F3" w:rsidR="002849A3" w:rsidRPr="00B96C6D" w:rsidRDefault="002849A3" w:rsidP="002849A3">
            <w:pPr>
              <w:rPr>
                <w:kern w:val="2"/>
                <w:sz w:val="22"/>
                <w:szCs w:val="22"/>
              </w:rPr>
            </w:pPr>
          </w:p>
        </w:tc>
      </w:tr>
      <w:tr w:rsidR="002849A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849A3" w:rsidRPr="00B96C6D" w:rsidRDefault="002849A3" w:rsidP="002849A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2849A3" w:rsidRDefault="002849A3" w:rsidP="002849A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2849A3" w:rsidRPr="00B96C6D" w:rsidRDefault="002849A3" w:rsidP="002849A3">
            <w:pPr>
              <w:rPr>
                <w:kern w:val="2"/>
                <w:sz w:val="22"/>
                <w:szCs w:val="22"/>
              </w:rPr>
            </w:pPr>
          </w:p>
          <w:p w14:paraId="69F61970" w14:textId="7093F7A7" w:rsidR="002849A3" w:rsidRPr="002849A3" w:rsidRDefault="002849A3" w:rsidP="002849A3">
            <w:pPr>
              <w:rPr>
                <w:kern w:val="2"/>
                <w:sz w:val="22"/>
                <w:szCs w:val="22"/>
                <w:shd w:val="clear" w:color="auto" w:fill="FFFFFF"/>
              </w:rPr>
            </w:pPr>
            <w:r w:rsidRPr="002849A3">
              <w:rPr>
                <w:kern w:val="2"/>
                <w:sz w:val="22"/>
                <w:szCs w:val="22"/>
                <w:shd w:val="clear" w:color="auto" w:fill="FFFFFF"/>
              </w:rPr>
              <w:t>Apmokėjimo sąlygos</w:t>
            </w:r>
            <w:r>
              <w:rPr>
                <w:kern w:val="2"/>
                <w:sz w:val="22"/>
                <w:szCs w:val="22"/>
                <w:shd w:val="clear" w:color="auto" w:fill="FFFFFF"/>
              </w:rPr>
              <w:t>:</w:t>
            </w:r>
            <w:r w:rsidRPr="002849A3">
              <w:rPr>
                <w:kern w:val="2"/>
                <w:sz w:val="22"/>
                <w:szCs w:val="22"/>
                <w:shd w:val="clear" w:color="auto" w:fill="FFFFFF"/>
              </w:rPr>
              <w:t xml:space="preserve"> įvykdžius užsakymą, mokama už konkretų kiekį/apimtį pagal nustatytus įkainius</w:t>
            </w:r>
            <w:r w:rsidRPr="002849A3">
              <w:rPr>
                <w:kern w:val="2"/>
                <w:sz w:val="22"/>
                <w:szCs w:val="22"/>
                <w:shd w:val="clear" w:color="auto" w:fill="FFFFFF"/>
              </w:rPr>
              <w:t>.</w:t>
            </w:r>
          </w:p>
          <w:p w14:paraId="04C22127" w14:textId="0F71CA43" w:rsidR="002849A3" w:rsidRPr="0013403F" w:rsidRDefault="002849A3" w:rsidP="002849A3">
            <w:pPr>
              <w:rPr>
                <w:kern w:val="2"/>
                <w:sz w:val="22"/>
                <w:szCs w:val="22"/>
              </w:rPr>
            </w:pPr>
          </w:p>
        </w:tc>
      </w:tr>
      <w:tr w:rsidR="002849A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849A3" w:rsidRPr="00B96C6D" w:rsidRDefault="002849A3" w:rsidP="002849A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849A3" w:rsidRPr="00B96C6D" w:rsidRDefault="002849A3" w:rsidP="002849A3">
            <w:pPr>
              <w:rPr>
                <w:kern w:val="2"/>
                <w:sz w:val="22"/>
                <w:szCs w:val="22"/>
              </w:rPr>
            </w:pPr>
            <w:r w:rsidRPr="00B96C6D">
              <w:rPr>
                <w:kern w:val="2"/>
                <w:sz w:val="22"/>
                <w:szCs w:val="22"/>
              </w:rPr>
              <w:t>Netaikoma</w:t>
            </w:r>
          </w:p>
        </w:tc>
      </w:tr>
      <w:tr w:rsidR="002849A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849A3" w:rsidRPr="00B96C6D" w:rsidRDefault="002849A3" w:rsidP="002849A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849A3" w:rsidRPr="00B96C6D" w:rsidRDefault="002849A3" w:rsidP="002849A3">
            <w:pPr>
              <w:rPr>
                <w:kern w:val="2"/>
                <w:sz w:val="22"/>
                <w:szCs w:val="22"/>
              </w:rPr>
            </w:pPr>
            <w:r w:rsidRPr="00B96C6D">
              <w:rPr>
                <w:kern w:val="2"/>
                <w:sz w:val="22"/>
                <w:szCs w:val="22"/>
              </w:rPr>
              <w:t>Netaikoma</w:t>
            </w:r>
          </w:p>
          <w:p w14:paraId="7D06D0D9" w14:textId="26D8264A" w:rsidR="002849A3" w:rsidRPr="00B96C6D" w:rsidRDefault="002849A3" w:rsidP="002849A3">
            <w:pPr>
              <w:rPr>
                <w:kern w:val="2"/>
                <w:sz w:val="22"/>
                <w:szCs w:val="22"/>
              </w:rPr>
            </w:pPr>
            <w:r w:rsidRPr="00B96C6D">
              <w:rPr>
                <w:color w:val="000000"/>
                <w:kern w:val="2"/>
                <w:sz w:val="22"/>
                <w:szCs w:val="22"/>
                <w:shd w:val="clear" w:color="auto" w:fill="FFFFFF"/>
              </w:rPr>
              <w:t xml:space="preserve"> </w:t>
            </w:r>
          </w:p>
        </w:tc>
      </w:tr>
      <w:tr w:rsidR="002849A3" w:rsidRPr="00B96C6D" w14:paraId="397E6A62" w14:textId="77777777" w:rsidTr="007F22F9">
        <w:trPr>
          <w:trHeight w:val="300"/>
        </w:trPr>
        <w:tc>
          <w:tcPr>
            <w:tcW w:w="9962" w:type="dxa"/>
            <w:gridSpan w:val="4"/>
          </w:tcPr>
          <w:p w14:paraId="1AB554AE" w14:textId="77777777" w:rsidR="002849A3" w:rsidRPr="00B96C6D" w:rsidRDefault="002849A3" w:rsidP="002849A3">
            <w:pPr>
              <w:jc w:val="center"/>
              <w:rPr>
                <w:b/>
                <w:bCs/>
                <w:kern w:val="2"/>
                <w:sz w:val="22"/>
                <w:szCs w:val="22"/>
              </w:rPr>
            </w:pPr>
            <w:r w:rsidRPr="00B96C6D">
              <w:rPr>
                <w:b/>
                <w:bCs/>
                <w:kern w:val="2"/>
                <w:sz w:val="22"/>
                <w:szCs w:val="22"/>
              </w:rPr>
              <w:t>6. PREKIŲ KOKYBĖ IR GARANTINIAI ĮSIPAREIGOJIMAI</w:t>
            </w:r>
          </w:p>
        </w:tc>
      </w:tr>
      <w:tr w:rsidR="002849A3"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849A3" w:rsidRPr="00B96C6D" w:rsidRDefault="002849A3" w:rsidP="002849A3">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21D11517" w:rsidR="002849A3" w:rsidRDefault="002849A3" w:rsidP="002849A3">
            <w:pPr>
              <w:jc w:val="both"/>
              <w:rPr>
                <w:kern w:val="2"/>
                <w:sz w:val="22"/>
                <w:szCs w:val="22"/>
              </w:rPr>
            </w:pPr>
            <w:r>
              <w:rPr>
                <w:kern w:val="2"/>
                <w:sz w:val="22"/>
                <w:szCs w:val="22"/>
              </w:rPr>
              <w:t xml:space="preserve">Garantiniai terminai nurodyti </w:t>
            </w:r>
            <w:r w:rsidRPr="009F734E">
              <w:rPr>
                <w:color w:val="000000"/>
                <w:kern w:val="2"/>
                <w:sz w:val="22"/>
                <w:szCs w:val="22"/>
              </w:rPr>
              <w:t>Sutarties priede Nr. 1 „Techninė specifikacija“</w:t>
            </w:r>
            <w:r>
              <w:rPr>
                <w:color w:val="000000"/>
                <w:kern w:val="2"/>
                <w:sz w:val="22"/>
                <w:szCs w:val="22"/>
              </w:rPr>
              <w:t>.</w:t>
            </w:r>
          </w:p>
          <w:p w14:paraId="2A653126" w14:textId="77777777" w:rsidR="002849A3" w:rsidRDefault="002849A3" w:rsidP="002849A3">
            <w:pPr>
              <w:jc w:val="both"/>
              <w:rPr>
                <w:kern w:val="2"/>
                <w:sz w:val="22"/>
                <w:szCs w:val="22"/>
              </w:rPr>
            </w:pPr>
          </w:p>
          <w:p w14:paraId="5290D4C5" w14:textId="002860FD" w:rsidR="002849A3" w:rsidRPr="00B96C6D" w:rsidRDefault="002849A3" w:rsidP="002849A3">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2849A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849A3" w:rsidRPr="00B96C6D" w:rsidRDefault="002849A3" w:rsidP="002849A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2849A3" w:rsidRPr="00B96C6D" w:rsidRDefault="002849A3" w:rsidP="002849A3">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2849A3"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2849A3" w:rsidRPr="00B96C6D" w:rsidRDefault="002849A3" w:rsidP="002849A3">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2849A3" w:rsidRPr="00B96C6D" w:rsidRDefault="002849A3" w:rsidP="002849A3">
            <w:pPr>
              <w:rPr>
                <w:kern w:val="2"/>
                <w:sz w:val="22"/>
                <w:szCs w:val="22"/>
              </w:rPr>
            </w:pPr>
            <w:r>
              <w:rPr>
                <w:kern w:val="2"/>
                <w:sz w:val="22"/>
                <w:szCs w:val="22"/>
              </w:rPr>
              <w:t>Netaikoma.</w:t>
            </w:r>
          </w:p>
          <w:p w14:paraId="4D580A95" w14:textId="6B17A51D" w:rsidR="002849A3" w:rsidRPr="00B96C6D" w:rsidRDefault="002849A3" w:rsidP="002849A3">
            <w:pPr>
              <w:rPr>
                <w:kern w:val="2"/>
                <w:sz w:val="22"/>
                <w:szCs w:val="22"/>
              </w:rPr>
            </w:pPr>
          </w:p>
        </w:tc>
      </w:tr>
      <w:tr w:rsidR="002849A3" w:rsidRPr="00B96C6D" w14:paraId="5D562E8D" w14:textId="77777777" w:rsidTr="007F22F9">
        <w:trPr>
          <w:trHeight w:val="300"/>
        </w:trPr>
        <w:tc>
          <w:tcPr>
            <w:tcW w:w="9962" w:type="dxa"/>
            <w:gridSpan w:val="4"/>
          </w:tcPr>
          <w:p w14:paraId="6103796D" w14:textId="77777777" w:rsidR="002849A3" w:rsidRPr="00B96C6D" w:rsidRDefault="002849A3" w:rsidP="002849A3">
            <w:pPr>
              <w:jc w:val="center"/>
              <w:rPr>
                <w:b/>
                <w:bCs/>
                <w:kern w:val="2"/>
                <w:sz w:val="22"/>
                <w:szCs w:val="22"/>
              </w:rPr>
            </w:pPr>
            <w:r w:rsidRPr="00B96C6D">
              <w:rPr>
                <w:b/>
                <w:bCs/>
                <w:kern w:val="2"/>
                <w:sz w:val="22"/>
                <w:szCs w:val="22"/>
              </w:rPr>
              <w:t>7. SUTARTIES VYKDYMUI PASITELKIAMI SUBTIEKĖJAI</w:t>
            </w:r>
          </w:p>
        </w:tc>
      </w:tr>
      <w:tr w:rsidR="002849A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849A3" w:rsidRPr="00B96C6D" w:rsidRDefault="002849A3" w:rsidP="002849A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2849A3" w:rsidRPr="0013403F" w:rsidRDefault="002849A3" w:rsidP="002849A3">
            <w:pPr>
              <w:rPr>
                <w:kern w:val="2"/>
                <w:sz w:val="22"/>
                <w:szCs w:val="22"/>
              </w:rPr>
            </w:pPr>
            <w:r w:rsidRPr="0013403F">
              <w:rPr>
                <w:kern w:val="2"/>
                <w:sz w:val="22"/>
                <w:szCs w:val="22"/>
              </w:rPr>
              <w:t>Sutarties vykdymui subtiekėjai ir (ar) specialistai nepasitelkiami.</w:t>
            </w:r>
          </w:p>
          <w:p w14:paraId="489137C4" w14:textId="416AF668" w:rsidR="002849A3" w:rsidRPr="0013403F" w:rsidRDefault="002849A3" w:rsidP="002849A3">
            <w:pPr>
              <w:rPr>
                <w:kern w:val="2"/>
                <w:sz w:val="22"/>
                <w:szCs w:val="22"/>
              </w:rPr>
            </w:pPr>
            <w:r w:rsidRPr="0013403F">
              <w:rPr>
                <w:kern w:val="2"/>
                <w:sz w:val="22"/>
                <w:szCs w:val="22"/>
                <w:shd w:val="clear" w:color="auto" w:fill="D0CECE" w:themeFill="background2" w:themeFillShade="E6"/>
              </w:rPr>
              <w:t>arba</w:t>
            </w:r>
          </w:p>
          <w:p w14:paraId="7AE1BD28" w14:textId="06152F1A" w:rsidR="002849A3" w:rsidRDefault="002849A3" w:rsidP="002849A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2849A3" w:rsidRPr="00374D1F" w:rsidRDefault="002849A3" w:rsidP="002849A3">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2849A3" w:rsidRPr="00B96C6D" w:rsidRDefault="002849A3" w:rsidP="002849A3">
            <w:pPr>
              <w:rPr>
                <w:b/>
                <w:bCs/>
                <w:kern w:val="2"/>
                <w:sz w:val="22"/>
                <w:szCs w:val="22"/>
              </w:rPr>
            </w:pPr>
          </w:p>
        </w:tc>
      </w:tr>
      <w:tr w:rsidR="002849A3" w:rsidRPr="00B96C6D" w14:paraId="0E57F611" w14:textId="77777777" w:rsidTr="007F22F9">
        <w:trPr>
          <w:trHeight w:val="300"/>
        </w:trPr>
        <w:tc>
          <w:tcPr>
            <w:tcW w:w="9962" w:type="dxa"/>
            <w:gridSpan w:val="4"/>
          </w:tcPr>
          <w:p w14:paraId="6A81BDB7" w14:textId="77777777" w:rsidR="002849A3" w:rsidRPr="00B96C6D" w:rsidRDefault="002849A3" w:rsidP="002849A3">
            <w:pPr>
              <w:jc w:val="center"/>
              <w:rPr>
                <w:b/>
                <w:bCs/>
                <w:kern w:val="2"/>
                <w:sz w:val="22"/>
                <w:szCs w:val="22"/>
              </w:rPr>
            </w:pPr>
            <w:r w:rsidRPr="00B96C6D">
              <w:rPr>
                <w:b/>
                <w:bCs/>
                <w:kern w:val="2"/>
                <w:sz w:val="22"/>
                <w:szCs w:val="22"/>
              </w:rPr>
              <w:t>8. PRIEVOLIŲ PAGAL SUTARTĮ ĮVYKDYMO UŽTIKRINIMAS</w:t>
            </w:r>
          </w:p>
        </w:tc>
      </w:tr>
      <w:tr w:rsidR="002849A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849A3" w:rsidRPr="00B96C6D" w:rsidRDefault="002849A3" w:rsidP="002849A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849A3" w:rsidRPr="00B96C6D" w:rsidRDefault="002849A3" w:rsidP="002849A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849A3" w:rsidRPr="00B96C6D" w:rsidRDefault="002849A3" w:rsidP="002849A3">
            <w:pPr>
              <w:rPr>
                <w:kern w:val="2"/>
                <w:sz w:val="22"/>
                <w:szCs w:val="22"/>
              </w:rPr>
            </w:pPr>
            <w:r w:rsidRPr="00B96C6D">
              <w:rPr>
                <w:kern w:val="2"/>
                <w:sz w:val="22"/>
                <w:szCs w:val="22"/>
              </w:rPr>
              <w:t>Netesybomis (delspinigiais, bauda)</w:t>
            </w:r>
            <w:r>
              <w:rPr>
                <w:kern w:val="2"/>
                <w:sz w:val="22"/>
                <w:szCs w:val="22"/>
              </w:rPr>
              <w:t>.</w:t>
            </w:r>
          </w:p>
          <w:p w14:paraId="544E68EF" w14:textId="226DC70A" w:rsidR="002849A3" w:rsidRPr="00B96C6D" w:rsidRDefault="002849A3" w:rsidP="002849A3">
            <w:pPr>
              <w:rPr>
                <w:kern w:val="2"/>
                <w:sz w:val="22"/>
                <w:szCs w:val="22"/>
              </w:rPr>
            </w:pPr>
          </w:p>
        </w:tc>
      </w:tr>
      <w:tr w:rsidR="002849A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849A3" w:rsidRPr="00B96C6D" w:rsidRDefault="002849A3" w:rsidP="002849A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849A3" w:rsidRPr="00B96C6D" w:rsidRDefault="002849A3" w:rsidP="002849A3">
            <w:pPr>
              <w:rPr>
                <w:kern w:val="2"/>
                <w:sz w:val="22"/>
                <w:szCs w:val="22"/>
              </w:rPr>
            </w:pPr>
            <w:r w:rsidRPr="00B96C6D">
              <w:rPr>
                <w:kern w:val="2"/>
                <w:sz w:val="22"/>
                <w:szCs w:val="22"/>
              </w:rPr>
              <w:t>Netaikoma</w:t>
            </w:r>
          </w:p>
          <w:p w14:paraId="2BC61455" w14:textId="77777777" w:rsidR="002849A3" w:rsidRPr="00B96C6D" w:rsidRDefault="002849A3" w:rsidP="002849A3">
            <w:pPr>
              <w:rPr>
                <w:kern w:val="2"/>
                <w:sz w:val="22"/>
                <w:szCs w:val="22"/>
              </w:rPr>
            </w:pPr>
          </w:p>
          <w:p w14:paraId="4720F941" w14:textId="6879A1C6" w:rsidR="002849A3" w:rsidRPr="00B96C6D" w:rsidRDefault="002849A3" w:rsidP="002849A3">
            <w:pPr>
              <w:rPr>
                <w:kern w:val="2"/>
                <w:sz w:val="22"/>
                <w:szCs w:val="22"/>
              </w:rPr>
            </w:pPr>
          </w:p>
        </w:tc>
      </w:tr>
      <w:tr w:rsidR="002849A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849A3" w:rsidRPr="00B96C6D" w:rsidRDefault="002849A3" w:rsidP="002849A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849A3" w:rsidRPr="00B96C6D" w:rsidRDefault="002849A3" w:rsidP="002849A3">
            <w:pPr>
              <w:rPr>
                <w:kern w:val="2"/>
                <w:sz w:val="22"/>
                <w:szCs w:val="22"/>
              </w:rPr>
            </w:pPr>
            <w:r w:rsidRPr="00B96C6D">
              <w:rPr>
                <w:kern w:val="2"/>
                <w:sz w:val="22"/>
                <w:szCs w:val="22"/>
              </w:rPr>
              <w:t>Netaikoma</w:t>
            </w:r>
          </w:p>
          <w:p w14:paraId="7001B284" w14:textId="0AE9698C" w:rsidR="002849A3" w:rsidRPr="00B96C6D" w:rsidRDefault="002849A3" w:rsidP="002849A3">
            <w:pPr>
              <w:rPr>
                <w:kern w:val="2"/>
                <w:sz w:val="22"/>
                <w:szCs w:val="22"/>
              </w:rPr>
            </w:pPr>
          </w:p>
        </w:tc>
      </w:tr>
      <w:tr w:rsidR="002849A3" w:rsidRPr="00B96C6D" w14:paraId="198AFEE0" w14:textId="77777777" w:rsidTr="007F22F9">
        <w:trPr>
          <w:trHeight w:val="300"/>
        </w:trPr>
        <w:tc>
          <w:tcPr>
            <w:tcW w:w="9962" w:type="dxa"/>
            <w:gridSpan w:val="4"/>
          </w:tcPr>
          <w:p w14:paraId="53C07666" w14:textId="77777777" w:rsidR="002849A3" w:rsidRPr="00B96C6D" w:rsidRDefault="002849A3" w:rsidP="002849A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849A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849A3" w:rsidRPr="00B96C6D" w:rsidRDefault="002849A3" w:rsidP="002849A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4DFE5F6A" w:rsidR="002849A3" w:rsidRPr="00B96C6D" w:rsidRDefault="002849A3" w:rsidP="002849A3">
            <w:pPr>
              <w:jc w:val="both"/>
              <w:rPr>
                <w:kern w:val="2"/>
                <w:sz w:val="22"/>
                <w:szCs w:val="22"/>
              </w:rPr>
            </w:pPr>
            <w:r w:rsidRPr="00B96C6D">
              <w:rPr>
                <w:kern w:val="2"/>
                <w:sz w:val="22"/>
                <w:szCs w:val="22"/>
              </w:rPr>
              <w:t>Jei Pirkėjas, gavęs tinkamai pateiktą ir užpildytą Sąskaitą, uždelsia atsiskaityti už tinkamai Tiekėjo perduotas kokybiškas Prekes</w:t>
            </w:r>
            <w:r>
              <w:rPr>
                <w:kern w:val="2"/>
                <w:sz w:val="22"/>
                <w:szCs w:val="22"/>
              </w:rPr>
              <w:t xml:space="preserve"> ir su prekių pristatymu atliktus susijusius darbus</w:t>
            </w:r>
            <w:r w:rsidRPr="00B96C6D">
              <w:rPr>
                <w:kern w:val="2"/>
                <w:sz w:val="22"/>
                <w:szCs w:val="22"/>
              </w:rPr>
              <w:t xml:space="preserve">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2849A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849A3" w:rsidRPr="00B96C6D" w:rsidRDefault="002849A3" w:rsidP="002849A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0BA512" w:rsidR="002849A3" w:rsidRPr="00B96C6D" w:rsidRDefault="002849A3" w:rsidP="002849A3">
            <w:pPr>
              <w:jc w:val="both"/>
              <w:rPr>
                <w:kern w:val="2"/>
                <w:sz w:val="22"/>
                <w:szCs w:val="22"/>
              </w:rPr>
            </w:pPr>
            <w:r w:rsidRPr="00B96C6D">
              <w:rPr>
                <w:kern w:val="2"/>
                <w:sz w:val="22"/>
                <w:szCs w:val="22"/>
              </w:rPr>
              <w:t>9.2.1. Jeigu Tiekėjas vėluoja tiekti Prekes</w:t>
            </w:r>
            <w:r>
              <w:rPr>
                <w:kern w:val="2"/>
                <w:sz w:val="22"/>
                <w:szCs w:val="22"/>
              </w:rPr>
              <w:t xml:space="preserve">, atlikti </w:t>
            </w:r>
            <w:r>
              <w:rPr>
                <w:kern w:val="2"/>
                <w:sz w:val="22"/>
                <w:szCs w:val="22"/>
              </w:rPr>
              <w:t>su prekių pristatymu susijusius darbus</w:t>
            </w:r>
            <w:r w:rsidRPr="00B96C6D">
              <w:rPr>
                <w:kern w:val="2"/>
                <w:sz w:val="22"/>
                <w:szCs w:val="22"/>
              </w:rPr>
              <w:t xml:space="preserve"> ar ištaisyti </w:t>
            </w:r>
            <w:r>
              <w:rPr>
                <w:kern w:val="2"/>
                <w:sz w:val="22"/>
                <w:szCs w:val="22"/>
              </w:rPr>
              <w:t xml:space="preserve">prekių ar susijusių darbų </w:t>
            </w:r>
            <w:r w:rsidRPr="00B96C6D">
              <w:rPr>
                <w:kern w:val="2"/>
                <w:sz w:val="22"/>
                <w:szCs w:val="22"/>
              </w:rPr>
              <w:t>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w:t>
            </w:r>
            <w:r w:rsidRPr="00B96C6D">
              <w:rPr>
                <w:kern w:val="2"/>
                <w:sz w:val="22"/>
                <w:szCs w:val="22"/>
              </w:rPr>
              <w:lastRenderedPageBreak/>
              <w:t>laiku neperduotų Prekių ar Prekių, turinčių trūkumų</w:t>
            </w:r>
            <w:r>
              <w:rPr>
                <w:kern w:val="2"/>
                <w:sz w:val="22"/>
                <w:szCs w:val="22"/>
              </w:rPr>
              <w:t>, ar neatliktų darbų</w:t>
            </w:r>
            <w:r w:rsidRPr="00B96C6D">
              <w:rPr>
                <w:kern w:val="2"/>
                <w:sz w:val="22"/>
                <w:szCs w:val="22"/>
              </w:rPr>
              <w:t>, kainos be PVM. </w:t>
            </w:r>
          </w:p>
          <w:p w14:paraId="674C958A" w14:textId="31EFB5AB" w:rsidR="002849A3" w:rsidRPr="00B96C6D" w:rsidRDefault="002849A3" w:rsidP="002849A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849A3" w:rsidRPr="00B96C6D" w:rsidRDefault="002849A3" w:rsidP="002849A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849A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849A3" w:rsidRPr="00B96C6D" w:rsidRDefault="002849A3" w:rsidP="002849A3">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72EAC058" w:rsidR="002849A3" w:rsidRPr="00B96C6D" w:rsidRDefault="002849A3" w:rsidP="002849A3">
            <w:pPr>
              <w:jc w:val="both"/>
              <w:rPr>
                <w:kern w:val="2"/>
                <w:sz w:val="22"/>
                <w:szCs w:val="22"/>
              </w:rPr>
            </w:pPr>
            <w:r w:rsidRPr="00B96C6D">
              <w:rPr>
                <w:kern w:val="2"/>
                <w:sz w:val="22"/>
                <w:szCs w:val="22"/>
              </w:rPr>
              <w:t xml:space="preserve">9.3.1. Nutraukus Sutartį dėl esminio Sutarties pažeidimo, nustatyto Sutarties Specialiosiose sąlygose, mokama </w:t>
            </w:r>
            <w:r w:rsidR="00363E57">
              <w:rPr>
                <w:kern w:val="2"/>
                <w:sz w:val="22"/>
                <w:szCs w:val="22"/>
              </w:rPr>
              <w:t>5</w:t>
            </w:r>
            <w:r w:rsidRPr="00B96C6D">
              <w:rPr>
                <w:kern w:val="2"/>
                <w:sz w:val="22"/>
                <w:szCs w:val="22"/>
              </w:rPr>
              <w:t xml:space="preserve"> procentų dydžio bauda nuo Pradinės Sutarties vertės be PVM, nurodytos Specialiųjų sąlygų 5.2 punkte. </w:t>
            </w:r>
          </w:p>
          <w:p w14:paraId="7C28C5E8" w14:textId="32CC9D93" w:rsidR="002849A3" w:rsidRPr="00B96C6D" w:rsidRDefault="002849A3" w:rsidP="002849A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363E57">
              <w:rPr>
                <w:sz w:val="22"/>
                <w:szCs w:val="22"/>
              </w:rPr>
              <w:t>5</w:t>
            </w:r>
            <w:r w:rsidRPr="00B96C6D">
              <w:rPr>
                <w:kern w:val="2"/>
                <w:sz w:val="22"/>
                <w:szCs w:val="22"/>
              </w:rPr>
              <w:t xml:space="preserve"> procentų dydžio bauda nuo Pradinės Sutarties vertės, nurodytos Specialiųjų sąlygų 5.2 punkte.</w:t>
            </w:r>
          </w:p>
          <w:p w14:paraId="48292084" w14:textId="328A24B6" w:rsidR="002849A3" w:rsidRPr="00B96C6D" w:rsidRDefault="002849A3" w:rsidP="002849A3">
            <w:pPr>
              <w:rPr>
                <w:kern w:val="2"/>
                <w:sz w:val="22"/>
                <w:szCs w:val="22"/>
              </w:rPr>
            </w:pPr>
          </w:p>
        </w:tc>
      </w:tr>
      <w:tr w:rsidR="002849A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849A3" w:rsidRPr="00B96C6D" w:rsidRDefault="002849A3" w:rsidP="002849A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849A3" w:rsidRPr="00B96C6D" w:rsidRDefault="002849A3" w:rsidP="002849A3">
            <w:pPr>
              <w:rPr>
                <w:color w:val="000000"/>
                <w:kern w:val="2"/>
                <w:sz w:val="22"/>
                <w:szCs w:val="22"/>
              </w:rPr>
            </w:pPr>
            <w:r w:rsidRPr="00B96C6D">
              <w:rPr>
                <w:color w:val="000000"/>
                <w:kern w:val="2"/>
                <w:sz w:val="22"/>
                <w:szCs w:val="22"/>
              </w:rPr>
              <w:t>Netaikoma</w:t>
            </w:r>
          </w:p>
          <w:p w14:paraId="66318807" w14:textId="77777777" w:rsidR="002849A3" w:rsidRPr="00B96C6D" w:rsidRDefault="002849A3" w:rsidP="002849A3">
            <w:pPr>
              <w:rPr>
                <w:kern w:val="2"/>
                <w:sz w:val="22"/>
                <w:szCs w:val="22"/>
              </w:rPr>
            </w:pPr>
          </w:p>
          <w:p w14:paraId="01953191" w14:textId="77777777" w:rsidR="002849A3" w:rsidRPr="00B96C6D" w:rsidRDefault="002849A3" w:rsidP="002849A3">
            <w:pPr>
              <w:rPr>
                <w:kern w:val="2"/>
                <w:sz w:val="22"/>
                <w:szCs w:val="22"/>
              </w:rPr>
            </w:pPr>
          </w:p>
        </w:tc>
      </w:tr>
      <w:tr w:rsidR="002849A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849A3" w:rsidRPr="00B96C6D" w:rsidRDefault="002849A3" w:rsidP="002849A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2849A3" w:rsidRPr="00B96C6D" w:rsidRDefault="002849A3" w:rsidP="002849A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849A3" w:rsidRPr="00B96C6D" w:rsidRDefault="002849A3" w:rsidP="002849A3">
            <w:pPr>
              <w:rPr>
                <w:kern w:val="2"/>
                <w:sz w:val="22"/>
                <w:szCs w:val="22"/>
              </w:rPr>
            </w:pPr>
          </w:p>
        </w:tc>
      </w:tr>
      <w:tr w:rsidR="002849A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849A3" w:rsidRPr="00B96C6D" w:rsidRDefault="002849A3" w:rsidP="002849A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849A3" w:rsidRPr="00B96C6D" w:rsidRDefault="002849A3" w:rsidP="002849A3">
            <w:pPr>
              <w:rPr>
                <w:kern w:val="2"/>
                <w:sz w:val="22"/>
                <w:szCs w:val="22"/>
              </w:rPr>
            </w:pPr>
            <w:r w:rsidRPr="00B96C6D">
              <w:rPr>
                <w:kern w:val="2"/>
                <w:sz w:val="22"/>
                <w:szCs w:val="22"/>
              </w:rPr>
              <w:t>Netaikoma</w:t>
            </w:r>
          </w:p>
          <w:p w14:paraId="271A84AA" w14:textId="73C2572C" w:rsidR="002849A3" w:rsidRPr="00B96C6D" w:rsidRDefault="002849A3" w:rsidP="002849A3">
            <w:pPr>
              <w:rPr>
                <w:kern w:val="2"/>
                <w:sz w:val="22"/>
                <w:szCs w:val="22"/>
              </w:rPr>
            </w:pPr>
          </w:p>
        </w:tc>
      </w:tr>
      <w:tr w:rsidR="002849A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849A3" w:rsidRPr="00B96C6D" w:rsidRDefault="002849A3" w:rsidP="002849A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2849A3" w:rsidRPr="00B96C6D" w:rsidRDefault="002849A3" w:rsidP="002849A3">
            <w:pPr>
              <w:rPr>
                <w:kern w:val="2"/>
                <w:sz w:val="22"/>
                <w:szCs w:val="22"/>
              </w:rPr>
            </w:pPr>
            <w:r>
              <w:rPr>
                <w:kern w:val="2"/>
                <w:sz w:val="22"/>
                <w:szCs w:val="22"/>
              </w:rPr>
              <w:t>Netaikoma</w:t>
            </w:r>
          </w:p>
          <w:p w14:paraId="5C591A2E" w14:textId="01973B95" w:rsidR="002849A3" w:rsidRPr="00B96C6D" w:rsidRDefault="002849A3" w:rsidP="002849A3">
            <w:pPr>
              <w:rPr>
                <w:kern w:val="2"/>
                <w:sz w:val="22"/>
                <w:szCs w:val="22"/>
              </w:rPr>
            </w:pPr>
          </w:p>
        </w:tc>
      </w:tr>
      <w:tr w:rsidR="002849A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849A3" w:rsidRPr="00B96C6D" w:rsidRDefault="002849A3" w:rsidP="002849A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849A3" w:rsidRPr="00B96C6D" w:rsidRDefault="002849A3" w:rsidP="002849A3">
            <w:pPr>
              <w:rPr>
                <w:kern w:val="2"/>
                <w:sz w:val="22"/>
                <w:szCs w:val="22"/>
              </w:rPr>
            </w:pPr>
            <w:r w:rsidRPr="00B96C6D">
              <w:rPr>
                <w:kern w:val="2"/>
                <w:sz w:val="22"/>
                <w:szCs w:val="22"/>
              </w:rPr>
              <w:t>Netaikoma</w:t>
            </w:r>
          </w:p>
          <w:p w14:paraId="2BFFE0F5" w14:textId="77777777" w:rsidR="002849A3" w:rsidRPr="00B96C6D" w:rsidRDefault="002849A3" w:rsidP="002849A3">
            <w:pPr>
              <w:rPr>
                <w:kern w:val="2"/>
                <w:sz w:val="22"/>
                <w:szCs w:val="22"/>
              </w:rPr>
            </w:pPr>
          </w:p>
          <w:p w14:paraId="29DCAC8C" w14:textId="4E5847A4" w:rsidR="002849A3" w:rsidRPr="00B96C6D" w:rsidRDefault="002849A3" w:rsidP="002849A3">
            <w:pPr>
              <w:rPr>
                <w:kern w:val="2"/>
                <w:sz w:val="22"/>
                <w:szCs w:val="22"/>
              </w:rPr>
            </w:pPr>
          </w:p>
        </w:tc>
      </w:tr>
      <w:tr w:rsidR="002849A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849A3" w:rsidRPr="00B96C6D" w:rsidRDefault="002849A3" w:rsidP="002849A3">
            <w:pPr>
              <w:rPr>
                <w:b/>
                <w:bCs/>
                <w:kern w:val="2"/>
                <w:sz w:val="22"/>
                <w:szCs w:val="22"/>
              </w:rPr>
            </w:pPr>
            <w:r w:rsidRPr="00B96C6D">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849A3" w:rsidRPr="00B96C6D" w:rsidRDefault="002849A3" w:rsidP="002849A3">
            <w:pPr>
              <w:spacing w:line="259" w:lineRule="auto"/>
              <w:rPr>
                <w:kern w:val="2"/>
                <w:sz w:val="22"/>
                <w:szCs w:val="22"/>
              </w:rPr>
            </w:pPr>
            <w:r w:rsidRPr="00B96C6D">
              <w:rPr>
                <w:kern w:val="2"/>
                <w:sz w:val="22"/>
                <w:szCs w:val="22"/>
              </w:rPr>
              <w:t>Netaikoma</w:t>
            </w:r>
          </w:p>
          <w:p w14:paraId="588F4699" w14:textId="77777777" w:rsidR="002849A3" w:rsidRPr="00B96C6D" w:rsidRDefault="002849A3" w:rsidP="002849A3">
            <w:pPr>
              <w:spacing w:line="259" w:lineRule="auto"/>
              <w:rPr>
                <w:kern w:val="2"/>
                <w:sz w:val="22"/>
                <w:szCs w:val="22"/>
              </w:rPr>
            </w:pPr>
          </w:p>
          <w:p w14:paraId="7272DE9D" w14:textId="77777777" w:rsidR="002849A3" w:rsidRPr="00B96C6D" w:rsidRDefault="002849A3" w:rsidP="002849A3">
            <w:pPr>
              <w:rPr>
                <w:sz w:val="22"/>
                <w:szCs w:val="22"/>
              </w:rPr>
            </w:pPr>
          </w:p>
          <w:p w14:paraId="3BD32F43" w14:textId="77777777" w:rsidR="002849A3" w:rsidRPr="00B96C6D" w:rsidRDefault="002849A3" w:rsidP="002849A3">
            <w:pPr>
              <w:spacing w:line="259" w:lineRule="auto"/>
              <w:rPr>
                <w:kern w:val="2"/>
                <w:sz w:val="22"/>
                <w:szCs w:val="22"/>
              </w:rPr>
            </w:pPr>
          </w:p>
          <w:p w14:paraId="2FC8EB7E" w14:textId="77777777" w:rsidR="002849A3" w:rsidRPr="00B96C6D" w:rsidRDefault="002849A3" w:rsidP="002849A3">
            <w:pPr>
              <w:rPr>
                <w:sz w:val="22"/>
                <w:szCs w:val="22"/>
              </w:rPr>
            </w:pPr>
          </w:p>
          <w:p w14:paraId="49FF058F" w14:textId="77777777" w:rsidR="002849A3" w:rsidRPr="00B96C6D" w:rsidRDefault="002849A3" w:rsidP="002849A3">
            <w:pPr>
              <w:rPr>
                <w:kern w:val="2"/>
                <w:sz w:val="22"/>
                <w:szCs w:val="22"/>
              </w:rPr>
            </w:pPr>
          </w:p>
        </w:tc>
      </w:tr>
      <w:tr w:rsidR="002849A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849A3" w:rsidRPr="00B96C6D" w:rsidRDefault="002849A3" w:rsidP="002849A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849A3" w:rsidRPr="00B96C6D" w:rsidRDefault="002849A3" w:rsidP="002849A3">
            <w:pPr>
              <w:rPr>
                <w:color w:val="4472C4"/>
                <w:kern w:val="2"/>
                <w:sz w:val="22"/>
                <w:szCs w:val="22"/>
              </w:rPr>
            </w:pPr>
            <w:r w:rsidRPr="00B96C6D">
              <w:rPr>
                <w:kern w:val="2"/>
                <w:sz w:val="22"/>
                <w:szCs w:val="22"/>
              </w:rPr>
              <w:t>Netaikoma.</w:t>
            </w:r>
          </w:p>
        </w:tc>
      </w:tr>
      <w:tr w:rsidR="002849A3" w:rsidRPr="00B96C6D" w14:paraId="0126462E" w14:textId="77777777" w:rsidTr="007F22F9">
        <w:trPr>
          <w:trHeight w:val="300"/>
        </w:trPr>
        <w:tc>
          <w:tcPr>
            <w:tcW w:w="9962" w:type="dxa"/>
            <w:gridSpan w:val="4"/>
          </w:tcPr>
          <w:p w14:paraId="318973A5" w14:textId="77777777" w:rsidR="002849A3" w:rsidRPr="00B96C6D" w:rsidRDefault="002849A3" w:rsidP="002849A3">
            <w:pPr>
              <w:jc w:val="center"/>
              <w:rPr>
                <w:b/>
                <w:bCs/>
                <w:kern w:val="2"/>
                <w:sz w:val="22"/>
                <w:szCs w:val="22"/>
              </w:rPr>
            </w:pPr>
            <w:r w:rsidRPr="00B96C6D">
              <w:rPr>
                <w:b/>
                <w:kern w:val="2"/>
                <w:sz w:val="22"/>
                <w:szCs w:val="22"/>
              </w:rPr>
              <w:t>10. ESMINĖS SUTARTIES SĄLYGOS</w:t>
            </w:r>
          </w:p>
        </w:tc>
      </w:tr>
      <w:tr w:rsidR="002849A3" w:rsidRPr="00B96C6D" w14:paraId="4D59E15A" w14:textId="77777777" w:rsidTr="008E6D63">
        <w:trPr>
          <w:trHeight w:val="300"/>
        </w:trPr>
        <w:tc>
          <w:tcPr>
            <w:tcW w:w="2247" w:type="dxa"/>
          </w:tcPr>
          <w:p w14:paraId="345EFFE5" w14:textId="77777777" w:rsidR="002849A3" w:rsidRPr="00B96C6D" w:rsidRDefault="002849A3" w:rsidP="002849A3">
            <w:pPr>
              <w:rPr>
                <w:b/>
                <w:bCs/>
                <w:kern w:val="2"/>
                <w:sz w:val="22"/>
                <w:szCs w:val="22"/>
              </w:rPr>
            </w:pPr>
            <w:r w:rsidRPr="00B96C6D">
              <w:rPr>
                <w:b/>
                <w:bCs/>
                <w:sz w:val="22"/>
                <w:szCs w:val="22"/>
              </w:rPr>
              <w:t>10.1. Esminės Sutarties sąlygos</w:t>
            </w:r>
          </w:p>
        </w:tc>
        <w:tc>
          <w:tcPr>
            <w:tcW w:w="7715" w:type="dxa"/>
            <w:gridSpan w:val="3"/>
          </w:tcPr>
          <w:p w14:paraId="76227FAA" w14:textId="29F6BA6C" w:rsidR="002849A3" w:rsidRPr="000D76B6" w:rsidRDefault="002849A3" w:rsidP="002849A3">
            <w:pPr>
              <w:jc w:val="both"/>
              <w:rPr>
                <w:kern w:val="2"/>
                <w:sz w:val="22"/>
                <w:szCs w:val="22"/>
              </w:rPr>
            </w:pPr>
            <w:r w:rsidRPr="000D76B6">
              <w:rPr>
                <w:kern w:val="2"/>
                <w:sz w:val="22"/>
                <w:szCs w:val="22"/>
              </w:rPr>
              <w:t>10.1.1. Tiekėjo pareiga pristatyti Prekes</w:t>
            </w:r>
            <w:r w:rsidR="003E00A0">
              <w:rPr>
                <w:kern w:val="2"/>
                <w:sz w:val="22"/>
                <w:szCs w:val="22"/>
              </w:rPr>
              <w:t xml:space="preserve"> </w:t>
            </w:r>
            <w:r w:rsidRPr="000D76B6">
              <w:rPr>
                <w:kern w:val="2"/>
                <w:sz w:val="22"/>
                <w:szCs w:val="22"/>
              </w:rPr>
              <w:t>visiškai atitinkančias Sutarties prieduose nustatytus techninius reikalavimus ir kokybės kriterijus</w:t>
            </w:r>
            <w:r w:rsidR="003E00A0">
              <w:rPr>
                <w:kern w:val="2"/>
                <w:sz w:val="22"/>
                <w:szCs w:val="22"/>
              </w:rPr>
              <w:t xml:space="preserve"> </w:t>
            </w:r>
            <w:r w:rsidR="003E00A0">
              <w:rPr>
                <w:kern w:val="2"/>
                <w:sz w:val="22"/>
                <w:szCs w:val="22"/>
              </w:rPr>
              <w:t>ir atlikti su prekių pristatymu susijusius darbus</w:t>
            </w:r>
            <w:r w:rsidRPr="000D76B6">
              <w:rPr>
                <w:kern w:val="2"/>
                <w:sz w:val="22"/>
                <w:szCs w:val="22"/>
              </w:rPr>
              <w:t>;</w:t>
            </w:r>
          </w:p>
          <w:p w14:paraId="248899F7" w14:textId="306C4839" w:rsidR="002849A3" w:rsidRPr="000D76B6" w:rsidRDefault="002849A3" w:rsidP="002849A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228C0A21" w:rsidR="002849A3" w:rsidRPr="000D76B6" w:rsidRDefault="002849A3" w:rsidP="002849A3">
            <w:pPr>
              <w:jc w:val="both"/>
              <w:rPr>
                <w:kern w:val="2"/>
                <w:sz w:val="22"/>
                <w:szCs w:val="22"/>
              </w:rPr>
            </w:pPr>
            <w:r w:rsidRPr="000D76B6">
              <w:rPr>
                <w:kern w:val="2"/>
                <w:sz w:val="22"/>
                <w:szCs w:val="22"/>
              </w:rPr>
              <w:t>10.1.3. Tiekėjo pareiga pateikti visus reikalaujamus dokumentus kartu su Prekėmis;</w:t>
            </w:r>
          </w:p>
          <w:p w14:paraId="0F85BC45" w14:textId="279B9337" w:rsidR="002849A3" w:rsidRPr="000D76B6" w:rsidRDefault="002849A3" w:rsidP="002849A3">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2849A3" w:rsidRPr="000D76B6" w:rsidRDefault="002849A3" w:rsidP="002849A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2849A3" w:rsidRPr="000D76B6" w:rsidRDefault="002849A3" w:rsidP="002849A3">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2849A3" w:rsidRPr="000D76B6" w:rsidRDefault="002849A3" w:rsidP="002849A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2849A3" w:rsidRPr="00B96C6D" w:rsidRDefault="002849A3" w:rsidP="002849A3">
            <w:pPr>
              <w:jc w:val="both"/>
              <w:rPr>
                <w:kern w:val="2"/>
                <w:sz w:val="22"/>
                <w:szCs w:val="22"/>
              </w:rPr>
            </w:pPr>
            <w:r w:rsidRPr="000D76B6">
              <w:rPr>
                <w:kern w:val="2"/>
                <w:sz w:val="22"/>
                <w:szCs w:val="22"/>
              </w:rPr>
              <w:t>10.1.8. Tiekėjo pareiga laikytis visų su Sutarties vykdymu susijusių aplinkosauginių reikalavimų.</w:t>
            </w:r>
          </w:p>
        </w:tc>
      </w:tr>
      <w:tr w:rsidR="002849A3" w:rsidRPr="00B96C6D" w14:paraId="0F5458CF" w14:textId="77777777" w:rsidTr="008E6D63">
        <w:trPr>
          <w:trHeight w:val="300"/>
        </w:trPr>
        <w:tc>
          <w:tcPr>
            <w:tcW w:w="2247" w:type="dxa"/>
          </w:tcPr>
          <w:p w14:paraId="0C270B5F" w14:textId="77777777" w:rsidR="002849A3" w:rsidRPr="00B96C6D" w:rsidRDefault="002849A3" w:rsidP="002849A3">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4D8665B7" w:rsidR="002849A3" w:rsidRPr="000D76B6" w:rsidRDefault="002849A3" w:rsidP="002849A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003E00A0">
              <w:rPr>
                <w:kern w:val="2"/>
                <w:sz w:val="22"/>
                <w:szCs w:val="22"/>
              </w:rPr>
              <w:t xml:space="preserve"> </w:t>
            </w:r>
            <w:r w:rsidR="003E00A0">
              <w:rPr>
                <w:kern w:val="2"/>
                <w:sz w:val="22"/>
                <w:szCs w:val="22"/>
              </w:rPr>
              <w:t>ir atlikti su prekių pristatymu susijusius darbus</w:t>
            </w:r>
            <w:r w:rsidRPr="00BB30E6">
              <w:rPr>
                <w:kern w:val="2"/>
                <w:sz w:val="22"/>
                <w:szCs w:val="22"/>
              </w:rPr>
              <w:t>, trunkantis daugiau ne</w:t>
            </w:r>
            <w:r>
              <w:rPr>
                <w:kern w:val="2"/>
                <w:sz w:val="22"/>
                <w:szCs w:val="22"/>
              </w:rPr>
              <w:t>i 10</w:t>
            </w:r>
            <w:r w:rsidRPr="00BB30E6">
              <w:rPr>
                <w:kern w:val="2"/>
                <w:sz w:val="22"/>
                <w:szCs w:val="22"/>
              </w:rPr>
              <w:t xml:space="preserve"> darbo dien</w:t>
            </w:r>
            <w:r>
              <w:rPr>
                <w:kern w:val="2"/>
                <w:sz w:val="22"/>
                <w:szCs w:val="22"/>
              </w:rPr>
              <w:t>ų</w:t>
            </w:r>
            <w:r w:rsidRPr="000D76B6">
              <w:rPr>
                <w:kern w:val="2"/>
                <w:sz w:val="22"/>
                <w:szCs w:val="22"/>
              </w:rPr>
              <w:t>;</w:t>
            </w:r>
          </w:p>
          <w:p w14:paraId="1ABA932E" w14:textId="3289479A" w:rsidR="002849A3" w:rsidRPr="000D76B6" w:rsidRDefault="002849A3" w:rsidP="002849A3">
            <w:pPr>
              <w:jc w:val="both"/>
              <w:rPr>
                <w:kern w:val="2"/>
                <w:sz w:val="22"/>
                <w:szCs w:val="22"/>
              </w:rPr>
            </w:pPr>
            <w:r w:rsidRPr="000D76B6">
              <w:rPr>
                <w:kern w:val="2"/>
                <w:sz w:val="22"/>
                <w:szCs w:val="22"/>
              </w:rPr>
              <w:t>10.2.</w:t>
            </w:r>
            <w:r>
              <w:rPr>
                <w:kern w:val="2"/>
                <w:sz w:val="22"/>
                <w:szCs w:val="22"/>
              </w:rPr>
              <w:t>2</w:t>
            </w:r>
            <w:r w:rsidRPr="000D76B6">
              <w:rPr>
                <w:kern w:val="2"/>
                <w:sz w:val="22"/>
                <w:szCs w:val="22"/>
              </w:rPr>
              <w:t>. Nepagrįstas atsisakymas arba vilkinimas šalinant Prekių trūkumus;</w:t>
            </w:r>
          </w:p>
          <w:p w14:paraId="02AD1A9D" w14:textId="33E8FF24" w:rsidR="002849A3" w:rsidRPr="000D76B6" w:rsidRDefault="002849A3" w:rsidP="002849A3">
            <w:pPr>
              <w:jc w:val="both"/>
              <w:rPr>
                <w:kern w:val="2"/>
                <w:sz w:val="22"/>
                <w:szCs w:val="22"/>
              </w:rPr>
            </w:pPr>
            <w:r w:rsidRPr="000D76B6">
              <w:rPr>
                <w:kern w:val="2"/>
                <w:sz w:val="22"/>
                <w:szCs w:val="22"/>
              </w:rPr>
              <w:t>10.2.</w:t>
            </w:r>
            <w:r>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2849A3" w:rsidRPr="000D76B6" w:rsidRDefault="002849A3" w:rsidP="002849A3">
            <w:pPr>
              <w:jc w:val="both"/>
              <w:rPr>
                <w:kern w:val="2"/>
                <w:sz w:val="22"/>
                <w:szCs w:val="22"/>
              </w:rPr>
            </w:pPr>
            <w:r w:rsidRPr="000D76B6">
              <w:rPr>
                <w:kern w:val="2"/>
                <w:sz w:val="22"/>
                <w:szCs w:val="22"/>
              </w:rPr>
              <w:t>10.2.</w:t>
            </w:r>
            <w:r>
              <w:rPr>
                <w:kern w:val="2"/>
                <w:sz w:val="22"/>
                <w:szCs w:val="22"/>
              </w:rPr>
              <w:t>4</w:t>
            </w:r>
            <w:r w:rsidRPr="000D76B6">
              <w:rPr>
                <w:kern w:val="2"/>
                <w:sz w:val="22"/>
                <w:szCs w:val="22"/>
              </w:rPr>
              <w:t>. Bet koks Tiekėjo veiksmas ar neveikimas, nurodytas kaip esminis Sutarties pažeidimas pagal 12.2 punktą</w:t>
            </w:r>
            <w:r>
              <w:rPr>
                <w:kern w:val="2"/>
                <w:sz w:val="22"/>
                <w:szCs w:val="22"/>
              </w:rPr>
              <w:t>.</w:t>
            </w:r>
          </w:p>
          <w:p w14:paraId="27FF7C68" w14:textId="2792E657" w:rsidR="002849A3" w:rsidRPr="00B96C6D" w:rsidRDefault="002849A3" w:rsidP="002849A3">
            <w:pPr>
              <w:jc w:val="both"/>
              <w:rPr>
                <w:kern w:val="2"/>
                <w:sz w:val="22"/>
                <w:szCs w:val="22"/>
              </w:rPr>
            </w:pPr>
          </w:p>
        </w:tc>
      </w:tr>
      <w:tr w:rsidR="002849A3" w:rsidRPr="00B96C6D" w14:paraId="70836C3F" w14:textId="77777777" w:rsidTr="007F22F9">
        <w:trPr>
          <w:trHeight w:val="300"/>
        </w:trPr>
        <w:tc>
          <w:tcPr>
            <w:tcW w:w="9962" w:type="dxa"/>
            <w:gridSpan w:val="4"/>
          </w:tcPr>
          <w:p w14:paraId="31DFC488" w14:textId="77777777" w:rsidR="002849A3" w:rsidRPr="00B96C6D" w:rsidRDefault="002849A3" w:rsidP="002849A3">
            <w:pPr>
              <w:jc w:val="center"/>
              <w:rPr>
                <w:b/>
                <w:bCs/>
                <w:kern w:val="2"/>
                <w:sz w:val="22"/>
                <w:szCs w:val="22"/>
              </w:rPr>
            </w:pPr>
            <w:r w:rsidRPr="00B96C6D">
              <w:rPr>
                <w:b/>
                <w:bCs/>
                <w:kern w:val="2"/>
                <w:sz w:val="22"/>
                <w:szCs w:val="22"/>
              </w:rPr>
              <w:t>11. SUTARTIES GALIOJIMAS IR KEITIMAS</w:t>
            </w:r>
          </w:p>
        </w:tc>
      </w:tr>
      <w:tr w:rsidR="002849A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849A3" w:rsidRPr="00B96C6D" w:rsidRDefault="002849A3" w:rsidP="002849A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2849A3" w:rsidRPr="000D76B6" w:rsidRDefault="002849A3" w:rsidP="002849A3">
            <w:pPr>
              <w:rPr>
                <w:kern w:val="2"/>
                <w:sz w:val="22"/>
                <w:szCs w:val="22"/>
              </w:rPr>
            </w:pPr>
            <w:r w:rsidRPr="000D76B6">
              <w:rPr>
                <w:kern w:val="2"/>
                <w:sz w:val="22"/>
                <w:szCs w:val="22"/>
              </w:rPr>
              <w:t>Ši Sutartis laikoma sudaryta ir įsigalioja nuo Sutarties pasirašymo dienos (antrosios Šalies pasirašymo dieną).</w:t>
            </w:r>
          </w:p>
          <w:p w14:paraId="0DC01EF2" w14:textId="010BB1BD" w:rsidR="002849A3" w:rsidRPr="000D76B6" w:rsidRDefault="002849A3" w:rsidP="002849A3">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3E00A0">
              <w:rPr>
                <w:color w:val="000000"/>
                <w:kern w:val="2"/>
                <w:sz w:val="22"/>
                <w:szCs w:val="22"/>
              </w:rPr>
              <w:t>37</w:t>
            </w:r>
            <w:r>
              <w:rPr>
                <w:color w:val="000000"/>
                <w:kern w:val="2"/>
                <w:sz w:val="22"/>
                <w:szCs w:val="22"/>
              </w:rPr>
              <w:t xml:space="preserve"> mėn. (3</w:t>
            </w:r>
            <w:r w:rsidR="003E00A0">
              <w:rPr>
                <w:color w:val="000000"/>
                <w:kern w:val="2"/>
                <w:sz w:val="22"/>
                <w:szCs w:val="22"/>
              </w:rPr>
              <w:t>6</w:t>
            </w:r>
            <w:r>
              <w:rPr>
                <w:color w:val="000000"/>
                <w:kern w:val="2"/>
                <w:sz w:val="22"/>
                <w:szCs w:val="22"/>
              </w:rPr>
              <w:t xml:space="preserve"> mėn. prekių </w:t>
            </w:r>
            <w:r w:rsidR="003E00A0">
              <w:rPr>
                <w:color w:val="000000"/>
                <w:kern w:val="2"/>
                <w:sz w:val="22"/>
                <w:szCs w:val="22"/>
              </w:rPr>
              <w:t>užsakymams ir jų įvykdymui</w:t>
            </w:r>
            <w:r>
              <w:rPr>
                <w:color w:val="000000"/>
                <w:kern w:val="2"/>
                <w:sz w:val="22"/>
                <w:szCs w:val="22"/>
              </w:rPr>
              <w:t>, 30 k. d. apmokėjimas)</w:t>
            </w:r>
            <w:r w:rsidRPr="000D76B6">
              <w:rPr>
                <w:kern w:val="2"/>
                <w:sz w:val="22"/>
                <w:szCs w:val="22"/>
              </w:rPr>
              <w:t>.</w:t>
            </w:r>
          </w:p>
        </w:tc>
      </w:tr>
      <w:tr w:rsidR="002849A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849A3" w:rsidRPr="00B96C6D" w:rsidRDefault="002849A3" w:rsidP="002849A3">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5B036CD3" w:rsidR="002849A3" w:rsidRPr="00A733D8" w:rsidRDefault="003E00A0" w:rsidP="002849A3">
            <w:pPr>
              <w:jc w:val="both"/>
              <w:rPr>
                <w:rFonts w:eastAsia="Arial"/>
                <w:color w:val="000000" w:themeColor="text1"/>
                <w:sz w:val="22"/>
                <w:szCs w:val="22"/>
              </w:rPr>
            </w:pPr>
            <w:r>
              <w:rPr>
                <w:color w:val="000000" w:themeColor="text1"/>
                <w:kern w:val="2"/>
                <w:sz w:val="22"/>
                <w:szCs w:val="22"/>
              </w:rPr>
              <w:t>Netaikoma.</w:t>
            </w:r>
          </w:p>
        </w:tc>
      </w:tr>
      <w:bookmarkEnd w:id="0"/>
      <w:tr w:rsidR="002849A3" w:rsidRPr="00B96C6D" w14:paraId="0284242D" w14:textId="77777777" w:rsidTr="007F22F9">
        <w:trPr>
          <w:trHeight w:val="300"/>
        </w:trPr>
        <w:tc>
          <w:tcPr>
            <w:tcW w:w="9962" w:type="dxa"/>
            <w:gridSpan w:val="4"/>
          </w:tcPr>
          <w:p w14:paraId="05AABF93" w14:textId="77777777" w:rsidR="002849A3" w:rsidRPr="00B96C6D" w:rsidRDefault="002849A3" w:rsidP="002849A3">
            <w:pPr>
              <w:jc w:val="center"/>
              <w:rPr>
                <w:b/>
                <w:bCs/>
                <w:kern w:val="2"/>
                <w:sz w:val="22"/>
                <w:szCs w:val="22"/>
              </w:rPr>
            </w:pPr>
            <w:r w:rsidRPr="00B96C6D">
              <w:rPr>
                <w:b/>
                <w:bCs/>
                <w:kern w:val="2"/>
                <w:sz w:val="22"/>
                <w:szCs w:val="22"/>
              </w:rPr>
              <w:t>12. SUTARTIES NUTRAUKIMAS</w:t>
            </w:r>
          </w:p>
        </w:tc>
      </w:tr>
      <w:tr w:rsidR="002849A3" w:rsidRPr="00B96C6D" w14:paraId="02CDEAC4" w14:textId="77777777" w:rsidTr="008E6D63">
        <w:trPr>
          <w:trHeight w:val="300"/>
        </w:trPr>
        <w:tc>
          <w:tcPr>
            <w:tcW w:w="2263" w:type="dxa"/>
            <w:gridSpan w:val="2"/>
          </w:tcPr>
          <w:p w14:paraId="226C878D" w14:textId="77777777" w:rsidR="002849A3" w:rsidRPr="000D76B6" w:rsidRDefault="002849A3" w:rsidP="002849A3">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2849A3" w:rsidRDefault="002849A3" w:rsidP="002849A3">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2849A3" w:rsidRPr="00B96C6D" w:rsidRDefault="002849A3" w:rsidP="002849A3">
            <w:pPr>
              <w:rPr>
                <w:kern w:val="2"/>
                <w:sz w:val="22"/>
                <w:szCs w:val="22"/>
              </w:rPr>
            </w:pPr>
          </w:p>
        </w:tc>
      </w:tr>
      <w:tr w:rsidR="002849A3" w:rsidRPr="00B96C6D" w14:paraId="69CB11D9" w14:textId="77777777" w:rsidTr="008E6D63">
        <w:trPr>
          <w:trHeight w:val="300"/>
        </w:trPr>
        <w:tc>
          <w:tcPr>
            <w:tcW w:w="2263" w:type="dxa"/>
            <w:gridSpan w:val="2"/>
          </w:tcPr>
          <w:p w14:paraId="30B41D12" w14:textId="77777777" w:rsidR="002849A3" w:rsidRPr="000D76B6" w:rsidRDefault="002849A3" w:rsidP="002849A3">
            <w:pPr>
              <w:rPr>
                <w:b/>
                <w:bCs/>
                <w:kern w:val="2"/>
                <w:sz w:val="22"/>
                <w:szCs w:val="22"/>
              </w:rPr>
            </w:pPr>
            <w:r w:rsidRPr="000D76B6">
              <w:rPr>
                <w:b/>
                <w:bCs/>
                <w:kern w:val="2"/>
                <w:sz w:val="22"/>
                <w:szCs w:val="22"/>
              </w:rPr>
              <w:lastRenderedPageBreak/>
              <w:t>12.2. Esminiai Sutarties pažeidimai</w:t>
            </w:r>
          </w:p>
          <w:p w14:paraId="08CC1A68" w14:textId="77777777" w:rsidR="002849A3" w:rsidRPr="000D76B6" w:rsidRDefault="002849A3" w:rsidP="002849A3">
            <w:pPr>
              <w:rPr>
                <w:b/>
                <w:bCs/>
                <w:kern w:val="2"/>
                <w:sz w:val="22"/>
                <w:szCs w:val="22"/>
              </w:rPr>
            </w:pPr>
          </w:p>
        </w:tc>
        <w:tc>
          <w:tcPr>
            <w:tcW w:w="7699" w:type="dxa"/>
            <w:gridSpan w:val="2"/>
          </w:tcPr>
          <w:p w14:paraId="6CA9D645" w14:textId="664FA561" w:rsidR="002849A3" w:rsidRDefault="002849A3" w:rsidP="002849A3">
            <w:pPr>
              <w:jc w:val="both"/>
              <w:rPr>
                <w:kern w:val="2"/>
                <w:sz w:val="22"/>
                <w:szCs w:val="22"/>
              </w:rPr>
            </w:pPr>
            <w:r>
              <w:rPr>
                <w:kern w:val="2"/>
                <w:sz w:val="22"/>
                <w:szCs w:val="22"/>
              </w:rPr>
              <w:t>12.2.1. jeigu Tiekėjas nevykdo prisiimtų įsipareigojimų už Sutartyje nustatytą Sutarties kainą;</w:t>
            </w:r>
          </w:p>
          <w:p w14:paraId="4A8E0409" w14:textId="38C6C244" w:rsidR="002849A3" w:rsidRDefault="002849A3" w:rsidP="002849A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2849A3" w:rsidRDefault="002849A3" w:rsidP="002849A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2849A3" w:rsidRDefault="002849A3" w:rsidP="002849A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849A3" w:rsidRDefault="002849A3" w:rsidP="002849A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849A3" w:rsidRPr="00B96C6D" w:rsidRDefault="002849A3" w:rsidP="002849A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849A3" w:rsidRPr="00B96C6D" w14:paraId="66C5FB47" w14:textId="77777777" w:rsidTr="007F22F9">
        <w:trPr>
          <w:trHeight w:val="300"/>
        </w:trPr>
        <w:tc>
          <w:tcPr>
            <w:tcW w:w="9962" w:type="dxa"/>
            <w:gridSpan w:val="4"/>
          </w:tcPr>
          <w:p w14:paraId="2E78AE5D" w14:textId="36407478" w:rsidR="002849A3" w:rsidRPr="00B96C6D" w:rsidRDefault="002849A3" w:rsidP="002849A3">
            <w:pPr>
              <w:jc w:val="center"/>
              <w:rPr>
                <w:kern w:val="2"/>
                <w:sz w:val="22"/>
                <w:szCs w:val="22"/>
              </w:rPr>
            </w:pPr>
            <w:r w:rsidRPr="00B96C6D">
              <w:rPr>
                <w:b/>
                <w:bCs/>
                <w:kern w:val="2"/>
                <w:sz w:val="22"/>
                <w:szCs w:val="22"/>
              </w:rPr>
              <w:t xml:space="preserve">13. APLINKOSAUGINIAI IR SOCIALINIAI KRITERIJAI </w:t>
            </w:r>
          </w:p>
        </w:tc>
      </w:tr>
      <w:tr w:rsidR="002849A3" w:rsidRPr="00B96C6D" w14:paraId="2A940830" w14:textId="77777777" w:rsidTr="008E6D63">
        <w:trPr>
          <w:trHeight w:val="555"/>
        </w:trPr>
        <w:tc>
          <w:tcPr>
            <w:tcW w:w="2263" w:type="dxa"/>
            <w:gridSpan w:val="2"/>
          </w:tcPr>
          <w:p w14:paraId="5445B64C" w14:textId="77777777" w:rsidR="002849A3" w:rsidRPr="00956692" w:rsidRDefault="002849A3" w:rsidP="002849A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2849A3" w:rsidRDefault="002849A3" w:rsidP="002849A3">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2849A3" w:rsidRPr="00956692" w:rsidRDefault="002849A3" w:rsidP="002849A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2849A3" w:rsidRDefault="002849A3" w:rsidP="002849A3">
            <w:pPr>
              <w:jc w:val="both"/>
              <w:rPr>
                <w:bCs/>
                <w:sz w:val="22"/>
                <w:szCs w:val="22"/>
              </w:rPr>
            </w:pPr>
          </w:p>
          <w:p w14:paraId="44B895DB" w14:textId="2D544950" w:rsidR="002849A3" w:rsidRDefault="002849A3" w:rsidP="002849A3">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25A1D225" w14:textId="77777777" w:rsidR="002849A3" w:rsidRDefault="002849A3" w:rsidP="002849A3">
            <w:pPr>
              <w:jc w:val="both"/>
              <w:rPr>
                <w:bCs/>
                <w:sz w:val="22"/>
                <w:szCs w:val="22"/>
              </w:rPr>
            </w:pPr>
          </w:p>
          <w:p w14:paraId="6C57C72E" w14:textId="0D5597C2" w:rsidR="002849A3" w:rsidRDefault="002849A3" w:rsidP="002849A3">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w:t>
            </w:r>
            <w:r w:rsidRPr="00956692">
              <w:rPr>
                <w:bCs/>
                <w:sz w:val="22"/>
                <w:szCs w:val="22"/>
              </w:rPr>
              <w:lastRenderedPageBreak/>
              <w:t xml:space="preserve">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2849A3" w:rsidRDefault="002849A3" w:rsidP="002849A3">
            <w:pPr>
              <w:jc w:val="both"/>
              <w:rPr>
                <w:kern w:val="2"/>
                <w:sz w:val="22"/>
                <w:szCs w:val="22"/>
                <w:shd w:val="clear" w:color="auto" w:fill="FFFFFF"/>
              </w:rPr>
            </w:pPr>
          </w:p>
          <w:p w14:paraId="67F28B7F" w14:textId="03188AD8" w:rsidR="002849A3" w:rsidRPr="00956692" w:rsidRDefault="002849A3" w:rsidP="002849A3">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2849A3" w:rsidRPr="002908ED" w:rsidRDefault="002849A3" w:rsidP="002849A3">
            <w:pPr>
              <w:jc w:val="both"/>
              <w:rPr>
                <w:kern w:val="2"/>
                <w:sz w:val="22"/>
                <w:szCs w:val="22"/>
                <w:shd w:val="clear" w:color="auto" w:fill="FFFFFF"/>
              </w:rPr>
            </w:pPr>
          </w:p>
        </w:tc>
      </w:tr>
      <w:tr w:rsidR="002849A3" w:rsidRPr="00B96C6D" w14:paraId="032072CC" w14:textId="77777777" w:rsidTr="008E6D63">
        <w:trPr>
          <w:trHeight w:val="300"/>
        </w:trPr>
        <w:tc>
          <w:tcPr>
            <w:tcW w:w="2263" w:type="dxa"/>
            <w:gridSpan w:val="2"/>
          </w:tcPr>
          <w:p w14:paraId="0C0ADA8E" w14:textId="2BE4E03A" w:rsidR="002849A3" w:rsidRPr="00B96C6D" w:rsidRDefault="002849A3" w:rsidP="002849A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849A3" w:rsidRPr="00B96C6D" w:rsidRDefault="002849A3" w:rsidP="002849A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849A3" w:rsidRPr="00B96C6D" w:rsidRDefault="002849A3" w:rsidP="002849A3">
            <w:pPr>
              <w:rPr>
                <w:color w:val="000000"/>
                <w:kern w:val="2"/>
                <w:sz w:val="22"/>
                <w:szCs w:val="22"/>
                <w:shd w:val="clear" w:color="auto" w:fill="FFFFFF"/>
              </w:rPr>
            </w:pPr>
          </w:p>
          <w:p w14:paraId="7834229A" w14:textId="38717A9C" w:rsidR="002849A3" w:rsidRPr="00B96C6D" w:rsidRDefault="002849A3" w:rsidP="002849A3">
            <w:pPr>
              <w:rPr>
                <w:color w:val="0070C0"/>
                <w:kern w:val="2"/>
                <w:sz w:val="22"/>
                <w:szCs w:val="22"/>
              </w:rPr>
            </w:pPr>
          </w:p>
        </w:tc>
      </w:tr>
      <w:tr w:rsidR="002849A3" w:rsidRPr="00B96C6D" w14:paraId="063A7063" w14:textId="77777777" w:rsidTr="007F22F9">
        <w:trPr>
          <w:trHeight w:val="300"/>
        </w:trPr>
        <w:tc>
          <w:tcPr>
            <w:tcW w:w="9962" w:type="dxa"/>
            <w:gridSpan w:val="4"/>
          </w:tcPr>
          <w:p w14:paraId="1EC1A743" w14:textId="772FC253" w:rsidR="002849A3" w:rsidRPr="00B96C6D" w:rsidRDefault="002849A3" w:rsidP="002849A3">
            <w:pPr>
              <w:jc w:val="center"/>
              <w:rPr>
                <w:b/>
                <w:bCs/>
                <w:kern w:val="2"/>
                <w:sz w:val="22"/>
                <w:szCs w:val="22"/>
              </w:rPr>
            </w:pPr>
            <w:r w:rsidRPr="00B96C6D">
              <w:rPr>
                <w:b/>
                <w:bCs/>
                <w:kern w:val="2"/>
                <w:sz w:val="22"/>
                <w:szCs w:val="22"/>
              </w:rPr>
              <w:t>14. SUTARTIES PRIEDAI</w:t>
            </w:r>
          </w:p>
        </w:tc>
      </w:tr>
      <w:tr w:rsidR="002849A3" w:rsidRPr="00B96C6D" w14:paraId="1493342A" w14:textId="77777777" w:rsidTr="008E6D63">
        <w:trPr>
          <w:trHeight w:val="300"/>
        </w:trPr>
        <w:tc>
          <w:tcPr>
            <w:tcW w:w="2263" w:type="dxa"/>
            <w:gridSpan w:val="2"/>
          </w:tcPr>
          <w:p w14:paraId="0AF63E8A" w14:textId="3888AFD4" w:rsidR="002849A3" w:rsidRPr="000A47C6" w:rsidRDefault="002849A3" w:rsidP="002849A3">
            <w:pPr>
              <w:rPr>
                <w:b/>
                <w:bCs/>
                <w:kern w:val="2"/>
                <w:sz w:val="22"/>
                <w:szCs w:val="22"/>
              </w:rPr>
            </w:pPr>
            <w:r w:rsidRPr="000A47C6">
              <w:rPr>
                <w:b/>
                <w:bCs/>
                <w:kern w:val="2"/>
                <w:sz w:val="22"/>
                <w:szCs w:val="22"/>
              </w:rPr>
              <w:t>14.1. Priedas Nr. 1</w:t>
            </w:r>
          </w:p>
        </w:tc>
        <w:tc>
          <w:tcPr>
            <w:tcW w:w="7699" w:type="dxa"/>
            <w:gridSpan w:val="2"/>
          </w:tcPr>
          <w:p w14:paraId="23C9ECEE" w14:textId="72BF13B6" w:rsidR="002849A3" w:rsidRPr="0017675A" w:rsidRDefault="002849A3" w:rsidP="002849A3">
            <w:pPr>
              <w:rPr>
                <w:kern w:val="2"/>
                <w:sz w:val="22"/>
                <w:szCs w:val="22"/>
              </w:rPr>
            </w:pPr>
            <w:r w:rsidRPr="0017675A">
              <w:rPr>
                <w:kern w:val="2"/>
                <w:sz w:val="22"/>
                <w:szCs w:val="22"/>
              </w:rPr>
              <w:t>Techninė specifikacija</w:t>
            </w:r>
          </w:p>
        </w:tc>
      </w:tr>
      <w:tr w:rsidR="002849A3" w:rsidRPr="00B96C6D" w14:paraId="50C44CD1" w14:textId="77777777" w:rsidTr="008E6D63">
        <w:trPr>
          <w:trHeight w:val="300"/>
        </w:trPr>
        <w:tc>
          <w:tcPr>
            <w:tcW w:w="2263" w:type="dxa"/>
            <w:gridSpan w:val="2"/>
          </w:tcPr>
          <w:p w14:paraId="79BEE651" w14:textId="1A9A194F" w:rsidR="002849A3" w:rsidRPr="000A47C6" w:rsidRDefault="002849A3" w:rsidP="002849A3">
            <w:pPr>
              <w:rPr>
                <w:b/>
                <w:bCs/>
                <w:kern w:val="2"/>
                <w:sz w:val="22"/>
                <w:szCs w:val="22"/>
              </w:rPr>
            </w:pPr>
            <w:r w:rsidRPr="000A47C6">
              <w:rPr>
                <w:b/>
                <w:bCs/>
                <w:kern w:val="2"/>
                <w:sz w:val="22"/>
                <w:szCs w:val="22"/>
              </w:rPr>
              <w:t>14.2. Priedas Nr. 2</w:t>
            </w:r>
          </w:p>
        </w:tc>
        <w:tc>
          <w:tcPr>
            <w:tcW w:w="7699" w:type="dxa"/>
            <w:gridSpan w:val="2"/>
          </w:tcPr>
          <w:p w14:paraId="2B96BC58" w14:textId="4444DBD0" w:rsidR="002849A3" w:rsidRPr="0017675A" w:rsidRDefault="002849A3" w:rsidP="002849A3">
            <w:pPr>
              <w:rPr>
                <w:kern w:val="2"/>
                <w:sz w:val="22"/>
                <w:szCs w:val="22"/>
              </w:rPr>
            </w:pPr>
            <w:r w:rsidRPr="0017675A">
              <w:rPr>
                <w:kern w:val="2"/>
                <w:sz w:val="22"/>
                <w:szCs w:val="22"/>
              </w:rPr>
              <w:t xml:space="preserve">Pasiūlymas </w:t>
            </w:r>
          </w:p>
        </w:tc>
      </w:tr>
      <w:tr w:rsidR="002849A3" w:rsidRPr="00B96C6D" w14:paraId="4C75E455" w14:textId="77777777" w:rsidTr="008E6D63">
        <w:trPr>
          <w:trHeight w:val="300"/>
        </w:trPr>
        <w:tc>
          <w:tcPr>
            <w:tcW w:w="2263" w:type="dxa"/>
            <w:gridSpan w:val="2"/>
          </w:tcPr>
          <w:p w14:paraId="6E44F098" w14:textId="23123D23" w:rsidR="002849A3" w:rsidRPr="000A47C6" w:rsidRDefault="002849A3" w:rsidP="002849A3">
            <w:pPr>
              <w:rPr>
                <w:b/>
                <w:bCs/>
                <w:kern w:val="2"/>
                <w:sz w:val="22"/>
                <w:szCs w:val="22"/>
              </w:rPr>
            </w:pPr>
            <w:r w:rsidRPr="000A47C6">
              <w:rPr>
                <w:b/>
                <w:bCs/>
                <w:kern w:val="2"/>
                <w:sz w:val="22"/>
                <w:szCs w:val="22"/>
              </w:rPr>
              <w:t>14.3. Priedas Nr. 3</w:t>
            </w:r>
          </w:p>
        </w:tc>
        <w:tc>
          <w:tcPr>
            <w:tcW w:w="7699" w:type="dxa"/>
            <w:gridSpan w:val="2"/>
          </w:tcPr>
          <w:p w14:paraId="65CEE00B" w14:textId="08007676" w:rsidR="002849A3" w:rsidRPr="00B96C6D" w:rsidRDefault="002849A3" w:rsidP="002849A3">
            <w:pPr>
              <w:rPr>
                <w:b/>
                <w:bCs/>
                <w:kern w:val="2"/>
                <w:sz w:val="22"/>
                <w:szCs w:val="22"/>
              </w:rPr>
            </w:pPr>
            <w:r w:rsidRPr="0089363D">
              <w:rPr>
                <w:color w:val="000000" w:themeColor="text1"/>
                <w:kern w:val="2"/>
                <w:sz w:val="22"/>
                <w:szCs w:val="22"/>
              </w:rPr>
              <w:t>Sutarties vykdymui pasitelkiami subtiekėjai ir (ar) specialistai (jei taikoma)</w:t>
            </w:r>
          </w:p>
        </w:tc>
      </w:tr>
      <w:tr w:rsidR="002849A3" w:rsidRPr="00B96C6D" w14:paraId="29AA4422" w14:textId="77777777" w:rsidTr="007F22F9">
        <w:tc>
          <w:tcPr>
            <w:tcW w:w="9962" w:type="dxa"/>
            <w:gridSpan w:val="4"/>
          </w:tcPr>
          <w:p w14:paraId="3ACEC6B8" w14:textId="744213EC" w:rsidR="002849A3" w:rsidRPr="0089363D" w:rsidRDefault="002849A3" w:rsidP="002849A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2849A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849A3" w:rsidRPr="0089363D" w:rsidRDefault="002849A3" w:rsidP="002849A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849A3" w:rsidRPr="0089363D" w:rsidRDefault="002849A3" w:rsidP="002849A3">
            <w:pPr>
              <w:jc w:val="center"/>
              <w:rPr>
                <w:b/>
                <w:bCs/>
                <w:color w:val="000000" w:themeColor="text1"/>
                <w:kern w:val="2"/>
                <w:sz w:val="22"/>
                <w:szCs w:val="22"/>
              </w:rPr>
            </w:pPr>
            <w:r w:rsidRPr="0089363D">
              <w:rPr>
                <w:b/>
                <w:bCs/>
                <w:color w:val="000000" w:themeColor="text1"/>
                <w:kern w:val="2"/>
                <w:sz w:val="22"/>
                <w:szCs w:val="22"/>
              </w:rPr>
              <w:t>TIEKĖJAS</w:t>
            </w:r>
          </w:p>
        </w:tc>
      </w:tr>
      <w:tr w:rsidR="002849A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849A3" w:rsidRPr="0089363D" w:rsidRDefault="002849A3" w:rsidP="002849A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2849A3" w:rsidRPr="0089363D" w:rsidRDefault="002849A3" w:rsidP="002849A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849A3" w:rsidRPr="0089363D" w:rsidRDefault="002849A3" w:rsidP="002849A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2849A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2849A3" w:rsidRPr="0089363D" w:rsidRDefault="002849A3" w:rsidP="002849A3">
            <w:pPr>
              <w:jc w:val="center"/>
              <w:rPr>
                <w:b/>
                <w:bCs/>
                <w:color w:val="000000" w:themeColor="text1"/>
                <w:kern w:val="2"/>
                <w:sz w:val="22"/>
                <w:szCs w:val="22"/>
              </w:rPr>
            </w:pPr>
          </w:p>
          <w:p w14:paraId="5F978D19" w14:textId="77777777" w:rsidR="002849A3" w:rsidRPr="0089363D" w:rsidRDefault="002849A3" w:rsidP="002849A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2849A3" w:rsidRPr="0089363D" w:rsidRDefault="002849A3" w:rsidP="002849A3">
            <w:pPr>
              <w:jc w:val="center"/>
              <w:rPr>
                <w:b/>
                <w:bCs/>
                <w:color w:val="000000" w:themeColor="text1"/>
                <w:kern w:val="2"/>
                <w:sz w:val="22"/>
                <w:szCs w:val="22"/>
              </w:rPr>
            </w:pPr>
          </w:p>
          <w:p w14:paraId="0CC6C66D" w14:textId="77777777" w:rsidR="002849A3" w:rsidRPr="0089363D" w:rsidRDefault="002849A3" w:rsidP="002849A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2849A3" w:rsidRPr="0089363D" w:rsidRDefault="002849A3" w:rsidP="002849A3">
            <w:pPr>
              <w:jc w:val="center"/>
              <w:rPr>
                <w:b/>
                <w:bCs/>
                <w:color w:val="000000" w:themeColor="text1"/>
                <w:kern w:val="2"/>
                <w:sz w:val="22"/>
                <w:szCs w:val="22"/>
              </w:rPr>
            </w:pPr>
          </w:p>
          <w:p w14:paraId="449EF7AE" w14:textId="77777777" w:rsidR="002849A3" w:rsidRPr="0089363D" w:rsidRDefault="002849A3" w:rsidP="002849A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2DFFA7EA"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B11737">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398EE3D"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7675A"/>
    <w:rsid w:val="00184C0D"/>
    <w:rsid w:val="00186DC8"/>
    <w:rsid w:val="00192314"/>
    <w:rsid w:val="001B2EB7"/>
    <w:rsid w:val="001D0762"/>
    <w:rsid w:val="001D6332"/>
    <w:rsid w:val="001E1E07"/>
    <w:rsid w:val="001E410C"/>
    <w:rsid w:val="00201517"/>
    <w:rsid w:val="00202E5E"/>
    <w:rsid w:val="00205C93"/>
    <w:rsid w:val="00206616"/>
    <w:rsid w:val="00213B60"/>
    <w:rsid w:val="00267F55"/>
    <w:rsid w:val="002764F4"/>
    <w:rsid w:val="0028094B"/>
    <w:rsid w:val="002849A3"/>
    <w:rsid w:val="002908ED"/>
    <w:rsid w:val="002A6D77"/>
    <w:rsid w:val="002B5DAD"/>
    <w:rsid w:val="002B685E"/>
    <w:rsid w:val="002B7C65"/>
    <w:rsid w:val="002C64DC"/>
    <w:rsid w:val="002E7DD2"/>
    <w:rsid w:val="002E7EC3"/>
    <w:rsid w:val="002F0B5F"/>
    <w:rsid w:val="003066EA"/>
    <w:rsid w:val="00316B90"/>
    <w:rsid w:val="00323026"/>
    <w:rsid w:val="0033497D"/>
    <w:rsid w:val="00334A85"/>
    <w:rsid w:val="0033588C"/>
    <w:rsid w:val="00341720"/>
    <w:rsid w:val="00360666"/>
    <w:rsid w:val="00363E57"/>
    <w:rsid w:val="00366417"/>
    <w:rsid w:val="00372805"/>
    <w:rsid w:val="00372AD2"/>
    <w:rsid w:val="00373CBD"/>
    <w:rsid w:val="00374D1F"/>
    <w:rsid w:val="00375E38"/>
    <w:rsid w:val="003939FF"/>
    <w:rsid w:val="003A0D63"/>
    <w:rsid w:val="003A2159"/>
    <w:rsid w:val="003B2818"/>
    <w:rsid w:val="003E00A0"/>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1C70"/>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F0870"/>
    <w:rsid w:val="00AF3AC8"/>
    <w:rsid w:val="00B02783"/>
    <w:rsid w:val="00B0364F"/>
    <w:rsid w:val="00B11737"/>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195D"/>
    <w:rsid w:val="00C743B7"/>
    <w:rsid w:val="00C74FDF"/>
    <w:rsid w:val="00C77B3C"/>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87F00"/>
    <w:rsid w:val="00E91905"/>
    <w:rsid w:val="00EA3C89"/>
    <w:rsid w:val="00EA467C"/>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marcinkevic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a.baranausk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juskevic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29</Pages>
  <Words>67803</Words>
  <Characters>38648</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29</cp:revision>
  <dcterms:created xsi:type="dcterms:W3CDTF">2025-09-17T10:34:00Z</dcterms:created>
  <dcterms:modified xsi:type="dcterms:W3CDTF">2025-10-10T11:33:00Z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