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szCs w:val="24"/>
        </w:rPr>
      </w:pPr>
      <w:r>
        <w:rPr>
          <w:b/>
          <w:bCs/>
          <w:sz w:val="24"/>
          <w:szCs w:val="24"/>
        </w:rPr>
      </w:r>
    </w:p>
    <w:p>
      <w:pPr>
        <w:pStyle w:val="Normal"/>
        <w:jc w:val="right"/>
        <w:rPr>
          <w:sz w:val="24"/>
          <w:szCs w:val="24"/>
        </w:rPr>
      </w:pPr>
      <w:r>
        <w:rPr>
          <w:sz w:val="24"/>
          <w:szCs w:val="24"/>
        </w:rPr>
        <w:t>1 priedas</w:t>
      </w:r>
    </w:p>
    <w:p>
      <w:pPr>
        <w:pStyle w:val="Normal"/>
        <w:jc w:val="right"/>
        <w:rPr>
          <w:sz w:val="24"/>
          <w:szCs w:val="24"/>
        </w:rPr>
      </w:pPr>
      <w:r>
        <w:rPr>
          <w:sz w:val="24"/>
          <w:szCs w:val="24"/>
        </w:rPr>
      </w:r>
    </w:p>
    <w:p>
      <w:pPr>
        <w:pStyle w:val="Normal"/>
        <w:spacing w:lineRule="auto" w:line="360" w:before="1" w:after="0"/>
        <w:jc w:val="center"/>
        <w:rPr>
          <w:b/>
          <w:bCs/>
          <w:color w:val="000009"/>
          <w:sz w:val="24"/>
          <w:szCs w:val="24"/>
        </w:rPr>
      </w:pPr>
      <w:r>
        <w:rPr>
          <w:b/>
          <w:bCs/>
          <w:color w:val="000009"/>
          <w:sz w:val="24"/>
          <w:szCs w:val="24"/>
        </w:rPr>
        <w:t>ŽVELKGILIAU.LT TINKLAPIO TECHNINĖ PRIEŽIŪRA IR TURINIO PLĖTRA, GOOGLE ADS</w:t>
      </w:r>
    </w:p>
    <w:p>
      <w:pPr>
        <w:pStyle w:val="Normal"/>
        <w:jc w:val="center"/>
        <w:rPr>
          <w:b/>
          <w:bCs/>
          <w:color w:val="000009"/>
          <w:sz w:val="24"/>
          <w:szCs w:val="24"/>
        </w:rPr>
      </w:pPr>
      <w:r>
        <w:rPr>
          <w:b/>
          <w:bCs/>
          <w:color w:val="000009"/>
          <w:sz w:val="24"/>
          <w:szCs w:val="24"/>
        </w:rPr>
      </w:r>
    </w:p>
    <w:p>
      <w:pPr>
        <w:pStyle w:val="Normal"/>
        <w:jc w:val="center"/>
        <w:rPr>
          <w:b/>
          <w:bCs/>
          <w:sz w:val="24"/>
          <w:szCs w:val="24"/>
        </w:rPr>
      </w:pPr>
      <w:r>
        <w:rPr>
          <w:b/>
          <w:bCs/>
          <w:sz w:val="24"/>
          <w:szCs w:val="24"/>
        </w:rPr>
        <w:t>TECHNINĖ SPECIFIKACIJA</w:t>
      </w:r>
    </w:p>
    <w:p>
      <w:pPr>
        <w:pStyle w:val="Normal"/>
        <w:spacing w:lineRule="auto" w:line="360" w:before="1" w:after="0"/>
        <w:jc w:val="center"/>
        <w:rPr>
          <w:b/>
          <w:bCs/>
          <w:color w:val="000009"/>
          <w:sz w:val="24"/>
          <w:szCs w:val="24"/>
        </w:rPr>
      </w:pPr>
      <w:r>
        <w:rPr>
          <w:b/>
          <w:bCs/>
          <w:color w:val="000009"/>
          <w:sz w:val="24"/>
          <w:szCs w:val="24"/>
        </w:rPr>
      </w:r>
    </w:p>
    <w:p>
      <w:pPr>
        <w:pStyle w:val="Normal"/>
        <w:spacing w:before="1" w:after="0"/>
        <w:jc w:val="center"/>
        <w:rPr>
          <w:b/>
          <w:bCs/>
          <w:sz w:val="24"/>
          <w:szCs w:val="24"/>
        </w:rPr>
      </w:pPr>
      <w:r>
        <w:rPr>
          <w:b/>
          <w:bCs/>
          <w:sz w:val="24"/>
          <w:szCs w:val="24"/>
        </w:rPr>
      </w:r>
    </w:p>
    <w:p>
      <w:pPr>
        <w:pStyle w:val="ListParagraph"/>
        <w:numPr>
          <w:ilvl w:val="0"/>
          <w:numId w:val="5"/>
        </w:numPr>
        <w:tabs>
          <w:tab w:val="clear" w:pos="720"/>
          <w:tab w:val="left" w:pos="2128" w:leader="none"/>
        </w:tabs>
        <w:spacing w:lineRule="auto" w:line="276"/>
        <w:jc w:val="center"/>
        <w:rPr>
          <w:b/>
          <w:bCs/>
          <w:sz w:val="24"/>
          <w:szCs w:val="24"/>
        </w:rPr>
      </w:pPr>
      <w:r>
        <w:rPr>
          <w:b/>
          <w:bCs/>
          <w:sz w:val="24"/>
          <w:szCs w:val="24"/>
        </w:rPr>
        <w:t>SKYRIUS</w:t>
      </w:r>
    </w:p>
    <w:p>
      <w:pPr>
        <w:pStyle w:val="Normal"/>
        <w:tabs>
          <w:tab w:val="clear" w:pos="720"/>
          <w:tab w:val="left" w:pos="2128" w:leader="none"/>
        </w:tabs>
        <w:spacing w:lineRule="auto" w:line="276"/>
        <w:ind w:left="720"/>
        <w:jc w:val="center"/>
        <w:rPr>
          <w:b/>
          <w:bCs/>
          <w:sz w:val="24"/>
          <w:szCs w:val="24"/>
        </w:rPr>
      </w:pPr>
      <w:r>
        <w:rPr>
          <w:b/>
          <w:bCs/>
          <w:sz w:val="24"/>
          <w:szCs w:val="24"/>
        </w:rPr>
        <w:t xml:space="preserve">BENDROSIOS </w:t>
      </w:r>
      <w:r>
        <w:rPr>
          <w:b/>
          <w:bCs/>
          <w:spacing w:val="-2"/>
          <w:sz w:val="24"/>
          <w:szCs w:val="24"/>
        </w:rPr>
        <w:t>NUOSTATOS</w:t>
      </w:r>
    </w:p>
    <w:p>
      <w:pPr>
        <w:pStyle w:val="Normal"/>
        <w:tabs>
          <w:tab w:val="clear" w:pos="720"/>
          <w:tab w:val="left" w:pos="2128" w:leader="none"/>
        </w:tabs>
        <w:spacing w:lineRule="auto" w:line="360"/>
        <w:jc w:val="right"/>
        <w:rPr>
          <w:b/>
          <w:bCs/>
          <w:sz w:val="24"/>
          <w:szCs w:val="24"/>
        </w:rPr>
      </w:pPr>
      <w:r>
        <w:rPr>
          <w:b/>
          <w:bCs/>
          <w:sz w:val="24"/>
          <w:szCs w:val="24"/>
        </w:rPr>
      </w:r>
    </w:p>
    <w:p>
      <w:pPr>
        <w:pStyle w:val="ListParagraph"/>
        <w:numPr>
          <w:ilvl w:val="0"/>
          <w:numId w:val="4"/>
        </w:numPr>
        <w:tabs>
          <w:tab w:val="clear" w:pos="720"/>
          <w:tab w:val="left" w:pos="2554" w:leader="none"/>
        </w:tabs>
        <w:spacing w:lineRule="auto" w:line="360"/>
        <w:jc w:val="both"/>
        <w:rPr>
          <w:color w:val="000009"/>
          <w:sz w:val="24"/>
          <w:szCs w:val="24"/>
        </w:rPr>
      </w:pPr>
      <w:r>
        <w:rPr>
          <w:color w:val="000009"/>
          <w:sz w:val="24"/>
          <w:szCs w:val="24"/>
        </w:rPr>
        <w:t>Perkančioji</w:t>
      </w:r>
      <w:r>
        <w:rPr>
          <w:color w:val="000009"/>
          <w:spacing w:val="35"/>
          <w:sz w:val="24"/>
          <w:szCs w:val="24"/>
        </w:rPr>
        <w:t xml:space="preserve"> </w:t>
      </w:r>
      <w:r>
        <w:rPr>
          <w:color w:val="000009"/>
          <w:sz w:val="24"/>
          <w:szCs w:val="24"/>
        </w:rPr>
        <w:t>organizacija</w:t>
      </w:r>
      <w:r>
        <w:rPr>
          <w:color w:val="000009"/>
          <w:spacing w:val="37"/>
          <w:sz w:val="24"/>
          <w:szCs w:val="24"/>
        </w:rPr>
        <w:t xml:space="preserve"> </w:t>
      </w:r>
      <w:r>
        <w:rPr>
          <w:color w:val="000009"/>
          <w:sz w:val="24"/>
          <w:szCs w:val="24"/>
        </w:rPr>
        <w:t>–</w:t>
      </w:r>
      <w:r>
        <w:rPr>
          <w:color w:val="000009"/>
          <w:spacing w:val="34"/>
          <w:sz w:val="24"/>
          <w:szCs w:val="24"/>
        </w:rPr>
        <w:t xml:space="preserve"> </w:t>
      </w:r>
      <w:r>
        <w:rPr>
          <w:color w:themeColor="text1" w:val="000000"/>
          <w:sz w:val="24"/>
          <w:szCs w:val="24"/>
        </w:rPr>
        <w:t>Biudžetinė įstaiga Higienos institutas, kodas 111958286, Studentų g. 45A, 08107 Vilnius</w:t>
      </w:r>
      <w:r>
        <w:rPr>
          <w:color w:val="000009"/>
          <w:spacing w:val="35"/>
          <w:sz w:val="24"/>
          <w:szCs w:val="24"/>
        </w:rPr>
        <w:t xml:space="preserve"> </w:t>
      </w:r>
      <w:r>
        <w:rPr>
          <w:color w:val="000009"/>
          <w:sz w:val="24"/>
          <w:szCs w:val="24"/>
        </w:rPr>
        <w:t>(Studentų</w:t>
      </w:r>
      <w:r>
        <w:rPr>
          <w:color w:val="000009"/>
          <w:spacing w:val="34"/>
          <w:sz w:val="24"/>
          <w:szCs w:val="24"/>
        </w:rPr>
        <w:t xml:space="preserve"> </w:t>
      </w:r>
      <w:r>
        <w:rPr>
          <w:color w:val="000009"/>
          <w:sz w:val="24"/>
          <w:szCs w:val="24"/>
        </w:rPr>
        <w:t>g.</w:t>
      </w:r>
      <w:r>
        <w:rPr>
          <w:color w:val="000009"/>
          <w:spacing w:val="34"/>
          <w:sz w:val="24"/>
          <w:szCs w:val="24"/>
        </w:rPr>
        <w:t xml:space="preserve"> </w:t>
      </w:r>
      <w:r>
        <w:rPr>
          <w:color w:val="000009"/>
          <w:sz w:val="24"/>
          <w:szCs w:val="24"/>
        </w:rPr>
        <w:t>45 A,</w:t>
      </w:r>
      <w:r>
        <w:rPr>
          <w:color w:val="000009"/>
          <w:spacing w:val="30"/>
          <w:sz w:val="24"/>
          <w:szCs w:val="24"/>
        </w:rPr>
        <w:t xml:space="preserve"> </w:t>
      </w:r>
      <w:r>
        <w:rPr>
          <w:color w:val="000009"/>
          <w:sz w:val="24"/>
          <w:szCs w:val="24"/>
        </w:rPr>
        <w:t>Vilnius)</w:t>
      </w:r>
      <w:r>
        <w:rPr>
          <w:color w:val="000009"/>
          <w:spacing w:val="34"/>
          <w:sz w:val="24"/>
          <w:szCs w:val="24"/>
        </w:rPr>
        <w:t xml:space="preserve"> </w:t>
      </w:r>
      <w:r>
        <w:rPr>
          <w:color w:val="000009"/>
          <w:spacing w:val="35"/>
          <w:sz w:val="24"/>
          <w:szCs w:val="24"/>
        </w:rPr>
        <w:t>(toliau</w:t>
      </w:r>
      <w:r>
        <w:rPr>
          <w:color w:val="000009"/>
          <w:sz w:val="24"/>
          <w:szCs w:val="24"/>
        </w:rPr>
        <w:t xml:space="preserve"> – PO).</w:t>
      </w:r>
    </w:p>
    <w:p>
      <w:pPr>
        <w:pStyle w:val="ListParagraph"/>
        <w:numPr>
          <w:ilvl w:val="0"/>
          <w:numId w:val="4"/>
        </w:numPr>
        <w:tabs>
          <w:tab w:val="clear" w:pos="720"/>
          <w:tab w:val="left" w:pos="2554" w:leader="none"/>
        </w:tabs>
        <w:spacing w:lineRule="auto" w:line="360" w:before="164" w:after="0"/>
        <w:contextualSpacing/>
        <w:jc w:val="both"/>
        <w:rPr>
          <w:color w:val="000009"/>
          <w:sz w:val="24"/>
          <w:szCs w:val="24"/>
        </w:rPr>
      </w:pPr>
      <w:r>
        <w:rPr>
          <w:color w:val="000009"/>
          <w:sz w:val="24"/>
          <w:szCs w:val="24"/>
        </w:rPr>
        <w:t>Pirkimas skirtas įgyvendinti Higienos instituto projekto „Psichikos sveikatos stiprinimas, stigmatizavimo mažinimas, savižudybių prevencija vidurio, vakarų Lietuvos ir sostinės regione“ Nr. 09-025-P-0001 veiklas.</w:t>
      </w:r>
    </w:p>
    <w:p>
      <w:pPr>
        <w:pStyle w:val="ListParagraph"/>
        <w:numPr>
          <w:ilvl w:val="0"/>
          <w:numId w:val="4"/>
        </w:numPr>
        <w:tabs>
          <w:tab w:val="clear" w:pos="720"/>
          <w:tab w:val="left" w:pos="2554" w:leader="none"/>
        </w:tabs>
        <w:spacing w:lineRule="auto" w:line="360" w:before="164" w:after="0"/>
        <w:contextualSpacing/>
        <w:jc w:val="both"/>
        <w:rPr>
          <w:sz w:val="24"/>
          <w:szCs w:val="24"/>
        </w:rPr>
      </w:pPr>
      <w:r>
        <w:rPr>
          <w:sz w:val="24"/>
          <w:szCs w:val="24"/>
        </w:rPr>
        <w:t xml:space="preserve">Pirkimo sutarties trukmė </w:t>
      </w:r>
      <w:r>
        <w:rPr>
          <w:color w:val="000009"/>
          <w:sz w:val="24"/>
          <w:szCs w:val="24"/>
        </w:rPr>
        <w:t xml:space="preserve">– </w:t>
      </w:r>
      <w:r>
        <w:rPr>
          <w:sz w:val="24"/>
          <w:szCs w:val="24"/>
        </w:rPr>
        <w:t>36 mėn. nuo sutarties įsigaliojimo datos.</w:t>
      </w:r>
    </w:p>
    <w:p>
      <w:pPr>
        <w:pStyle w:val="BodyText"/>
        <w:spacing w:lineRule="auto" w:line="360"/>
        <w:ind w:left="360"/>
        <w:rPr>
          <w:highlight w:val="yellow"/>
        </w:rPr>
      </w:pPr>
      <w:r>
        <w:rPr>
          <w:highlight w:val="yellow"/>
        </w:rPr>
      </w:r>
    </w:p>
    <w:p>
      <w:pPr>
        <w:pStyle w:val="BodyText"/>
        <w:numPr>
          <w:ilvl w:val="0"/>
          <w:numId w:val="5"/>
        </w:numPr>
        <w:jc w:val="center"/>
        <w:rPr>
          <w:b/>
          <w:bCs/>
        </w:rPr>
      </w:pPr>
      <w:r>
        <w:rPr>
          <w:b/>
          <w:bCs/>
        </w:rPr>
        <w:t>SKYRIUS</w:t>
      </w:r>
    </w:p>
    <w:p>
      <w:pPr>
        <w:pStyle w:val="BodyText"/>
        <w:ind w:left="720"/>
        <w:jc w:val="center"/>
        <w:rPr>
          <w:b/>
          <w:bCs/>
        </w:rPr>
      </w:pPr>
      <w:r>
        <w:rPr>
          <w:b/>
          <w:bCs/>
        </w:rPr>
        <w:t>PIRKIMO</w:t>
      </w:r>
      <w:r>
        <w:rPr>
          <w:b/>
          <w:bCs/>
          <w:spacing w:val="-1"/>
        </w:rPr>
        <w:t xml:space="preserve"> </w:t>
      </w:r>
      <w:r>
        <w:rPr>
          <w:b/>
          <w:bCs/>
          <w:spacing w:val="-2"/>
        </w:rPr>
        <w:t>OBJEKTAS</w:t>
      </w:r>
    </w:p>
    <w:p>
      <w:pPr>
        <w:pStyle w:val="BodyText"/>
        <w:numPr>
          <w:ilvl w:val="0"/>
          <w:numId w:val="4"/>
        </w:numPr>
        <w:spacing w:lineRule="auto" w:line="360" w:before="175" w:after="0"/>
        <w:rPr>
          <w:color w:val="000009"/>
        </w:rPr>
      </w:pPr>
      <w:r>
        <w:rPr>
          <w:b/>
          <w:bCs/>
          <w:color w:val="000009"/>
        </w:rPr>
        <w:t xml:space="preserve">Pirkimo objektas </w:t>
      </w:r>
      <w:r>
        <w:rPr>
          <w:color w:val="000009"/>
        </w:rPr>
        <w:t>– zvelkgiliau.lt tinklapio techninė priežiūra ir turinio plėtra, Google Ads. Interneto svetainės www.zvelkgiliau.lt (toliau – ŽG IS), veikiančios „WordPress“ platformoje, techninė priežiūra ir turinio plėtra, mokamų „Google Ads“ kampanijų planavimo, kūrimo ir administravimo paslaugos (toliau – Paslaugos). Paslaugos apima, bet neapsiriboja, ŽG IS techniniu vystymu ir palaikymu, pirmenybiniu pozicionavimu per „Google Ads“, mokamomis „Google Ads“ reklamos kūrimo ir administravimo paslaugomis.</w:t>
      </w:r>
    </w:p>
    <w:p>
      <w:pPr>
        <w:pStyle w:val="BodyText"/>
        <w:spacing w:lineRule="auto" w:line="360" w:before="175" w:after="0"/>
        <w:ind w:left="0"/>
        <w:rPr/>
      </w:pPr>
      <w:r>
        <w:rPr/>
      </w:r>
    </w:p>
    <w:p>
      <w:pPr>
        <w:pStyle w:val="BodyText"/>
        <w:numPr>
          <w:ilvl w:val="0"/>
          <w:numId w:val="5"/>
        </w:numPr>
        <w:jc w:val="center"/>
        <w:rPr>
          <w:b/>
          <w:bCs/>
        </w:rPr>
      </w:pPr>
      <w:r>
        <w:rPr>
          <w:b/>
          <w:bCs/>
        </w:rPr>
        <w:t>SKYRIUS</w:t>
      </w:r>
    </w:p>
    <w:p>
      <w:pPr>
        <w:pStyle w:val="BodyText"/>
        <w:ind w:left="720"/>
        <w:jc w:val="center"/>
        <w:rPr>
          <w:b/>
          <w:bCs/>
        </w:rPr>
      </w:pPr>
      <w:r>
        <w:rPr>
          <w:b/>
          <w:bCs/>
        </w:rPr>
        <w:t>REIKALAVIMAI</w:t>
      </w:r>
      <w:r>
        <w:rPr>
          <w:b/>
          <w:bCs/>
          <w:spacing w:val="1"/>
        </w:rPr>
        <w:t xml:space="preserve"> PASLAUGŲ TEIKIMUI</w:t>
      </w:r>
    </w:p>
    <w:p>
      <w:pPr>
        <w:pStyle w:val="Normal"/>
        <w:tabs>
          <w:tab w:val="clear" w:pos="720"/>
          <w:tab w:val="left" w:pos="2782" w:leader="none"/>
        </w:tabs>
        <w:spacing w:lineRule="auto" w:line="276"/>
        <w:rPr>
          <w:color w:val="000009"/>
          <w:sz w:val="24"/>
          <w:szCs w:val="24"/>
        </w:rPr>
      </w:pPr>
      <w:r>
        <w:rPr>
          <w:color w:val="000009"/>
          <w:sz w:val="24"/>
          <w:szCs w:val="24"/>
        </w:rPr>
      </w:r>
    </w:p>
    <w:p>
      <w:pPr>
        <w:pStyle w:val="ListParagraph"/>
        <w:numPr>
          <w:ilvl w:val="0"/>
          <w:numId w:val="4"/>
        </w:numPr>
        <w:tabs>
          <w:tab w:val="clear" w:pos="720"/>
          <w:tab w:val="left" w:pos="2782" w:leader="none"/>
        </w:tabs>
        <w:spacing w:lineRule="auto" w:line="360"/>
        <w:jc w:val="both"/>
        <w:rPr>
          <w:color w:val="000009"/>
          <w:sz w:val="24"/>
          <w:szCs w:val="24"/>
        </w:rPr>
      </w:pPr>
      <w:r>
        <w:rPr>
          <w:color w:val="000009"/>
          <w:sz w:val="24"/>
          <w:szCs w:val="24"/>
        </w:rPr>
        <w:t>Paslaugų teikėjas (toliau - Tiekėjas) kartu su PO atstovu ne vėliau nei per 30 dienų</w:t>
      </w:r>
      <w:r>
        <w:rPr>
          <w:color w:val="000009"/>
          <w:spacing w:val="40"/>
          <w:sz w:val="24"/>
          <w:szCs w:val="24"/>
        </w:rPr>
        <w:t xml:space="preserve"> </w:t>
      </w:r>
      <w:r>
        <w:rPr>
          <w:color w:val="000009"/>
          <w:sz w:val="24"/>
          <w:szCs w:val="24"/>
        </w:rPr>
        <w:t xml:space="preserve">nuo sutarties įsigaliojimo dienos suderina preliminarias Paslaugas, kurios apima, bet neapsiriboja, Paslaugų poreikio įsivertinimo lentelėje (1 priedas) numatytas Paslaugas. Paslaugos derinamos ir patvirtinamos abiejų šalių susitarimu per Tiekėjo ir PO paskirtus kontaktinius asmenis. Paslaugos bus įgyvendinamos skirtingais Paslaugų laikotarpiais. Prieš kiekvieno Paslaugų laikotarpio pradžią PO kontaktinis asmuo patvirtins Tiekėjui konkrečiai reikalingas įgyvendinti Paslaugas ir jų apimtį. </w:t>
      </w:r>
    </w:p>
    <w:p>
      <w:pPr>
        <w:pStyle w:val="ListParagraph"/>
        <w:numPr>
          <w:ilvl w:val="0"/>
          <w:numId w:val="4"/>
        </w:numPr>
        <w:tabs>
          <w:tab w:val="clear" w:pos="720"/>
          <w:tab w:val="left" w:pos="2782" w:leader="none"/>
        </w:tabs>
        <w:spacing w:lineRule="auto" w:line="360"/>
        <w:jc w:val="both"/>
        <w:rPr>
          <w:color w:val="000009"/>
          <w:sz w:val="24"/>
          <w:szCs w:val="24"/>
        </w:rPr>
      </w:pPr>
      <w:r>
        <w:rPr>
          <w:color w:val="000009"/>
          <w:sz w:val="24"/>
          <w:szCs w:val="24"/>
        </w:rPr>
        <w:t>Tiekėjas Paslaugas turi įgyvendinti efektyviai, produktyviai ir išvengti nepagrįsto Paslaugų suteikimui reikalingo valandų didinimo. Prieš pradedant naują Paslaugų laikotarpį Tiekėjas pateikia PO kontaktiniam asmeniui Paslaugų įgyvendinimo aprašą (toliau - Aprašas), įvertindamas laikotarpio siektiną Paslaugų rezultatą, apimtį, Paslaugoms įgyvendinti reikalingą valandų skaičių ir galimą valandų paklaidą.</w:t>
      </w:r>
    </w:p>
    <w:p>
      <w:pPr>
        <w:pStyle w:val="ListParagraph"/>
        <w:numPr>
          <w:ilvl w:val="0"/>
          <w:numId w:val="4"/>
        </w:numPr>
        <w:tabs>
          <w:tab w:val="clear" w:pos="720"/>
          <w:tab w:val="left" w:pos="2782" w:leader="none"/>
        </w:tabs>
        <w:spacing w:lineRule="auto" w:line="360"/>
        <w:jc w:val="both"/>
        <w:rPr>
          <w:color w:val="000009"/>
          <w:sz w:val="24"/>
          <w:szCs w:val="24"/>
        </w:rPr>
      </w:pPr>
      <w:r>
        <w:rPr>
          <w:color w:val="000009"/>
          <w:sz w:val="24"/>
          <w:szCs w:val="24"/>
        </w:rPr>
        <w:t>Tiekėjas privalo vykdyti Paslaugas pagal Aprašą, neviršydamas susiplanuoto paslaugai suteikti valandų skaičiaus ir pasiekdamas Apraše numatytus rezultatus. Nukrypus nuo Aprašo, Tiekėjas informuoja PO kontaktinį asmenį ir pateikia pagrįstą paaiškinimą, nurodydamas nukrypimo priežastis ir pasiūlymus dėl efektyvumo atkūrimo.</w:t>
      </w:r>
    </w:p>
    <w:p>
      <w:pPr>
        <w:pStyle w:val="ListParagraph"/>
        <w:numPr>
          <w:ilvl w:val="0"/>
          <w:numId w:val="4"/>
        </w:numPr>
        <w:tabs>
          <w:tab w:val="clear" w:pos="720"/>
          <w:tab w:val="left" w:pos="2782" w:leader="none"/>
        </w:tabs>
        <w:spacing w:lineRule="auto" w:line="360"/>
        <w:jc w:val="both"/>
        <w:rPr>
          <w:color w:val="000009"/>
          <w:sz w:val="24"/>
          <w:szCs w:val="24"/>
        </w:rPr>
      </w:pPr>
      <w:r>
        <w:rPr>
          <w:color w:val="000009"/>
          <w:sz w:val="24"/>
          <w:szCs w:val="24"/>
        </w:rPr>
        <w:t xml:space="preserve">Pasikartojus Paslaugų įgyvendinimo neefektyvumui, Aprašo nuostatų nesilaikymui ar nepagrįstam valandų didinimui, PO turi teisę reikalauti, kad Tiekėjas pakeistų specialistą ir pakoreguotų Paslaugų organizavimą. </w:t>
      </w:r>
    </w:p>
    <w:p>
      <w:pPr>
        <w:pStyle w:val="ListParagraph"/>
        <w:numPr>
          <w:ilvl w:val="0"/>
          <w:numId w:val="4"/>
        </w:numPr>
        <w:tabs>
          <w:tab w:val="clear" w:pos="720"/>
          <w:tab w:val="left" w:pos="2782" w:leader="none"/>
        </w:tabs>
        <w:spacing w:lineRule="auto" w:line="360"/>
        <w:jc w:val="both"/>
        <w:rPr>
          <w:color w:val="000009"/>
          <w:sz w:val="24"/>
          <w:szCs w:val="24"/>
        </w:rPr>
      </w:pPr>
      <w:r>
        <w:rPr>
          <w:color w:val="000009"/>
          <w:sz w:val="24"/>
          <w:szCs w:val="24"/>
        </w:rPr>
        <w:t>Tiekėjas savo iniciatyva negali vykdyti nesuderintų Paslaugų, išskyrus atvejus, kuomet Paslaugų įvykdymo poreikis yra skubus ir svarbus (pavyzdžiui esant kibernetinėms atakoms, pasibaigus saugumo sertifikatui ir pan.).</w:t>
      </w:r>
    </w:p>
    <w:p>
      <w:pPr>
        <w:pStyle w:val="ListParagraph"/>
        <w:numPr>
          <w:ilvl w:val="0"/>
          <w:numId w:val="4"/>
        </w:numPr>
        <w:tabs>
          <w:tab w:val="clear" w:pos="720"/>
          <w:tab w:val="left" w:pos="2782" w:leader="none"/>
        </w:tabs>
        <w:spacing w:lineRule="auto" w:line="360"/>
        <w:jc w:val="both"/>
        <w:rPr>
          <w:color w:val="000009"/>
          <w:sz w:val="24"/>
          <w:szCs w:val="24"/>
        </w:rPr>
      </w:pPr>
      <w:r>
        <w:rPr>
          <w:color w:val="000009"/>
          <w:sz w:val="24"/>
          <w:szCs w:val="24"/>
        </w:rPr>
        <w:t>PO paprašius, Tiekėjas turi pateikti atliktų Paslaugų valandų apskaitą su konkrečiai nurodytomis atliktomis Paslaugomis.</w:t>
      </w:r>
    </w:p>
    <w:p>
      <w:pPr>
        <w:pStyle w:val="ListParagraph"/>
        <w:numPr>
          <w:ilvl w:val="0"/>
          <w:numId w:val="4"/>
        </w:numPr>
        <w:tabs>
          <w:tab w:val="clear" w:pos="720"/>
          <w:tab w:val="left" w:pos="2782" w:leader="none"/>
        </w:tabs>
        <w:spacing w:lineRule="auto" w:line="360"/>
        <w:jc w:val="both"/>
        <w:rPr>
          <w:color w:val="000009"/>
          <w:sz w:val="24"/>
          <w:szCs w:val="24"/>
        </w:rPr>
      </w:pPr>
      <w:r>
        <w:rPr>
          <w:color w:val="000009"/>
          <w:sz w:val="24"/>
          <w:szCs w:val="24"/>
        </w:rPr>
        <w:t>Klaidų, atsiradusių dėl Tiekėjo veiksmų, taisymas nėra apmokamas.</w:t>
      </w:r>
    </w:p>
    <w:p>
      <w:pPr>
        <w:pStyle w:val="ListParagraph"/>
        <w:numPr>
          <w:ilvl w:val="0"/>
          <w:numId w:val="4"/>
        </w:numPr>
        <w:tabs>
          <w:tab w:val="clear" w:pos="720"/>
          <w:tab w:val="left" w:pos="2782" w:leader="none"/>
        </w:tabs>
        <w:spacing w:lineRule="auto" w:line="360"/>
        <w:jc w:val="both"/>
        <w:rPr>
          <w:color w:val="000009"/>
          <w:sz w:val="24"/>
          <w:szCs w:val="24"/>
        </w:rPr>
      </w:pPr>
      <w:r>
        <w:rPr>
          <w:color w:val="000009"/>
          <w:sz w:val="24"/>
          <w:szCs w:val="24"/>
        </w:rPr>
        <w:t xml:space="preserve">Atnaujindamas ŽG IS vartotojo patirties kelią (angl. </w:t>
      </w:r>
      <w:r>
        <w:rPr>
          <w:i/>
          <w:iCs/>
          <w:color w:val="000009"/>
          <w:sz w:val="24"/>
          <w:szCs w:val="24"/>
        </w:rPr>
        <w:t>user experience</w:t>
      </w:r>
      <w:r>
        <w:rPr>
          <w:color w:val="000009"/>
          <w:sz w:val="24"/>
          <w:szCs w:val="24"/>
        </w:rPr>
        <w:t>), Tiekėjas turi pasitelkti (prireikus, PO gali nukreipti į organizacijas) bent du savanoriškai veikiančius asmenis, turinčius psichikos sveikatos sunkumų ir pagal grįžtamąjį ryšį, suderinus su PO, iš viso įgyvendinti bent du vartotojo patirties patobulinimus. Šis punktas turi būti įgyvendintas per du mėnesius nuo sutarties įsigaliojimo dienos.</w:t>
      </w:r>
    </w:p>
    <w:p>
      <w:pPr>
        <w:pStyle w:val="ListParagraph"/>
        <w:numPr>
          <w:ilvl w:val="0"/>
          <w:numId w:val="4"/>
        </w:numPr>
        <w:tabs>
          <w:tab w:val="clear" w:pos="720"/>
          <w:tab w:val="left" w:pos="2782" w:leader="none"/>
        </w:tabs>
        <w:spacing w:lineRule="auto" w:line="360"/>
        <w:jc w:val="both"/>
        <w:rPr>
          <w:sz w:val="24"/>
          <w:szCs w:val="24"/>
        </w:rPr>
      </w:pPr>
      <w:r>
        <w:rPr>
          <w:color w:themeColor="text1" w:val="000000"/>
          <w:sz w:val="24"/>
          <w:szCs w:val="24"/>
        </w:rPr>
        <w:t xml:space="preserve">Tiekėjas, pateikdamas ŽG IS atnaujinimo siūlymus, vadovaujasi gerosiomis ir moderniomis į vartotoją orientuoto dizaino praktikomis (angl. </w:t>
      </w:r>
      <w:r>
        <w:rPr>
          <w:i/>
          <w:iCs/>
          <w:color w:themeColor="text1" w:val="000000"/>
          <w:sz w:val="24"/>
          <w:szCs w:val="24"/>
        </w:rPr>
        <w:t xml:space="preserve">user experience </w:t>
      </w:r>
      <w:r>
        <w:rPr>
          <w:color w:themeColor="text1" w:val="000000"/>
          <w:sz w:val="24"/>
          <w:szCs w:val="24"/>
        </w:rPr>
        <w:t xml:space="preserve">ir </w:t>
      </w:r>
      <w:r>
        <w:rPr>
          <w:i/>
          <w:iCs/>
          <w:color w:themeColor="text1" w:val="000000"/>
          <w:sz w:val="24"/>
          <w:szCs w:val="24"/>
        </w:rPr>
        <w:t>user interface)</w:t>
      </w:r>
      <w:r>
        <w:rPr>
          <w:color w:themeColor="text1" w:val="000000"/>
          <w:sz w:val="24"/>
          <w:szCs w:val="24"/>
        </w:rPr>
        <w:t>.</w:t>
      </w:r>
    </w:p>
    <w:p>
      <w:pPr>
        <w:pStyle w:val="ListParagraph"/>
        <w:numPr>
          <w:ilvl w:val="0"/>
          <w:numId w:val="4"/>
        </w:numPr>
        <w:tabs>
          <w:tab w:val="clear" w:pos="720"/>
          <w:tab w:val="left" w:pos="2782" w:leader="none"/>
        </w:tabs>
        <w:spacing w:lineRule="auto" w:line="360"/>
        <w:jc w:val="both"/>
        <w:rPr>
          <w:color w:themeColor="text1" w:val="000000"/>
          <w:sz w:val="24"/>
          <w:szCs w:val="24"/>
        </w:rPr>
      </w:pPr>
      <w:r>
        <w:rPr>
          <w:color w:themeColor="text1" w:val="000000"/>
          <w:sz w:val="24"/>
          <w:szCs w:val="24"/>
        </w:rPr>
        <w:t>ŽG IS dizainas turi atitikti PO pateiktą zvelkgiliau.lt stiliaus knygą (angl</w:t>
      </w:r>
      <w:r>
        <w:rPr>
          <w:i/>
          <w:iCs/>
          <w:color w:themeColor="text1" w:val="000000"/>
          <w:sz w:val="24"/>
          <w:szCs w:val="24"/>
        </w:rPr>
        <w:t>. brandbook</w:t>
      </w:r>
      <w:r>
        <w:rPr>
          <w:color w:themeColor="text1" w:val="000000"/>
          <w:sz w:val="24"/>
          <w:szCs w:val="24"/>
        </w:rPr>
        <w:t>).</w:t>
      </w:r>
    </w:p>
    <w:p>
      <w:pPr>
        <w:pStyle w:val="ListParagraph"/>
        <w:numPr>
          <w:ilvl w:val="0"/>
          <w:numId w:val="4"/>
        </w:numPr>
        <w:tabs>
          <w:tab w:val="clear" w:pos="720"/>
          <w:tab w:val="left" w:pos="2782" w:leader="none"/>
        </w:tabs>
        <w:spacing w:lineRule="auto" w:line="360"/>
        <w:jc w:val="both"/>
        <w:rPr>
          <w:color w:themeColor="text1" w:val="000000"/>
          <w:sz w:val="24"/>
          <w:szCs w:val="24"/>
        </w:rPr>
      </w:pPr>
      <w:r>
        <w:rPr>
          <w:color w:themeColor="text1" w:val="000000"/>
          <w:sz w:val="24"/>
          <w:szCs w:val="24"/>
        </w:rPr>
        <w:t>„</w:t>
      </w:r>
      <w:r>
        <w:rPr>
          <w:color w:themeColor="text1" w:val="000000"/>
          <w:sz w:val="24"/>
          <w:szCs w:val="24"/>
        </w:rPr>
        <w:t>Google Ads“ reklamos kaštai yra įskaičiuoti į sutarties vertę. Šiais kaštais taip pat dengiamas:</w:t>
      </w:r>
    </w:p>
    <w:p>
      <w:pPr>
        <w:pStyle w:val="ListParagraph"/>
        <w:numPr>
          <w:ilvl w:val="1"/>
          <w:numId w:val="4"/>
        </w:numPr>
        <w:tabs>
          <w:tab w:val="clear" w:pos="720"/>
          <w:tab w:val="left" w:pos="2782" w:leader="none"/>
        </w:tabs>
        <w:spacing w:lineRule="auto" w:line="360"/>
        <w:jc w:val="both"/>
        <w:rPr>
          <w:color w:themeColor="text1" w:val="000000"/>
          <w:sz w:val="24"/>
          <w:szCs w:val="24"/>
        </w:rPr>
      </w:pPr>
      <w:r>
        <w:rPr>
          <w:color w:themeColor="text1" w:val="000000"/>
          <w:sz w:val="24"/>
          <w:szCs w:val="24"/>
        </w:rPr>
        <w:t>reklamos kampanijos (skelbimų) kūrimas (tekstai ir, jei taikoma, vizualiniai elementai);</w:t>
      </w:r>
    </w:p>
    <w:p>
      <w:pPr>
        <w:pStyle w:val="ListParagraph"/>
        <w:numPr>
          <w:ilvl w:val="1"/>
          <w:numId w:val="4"/>
        </w:numPr>
        <w:tabs>
          <w:tab w:val="clear" w:pos="720"/>
          <w:tab w:val="left" w:pos="2782" w:leader="none"/>
        </w:tabs>
        <w:spacing w:lineRule="auto" w:line="360"/>
        <w:jc w:val="both"/>
        <w:rPr>
          <w:sz w:val="24"/>
          <w:szCs w:val="24"/>
        </w:rPr>
      </w:pPr>
      <w:r>
        <w:rPr>
          <w:color w:themeColor="text1" w:val="000000"/>
          <w:sz w:val="24"/>
          <w:szCs w:val="24"/>
        </w:rPr>
        <w:t>mokamos reklamos (kampanijų) pirkimas „Google Ads“ platformoje;</w:t>
      </w:r>
    </w:p>
    <w:p>
      <w:pPr>
        <w:pStyle w:val="ListParagraph"/>
        <w:numPr>
          <w:ilvl w:val="1"/>
          <w:numId w:val="4"/>
        </w:numPr>
        <w:tabs>
          <w:tab w:val="clear" w:pos="720"/>
          <w:tab w:val="left" w:pos="2782" w:leader="none"/>
        </w:tabs>
        <w:spacing w:lineRule="auto" w:line="360"/>
        <w:jc w:val="both"/>
        <w:rPr>
          <w:color w:themeColor="text1" w:val="000000"/>
          <w:sz w:val="24"/>
          <w:szCs w:val="24"/>
        </w:rPr>
      </w:pPr>
      <w:r>
        <w:rPr>
          <w:color w:themeColor="text1" w:val="000000"/>
          <w:sz w:val="24"/>
          <w:szCs w:val="24"/>
        </w:rPr>
        <w:t>kampanijų administravimas, pagrindinių rodiklių stebėsena, kampanijų optimizavimas.</w:t>
      </w:r>
    </w:p>
    <w:p>
      <w:pPr>
        <w:pStyle w:val="ListParagraph"/>
        <w:numPr>
          <w:ilvl w:val="0"/>
          <w:numId w:val="4"/>
        </w:numPr>
        <w:tabs>
          <w:tab w:val="clear" w:pos="720"/>
          <w:tab w:val="left" w:pos="2782" w:leader="none"/>
        </w:tabs>
        <w:spacing w:lineRule="auto" w:line="360"/>
        <w:jc w:val="both"/>
        <w:rPr>
          <w:color w:themeColor="text1" w:val="000000"/>
          <w:sz w:val="24"/>
          <w:szCs w:val="24"/>
        </w:rPr>
      </w:pPr>
      <w:r>
        <w:rPr>
          <w:color w:themeColor="text1" w:val="000000"/>
          <w:sz w:val="24"/>
          <w:szCs w:val="24"/>
        </w:rPr>
        <w:t>Tiekėjas be PO raštiško patvirtinimo negali viršyti nustatyto reklamos biudžeto. PO paprašius, Tiekėjas sutartu pateikia mokamos reklamos išlaidų išklotinę.</w:t>
      </w:r>
    </w:p>
    <w:p>
      <w:pPr>
        <w:pStyle w:val="Normal"/>
        <w:numPr>
          <w:ilvl w:val="0"/>
          <w:numId w:val="4"/>
        </w:numPr>
        <w:tabs>
          <w:tab w:val="clear" w:pos="720"/>
          <w:tab w:val="left" w:pos="2782" w:leader="none"/>
        </w:tabs>
        <w:spacing w:lineRule="auto" w:line="360"/>
        <w:jc w:val="both"/>
        <w:rPr>
          <w:color w:themeColor="text1" w:val="000000"/>
          <w:sz w:val="24"/>
          <w:szCs w:val="24"/>
        </w:rPr>
      </w:pPr>
      <w:r>
        <w:rPr>
          <w:color w:themeColor="text1" w:val="000000"/>
          <w:sz w:val="24"/>
          <w:szCs w:val="24"/>
        </w:rPr>
        <w:t>Tiekėjas privalo užtikrinti, kad viso sutarties galiojimo metu paskirti specialistai skirs pakankamai darbo valandų ir kitus reikiamus išteklius Paslaugoms įgyvendinti, užtikrinant jų nepertraukiamą, savalaikį ir kokybišką vykdymą.</w:t>
      </w:r>
    </w:p>
    <w:p>
      <w:pPr>
        <w:pStyle w:val="ListParagraph"/>
        <w:numPr>
          <w:ilvl w:val="0"/>
          <w:numId w:val="4"/>
        </w:numPr>
        <w:tabs>
          <w:tab w:val="clear" w:pos="720"/>
          <w:tab w:val="left" w:pos="2782" w:leader="none"/>
        </w:tabs>
        <w:spacing w:lineRule="auto" w:line="360"/>
        <w:jc w:val="both"/>
        <w:rPr>
          <w:sz w:val="24"/>
          <w:szCs w:val="24"/>
        </w:rPr>
      </w:pPr>
      <w:r>
        <w:rPr>
          <w:color w:themeColor="text1" w:val="000000"/>
          <w:sz w:val="24"/>
          <w:szCs w:val="24"/>
        </w:rPr>
        <w:t xml:space="preserve">Tiekėjas parengia ir perduoda PO šias ataskaitas: „Google Analytics 4“ (svetainės lankomumas ir elgsena) ne rečiau kaip kartą kas ketvirtį ir „Google Ads“ (kampanijų veikla) ataskaitas suderintu periodiškumu pagal vydomas reklamines kampanijas. Į „Google Ads“ ataskaitas įtraukiami pagrindiniai našumo rodikliai ir trumpas pakeitimų žurnalas (angl. </w:t>
      </w:r>
      <w:r>
        <w:rPr>
          <w:i/>
          <w:iCs/>
          <w:color w:themeColor="text1" w:val="000000"/>
          <w:sz w:val="24"/>
          <w:szCs w:val="24"/>
        </w:rPr>
        <w:t>changelog</w:t>
      </w:r>
      <w:r>
        <w:rPr>
          <w:color w:themeColor="text1" w:val="000000"/>
          <w:sz w:val="24"/>
          <w:szCs w:val="24"/>
        </w:rPr>
        <w:t>). Trumpas pakeitimų žurnalas – tai glausta lentelė (ar priedas), kuri fiksuoja visus reikšmingus pakeitimus, galinčius paveikti rodiklius ataskaitiniu laikotarpiu. Vertinamų rodiklių sąrašas ir pateikimo terminai derinami el. paštu prieš ataskaitinį laikotarpį ir gali būti koreguojami PO nurodymu; ataskaitų parengimo kaštai įskaičiuoti į Tiekėjo pasiūlytą valandinį įkainį ir papildomai neapmokami.</w:t>
      </w:r>
    </w:p>
    <w:p>
      <w:pPr>
        <w:pStyle w:val="ListParagraph"/>
        <w:numPr>
          <w:ilvl w:val="0"/>
          <w:numId w:val="4"/>
        </w:numPr>
        <w:tabs>
          <w:tab w:val="clear" w:pos="720"/>
          <w:tab w:val="left" w:pos="2782" w:leader="none"/>
        </w:tabs>
        <w:spacing w:lineRule="auto" w:line="360"/>
        <w:jc w:val="both"/>
        <w:rPr>
          <w:sz w:val="24"/>
          <w:szCs w:val="24"/>
        </w:rPr>
      </w:pPr>
      <w:r>
        <w:rPr>
          <w:color w:val="00000A"/>
          <w:sz w:val="24"/>
          <w:szCs w:val="24"/>
        </w:rPr>
        <w:t>Visa Tiekėjo pateikiama medžiaga turi būti pažymėta Europos Sąjungos projekto informacija ir logotipu. Tai apima, bet neapsiriboja, anketomis, ataskaitomis bei kita vizualiai pateikiama medžiaga. Logotipas turi būti aiškiai matomas ir naudojamas pagal nustatytus vizualinės tapatybės reikalavimus.</w:t>
      </w:r>
    </w:p>
    <w:p>
      <w:pPr>
        <w:pStyle w:val="ListParagraph"/>
        <w:numPr>
          <w:ilvl w:val="0"/>
          <w:numId w:val="4"/>
        </w:numPr>
        <w:tabs>
          <w:tab w:val="clear" w:pos="720"/>
          <w:tab w:val="left" w:pos="2782" w:leader="none"/>
        </w:tabs>
        <w:spacing w:lineRule="auto" w:line="360"/>
        <w:jc w:val="both"/>
        <w:rPr>
          <w:color w:val="00000A"/>
          <w:sz w:val="24"/>
          <w:szCs w:val="24"/>
        </w:rPr>
      </w:pPr>
      <w:r>
        <w:rPr>
          <w:color w:val="00000A"/>
          <w:sz w:val="24"/>
          <w:szCs w:val="24"/>
        </w:rPr>
        <w:t>Tiekėjas privalo užtikrinti, kad paslaugų teikimo metu naudojama ŽG IS būtų apsaugota galiojančiu SSL (Secure Sockets Layer) sertifikatu, kuris garantuoja saugų duomenų perdavimą. Sertifikatas turi būti aktyvus visą paslaugų teikimo laikotarpį.</w:t>
      </w:r>
    </w:p>
    <w:p>
      <w:pPr>
        <w:pStyle w:val="ListParagraph"/>
        <w:tabs>
          <w:tab w:val="clear" w:pos="720"/>
          <w:tab w:val="left" w:pos="1710" w:leader="none"/>
        </w:tabs>
        <w:spacing w:lineRule="auto" w:line="360"/>
        <w:ind w:hanging="360" w:left="720"/>
        <w:jc w:val="both"/>
        <w:rPr>
          <w:color w:themeColor="text1" w:val="000000"/>
          <w:sz w:val="24"/>
          <w:szCs w:val="24"/>
        </w:rPr>
      </w:pPr>
      <w:r>
        <w:rPr>
          <w:color w:themeColor="text1" w:val="000000"/>
          <w:sz w:val="24"/>
          <w:szCs w:val="24"/>
        </w:rPr>
      </w:r>
    </w:p>
    <w:p>
      <w:pPr>
        <w:pStyle w:val="BodyText"/>
        <w:numPr>
          <w:ilvl w:val="0"/>
          <w:numId w:val="5"/>
        </w:numPr>
        <w:spacing w:lineRule="auto" w:line="360"/>
        <w:jc w:val="center"/>
        <w:rPr>
          <w:b/>
          <w:bCs/>
        </w:rPr>
      </w:pPr>
      <w:r>
        <w:rPr>
          <w:b/>
          <w:bCs/>
        </w:rPr>
        <w:t>SKYRIUS</w:t>
      </w:r>
    </w:p>
    <w:p>
      <w:pPr>
        <w:pStyle w:val="BodyText"/>
        <w:spacing w:lineRule="auto" w:line="360" w:before="120" w:after="0"/>
        <w:ind w:left="0"/>
        <w:jc w:val="center"/>
        <w:rPr>
          <w:b/>
          <w:bCs/>
        </w:rPr>
      </w:pPr>
      <w:r>
        <w:rPr>
          <w:b/>
          <w:bCs/>
          <w:color w:themeColor="text1" w:val="000000"/>
        </w:rPr>
        <w:t>BENDRIEJI REIKALAVIMAI</w:t>
      </w:r>
    </w:p>
    <w:p>
      <w:pPr>
        <w:pStyle w:val="ListParagraph"/>
        <w:numPr>
          <w:ilvl w:val="0"/>
          <w:numId w:val="4"/>
        </w:numPr>
        <w:tabs>
          <w:tab w:val="clear" w:pos="720"/>
          <w:tab w:val="left" w:pos="2782" w:leader="none"/>
        </w:tabs>
        <w:spacing w:lineRule="auto" w:line="360"/>
        <w:jc w:val="both"/>
        <w:rPr>
          <w:sz w:val="24"/>
          <w:szCs w:val="24"/>
        </w:rPr>
      </w:pPr>
      <w:r>
        <w:rPr>
          <w:sz w:val="24"/>
          <w:szCs w:val="24"/>
        </w:rPr>
        <w:t>Tiekėjas įsipareigoja skirti kontaktinį asmenį, su kuriuo būtų derinami su pirkimu susiję klausimai.</w:t>
      </w:r>
    </w:p>
    <w:p>
      <w:pPr>
        <w:pStyle w:val="ListParagraph"/>
        <w:numPr>
          <w:ilvl w:val="0"/>
          <w:numId w:val="4"/>
        </w:numPr>
        <w:tabs>
          <w:tab w:val="clear" w:pos="720"/>
          <w:tab w:val="left" w:pos="2782" w:leader="none"/>
        </w:tabs>
        <w:spacing w:lineRule="auto" w:line="360"/>
        <w:jc w:val="both"/>
        <w:rPr>
          <w:sz w:val="24"/>
          <w:szCs w:val="24"/>
        </w:rPr>
      </w:pPr>
      <w:r>
        <w:rPr>
          <w:sz w:val="24"/>
          <w:szCs w:val="24"/>
        </w:rPr>
        <w:t>PO Tiekėjui apmoka tik už faktiškai suteiktų Paslaugų kiekį. PO neįsipareigoja išpirkti viso Paslaugų paketo.</w:t>
      </w:r>
    </w:p>
    <w:p>
      <w:pPr>
        <w:pStyle w:val="Normal"/>
        <w:numPr>
          <w:ilvl w:val="0"/>
          <w:numId w:val="4"/>
        </w:numPr>
        <w:tabs>
          <w:tab w:val="clear" w:pos="720"/>
          <w:tab w:val="left" w:pos="2782" w:leader="none"/>
        </w:tabs>
        <w:spacing w:lineRule="auto" w:line="360"/>
        <w:jc w:val="both"/>
        <w:rPr>
          <w:sz w:val="24"/>
          <w:szCs w:val="24"/>
        </w:rPr>
      </w:pPr>
      <w:r>
        <w:rPr>
          <w:sz w:val="24"/>
          <w:szCs w:val="24"/>
        </w:rPr>
        <w:t>Apmokėjimas vykdomas pagal PO ir Tiekėjo kontaktinių asmenų raštu suderintą Paslaugų Aprašą ir PO patvirtintą faktiškai sunaudotų valandų suvestinę. Paslaugos laikomos priimtomis pasirašius Paslaugų priėmimo–perdavimo aktą (toliau – PPA); po to, kai Tiekėjas pasirašo PPA, Tiekėjas pateikia sąskaitą faktūrą per sąskaitų administravimo sistemą SABIS, PO sąskaitą apmoka per Sutartyje nustatytą terminą.</w:t>
      </w:r>
    </w:p>
    <w:p>
      <w:pPr>
        <w:pStyle w:val="ListParagraph"/>
        <w:numPr>
          <w:ilvl w:val="0"/>
          <w:numId w:val="4"/>
        </w:numPr>
        <w:tabs>
          <w:tab w:val="clear" w:pos="720"/>
          <w:tab w:val="left" w:pos="2782" w:leader="none"/>
        </w:tabs>
        <w:spacing w:lineRule="auto" w:line="360"/>
        <w:jc w:val="both"/>
        <w:rPr>
          <w:sz w:val="24"/>
          <w:szCs w:val="24"/>
        </w:rPr>
      </w:pPr>
      <w:r>
        <w:rPr>
          <w:sz w:val="24"/>
          <w:szCs w:val="24"/>
        </w:rPr>
        <w:t>Sutarties vykdymo metu Paslaugos gali būti tikslinamos elektroniniu paštu abiejų šalių susitarimu arba PO iniciatyva.</w:t>
      </w:r>
    </w:p>
    <w:p>
      <w:pPr>
        <w:pStyle w:val="ListParagraph"/>
        <w:tabs>
          <w:tab w:val="clear" w:pos="720"/>
          <w:tab w:val="left" w:pos="2782" w:leader="none"/>
        </w:tabs>
        <w:spacing w:lineRule="auto" w:line="360"/>
        <w:ind w:left="360"/>
        <w:jc w:val="both"/>
        <w:rPr>
          <w:sz w:val="24"/>
          <w:szCs w:val="24"/>
        </w:rPr>
      </w:pPr>
      <w:r>
        <w:rPr>
          <w:sz w:val="24"/>
          <w:szCs w:val="24"/>
        </w:rPr>
      </w:r>
    </w:p>
    <w:p>
      <w:pPr>
        <w:pStyle w:val="ListParagraph"/>
        <w:tabs>
          <w:tab w:val="clear" w:pos="720"/>
          <w:tab w:val="left" w:pos="2782" w:leader="none"/>
        </w:tabs>
        <w:spacing w:lineRule="auto" w:line="360"/>
        <w:ind w:left="360"/>
        <w:jc w:val="both"/>
        <w:rPr>
          <w:sz w:val="24"/>
          <w:szCs w:val="24"/>
        </w:rPr>
      </w:pPr>
      <w:r>
        <w:rPr>
          <w:sz w:val="24"/>
          <w:szCs w:val="24"/>
        </w:rPr>
      </w:r>
    </w:p>
    <w:p>
      <w:pPr>
        <w:pStyle w:val="BodyText"/>
        <w:spacing w:lineRule="auto" w:line="360"/>
        <w:ind w:left="720"/>
        <w:jc w:val="center"/>
        <w:rPr>
          <w:b/>
          <w:bCs/>
        </w:rPr>
      </w:pPr>
      <w:r>
        <w:rPr>
          <w:b/>
          <w:bCs/>
        </w:rPr>
      </w:r>
    </w:p>
    <w:p>
      <w:pPr>
        <w:pStyle w:val="BodyText"/>
        <w:numPr>
          <w:ilvl w:val="0"/>
          <w:numId w:val="5"/>
        </w:numPr>
        <w:spacing w:lineRule="auto" w:line="360"/>
        <w:jc w:val="center"/>
        <w:rPr>
          <w:b/>
          <w:bCs/>
        </w:rPr>
      </w:pPr>
      <w:r>
        <w:rPr>
          <w:b/>
          <w:bCs/>
        </w:rPr>
        <w:t>SKYRIUS</w:t>
      </w:r>
    </w:p>
    <w:p>
      <w:pPr>
        <w:pStyle w:val="BodyText"/>
        <w:spacing w:lineRule="auto" w:line="360" w:before="0" w:after="120"/>
        <w:ind w:left="720"/>
        <w:jc w:val="center"/>
        <w:rPr>
          <w:b/>
          <w:bCs/>
        </w:rPr>
      </w:pPr>
      <w:r>
        <w:rPr>
          <w:b/>
          <w:bCs/>
        </w:rPr>
        <w:t xml:space="preserve">MINIMALŪS APLINKOS APSAUGOS KRITERIJAI, KURIE </w:t>
      </w:r>
      <w:r>
        <w:rPr>
          <w:b/>
          <w:bCs/>
          <w:spacing w:val="-4"/>
        </w:rPr>
        <w:t xml:space="preserve">TAIKOMI </w:t>
      </w:r>
      <w:r>
        <w:rPr>
          <w:b/>
          <w:bCs/>
        </w:rPr>
        <w:t>PASLAUGOMS</w:t>
      </w:r>
    </w:p>
    <w:p>
      <w:pPr>
        <w:pStyle w:val="ListParagraph"/>
        <w:numPr>
          <w:ilvl w:val="0"/>
          <w:numId w:val="4"/>
        </w:numPr>
        <w:tabs>
          <w:tab w:val="clear" w:pos="720"/>
          <w:tab w:val="left" w:pos="2782" w:leader="none"/>
        </w:tabs>
        <w:spacing w:lineRule="auto" w:line="360"/>
        <w:jc w:val="both"/>
        <w:rPr>
          <w:sz w:val="24"/>
          <w:szCs w:val="24"/>
        </w:rPr>
      </w:pPr>
      <w:r>
        <w:rPr>
          <w:sz w:val="24"/>
          <w:szCs w:val="24"/>
        </w:rPr>
        <w:t>Vadovaujantis Aplinkos apsaugos kriterijų taikymo, vykdant žaliuosius pirkimus, tvarkos aprašo, patvirtinto Lietuvos Respublikos aplinkos ministro 2011 m. birželio 28 d. įsakymu Nr. D1-508 ,,Dėl</w:t>
      </w:r>
      <w:r>
        <w:rPr>
          <w:spacing w:val="-4"/>
          <w:sz w:val="24"/>
          <w:szCs w:val="24"/>
        </w:rPr>
        <w:t xml:space="preserve"> </w:t>
      </w:r>
      <w:r>
        <w:rPr>
          <w:sz w:val="24"/>
          <w:szCs w:val="24"/>
        </w:rPr>
        <w:t>Aplinkos apsaugos kriterijų taikymo, vykdant žaliuosius pirkimus, tvarkos aprašo patvirtinimo“,</w:t>
      </w:r>
      <w:r>
        <w:rPr>
          <w:spacing w:val="14"/>
          <w:sz w:val="24"/>
          <w:szCs w:val="24"/>
        </w:rPr>
        <w:t xml:space="preserve"> </w:t>
      </w:r>
      <w:r>
        <w:rPr>
          <w:sz w:val="24"/>
          <w:szCs w:val="24"/>
        </w:rPr>
        <w:t>4</w:t>
      </w:r>
      <w:r>
        <w:rPr>
          <w:spacing w:val="14"/>
          <w:sz w:val="24"/>
          <w:szCs w:val="24"/>
        </w:rPr>
        <w:t xml:space="preserve"> </w:t>
      </w:r>
      <w:r>
        <w:rPr>
          <w:sz w:val="24"/>
          <w:szCs w:val="24"/>
        </w:rPr>
        <w:t>punktu,</w:t>
      </w:r>
      <w:r>
        <w:rPr>
          <w:spacing w:val="11"/>
          <w:sz w:val="24"/>
          <w:szCs w:val="24"/>
        </w:rPr>
        <w:t xml:space="preserve"> </w:t>
      </w:r>
      <w:r>
        <w:rPr>
          <w:sz w:val="24"/>
          <w:szCs w:val="24"/>
        </w:rPr>
        <w:t>Pirkimas</w:t>
      </w:r>
      <w:r>
        <w:rPr>
          <w:spacing w:val="14"/>
          <w:sz w:val="24"/>
          <w:szCs w:val="24"/>
        </w:rPr>
        <w:t xml:space="preserve"> </w:t>
      </w:r>
      <w:r>
        <w:rPr>
          <w:sz w:val="24"/>
          <w:szCs w:val="24"/>
        </w:rPr>
        <w:t>laikomas</w:t>
      </w:r>
      <w:r>
        <w:rPr>
          <w:spacing w:val="15"/>
          <w:sz w:val="24"/>
          <w:szCs w:val="24"/>
        </w:rPr>
        <w:t xml:space="preserve"> </w:t>
      </w:r>
      <w:r>
        <w:rPr>
          <w:sz w:val="24"/>
          <w:szCs w:val="24"/>
        </w:rPr>
        <w:t>žaliuoju,</w:t>
      </w:r>
      <w:r>
        <w:rPr>
          <w:spacing w:val="15"/>
          <w:sz w:val="24"/>
          <w:szCs w:val="24"/>
        </w:rPr>
        <w:t xml:space="preserve"> </w:t>
      </w:r>
      <w:r>
        <w:rPr>
          <w:sz w:val="24"/>
          <w:szCs w:val="24"/>
        </w:rPr>
        <w:t>nes</w:t>
      </w:r>
      <w:r>
        <w:rPr>
          <w:spacing w:val="15"/>
          <w:sz w:val="24"/>
          <w:szCs w:val="24"/>
        </w:rPr>
        <w:t xml:space="preserve"> </w:t>
      </w:r>
      <w:r>
        <w:rPr>
          <w:sz w:val="24"/>
          <w:szCs w:val="24"/>
        </w:rPr>
        <w:t>tenkina</w:t>
      </w:r>
      <w:r>
        <w:rPr>
          <w:spacing w:val="14"/>
          <w:sz w:val="24"/>
          <w:szCs w:val="24"/>
        </w:rPr>
        <w:t xml:space="preserve"> </w:t>
      </w:r>
      <w:r>
        <w:rPr>
          <w:sz w:val="24"/>
          <w:szCs w:val="24"/>
        </w:rPr>
        <w:t>4.4.3</w:t>
      </w:r>
      <w:r>
        <w:rPr>
          <w:spacing w:val="15"/>
          <w:sz w:val="24"/>
          <w:szCs w:val="24"/>
        </w:rPr>
        <w:t xml:space="preserve"> </w:t>
      </w:r>
      <w:r>
        <w:rPr>
          <w:sz w:val="24"/>
          <w:szCs w:val="24"/>
        </w:rPr>
        <w:t>papunktyje</w:t>
      </w:r>
      <w:r>
        <w:rPr>
          <w:spacing w:val="13"/>
          <w:sz w:val="24"/>
          <w:szCs w:val="24"/>
        </w:rPr>
        <w:t xml:space="preserve"> </w:t>
      </w:r>
      <w:r>
        <w:rPr>
          <w:sz w:val="24"/>
          <w:szCs w:val="24"/>
        </w:rPr>
        <w:t>nustatytą</w:t>
      </w:r>
      <w:r>
        <w:rPr>
          <w:spacing w:val="14"/>
          <w:sz w:val="24"/>
          <w:szCs w:val="24"/>
        </w:rPr>
        <w:t xml:space="preserve"> </w:t>
      </w:r>
      <w:r>
        <w:rPr>
          <w:spacing w:val="-2"/>
          <w:sz w:val="24"/>
          <w:szCs w:val="24"/>
        </w:rPr>
        <w:t>sąlygą</w:t>
      </w:r>
      <w:r>
        <w:rPr>
          <w:sz w:val="24"/>
          <w:szCs w:val="24"/>
        </w:rPr>
        <w:t>, t. y., perkama tik nematerialaus pobūdžio (intelektinė) paslauga, nesusijusi su materialaus objekto sukūrimu, kurios teikimo metu nėra numatomas reikšmingas neigiamas poveikis aplinkai, nesukuriamas taršos šaltinis ir negeneruojamos atliekos. Papildomi aplinkos apsaugos (žalieji) kriterijai nėra nustatomi.</w:t>
      </w:r>
    </w:p>
    <w:p>
      <w:pPr>
        <w:pStyle w:val="ListParagraph"/>
        <w:numPr>
          <w:ilvl w:val="0"/>
          <w:numId w:val="0"/>
        </w:numPr>
        <w:tabs>
          <w:tab w:val="clear" w:pos="720"/>
          <w:tab w:val="left" w:pos="2782" w:leader="none"/>
        </w:tabs>
        <w:spacing w:lineRule="auto" w:line="360"/>
        <w:ind w:hanging="0" w:left="360"/>
        <w:jc w:val="both"/>
        <w:rPr>
          <w:sz w:val="24"/>
          <w:szCs w:val="24"/>
        </w:rPr>
      </w:pPr>
      <w:r>
        <w:rPr/>
      </w:r>
    </w:p>
    <w:p>
      <w:pPr>
        <w:pStyle w:val="BodyText"/>
        <w:spacing w:lineRule="auto" w:line="360"/>
        <w:ind w:left="480"/>
        <w:jc w:val="left"/>
        <w:rPr/>
      </w:pPr>
      <w:r>
        <w:rPr/>
      </w:r>
    </w:p>
    <w:p>
      <w:pPr>
        <w:pStyle w:val="BodyText"/>
        <w:numPr>
          <w:ilvl w:val="0"/>
          <w:numId w:val="5"/>
        </w:numPr>
        <w:spacing w:lineRule="auto" w:line="360"/>
        <w:jc w:val="center"/>
        <w:rPr>
          <w:b/>
          <w:bCs/>
          <w:color w:themeColor="text1" w:val="000000"/>
        </w:rPr>
      </w:pPr>
      <w:r>
        <w:rPr>
          <w:b/>
          <w:bCs/>
          <w:color w:themeColor="text1" w:val="000000"/>
        </w:rPr>
        <w:t>SKYRIUS</w:t>
      </w:r>
    </w:p>
    <w:p>
      <w:pPr>
        <w:pStyle w:val="BodyText"/>
        <w:spacing w:lineRule="auto" w:line="360" w:before="0" w:after="120"/>
        <w:ind w:left="0"/>
        <w:jc w:val="center"/>
        <w:rPr>
          <w:b/>
          <w:bCs/>
          <w:color w:themeColor="text1" w:val="000000"/>
        </w:rPr>
      </w:pPr>
      <w:r>
        <w:rPr>
          <w:b/>
          <w:bCs/>
          <w:color w:themeColor="text1" w:val="000000"/>
        </w:rPr>
        <w:t>ASMENS DUOMENŲ TVARKYMAS</w:t>
      </w:r>
    </w:p>
    <w:p>
      <w:pPr>
        <w:pStyle w:val="BodyText"/>
        <w:spacing w:lineRule="auto" w:line="360"/>
        <w:ind w:left="120"/>
        <w:rPr>
          <w:color w:themeColor="text1" w:val="000000"/>
        </w:rPr>
      </w:pPr>
      <w:r>
        <w:rPr>
          <w:color w:themeColor="text1" w:val="000000"/>
        </w:rPr>
        <w:t>27. Tiekėjas,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BodyText"/>
        <w:spacing w:lineRule="auto" w:line="360"/>
        <w:ind w:left="120"/>
        <w:rPr>
          <w:color w:themeColor="text1" w:val="000000"/>
        </w:rPr>
      </w:pPr>
      <w:r>
        <w:rPr>
          <w:color w:themeColor="text1" w:val="000000"/>
        </w:rPr>
        <w:t xml:space="preserve">28. PO, kaip duomenų valdytojas, tvarkys pasiūlyme nurodytus bei pirkimo procedūrų metu iš Tiekėjo gautus duomenų subjektų – fizinių asmenų – Tiekėjo arba jo įgaliotų asmenų, subtiekėjų, partnerių, kitų asmenų duomenis (vardas, pavardė, pareigos, telefono ryšio numeris, elektroninio pašto adresas, kiti PO Tiekėjo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BodyText"/>
        <w:spacing w:lineRule="auto" w:line="360"/>
        <w:ind w:left="120"/>
        <w:rPr>
          <w:color w:themeColor="text1" w:val="000000"/>
        </w:rPr>
      </w:pPr>
      <w:r>
        <w:rPr>
          <w:color w:themeColor="text1" w:val="000000"/>
        </w:rPr>
        <w:t>29. PO tvarkys Tiekėjo, kurio pasiūlymas bus pripažintas laimėjusiu ir su kuriuo bus sudaryta sutartis, pateiktus fizinių asmenų - Tiekėjo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PO intereso žinoti asmenis, įgaliotus sudaryti ir vykdyti sutartį ir su jais bendradarbiauti (kai sutartis sudaroma su juridiniu asmeniu) bei saugos juos sutarties galiojimo metu ir 10 metų jai pasibaigus.</w:t>
      </w:r>
    </w:p>
    <w:p>
      <w:pPr>
        <w:pStyle w:val="BodyText"/>
        <w:spacing w:lineRule="auto" w:line="360"/>
        <w:ind w:left="120"/>
        <w:rPr>
          <w:color w:themeColor="text1" w:val="000000"/>
        </w:rPr>
      </w:pPr>
      <w:r>
        <w:rPr>
          <w:color w:themeColor="text1" w:val="000000"/>
        </w:rPr>
        <w:t>30. Kilus ginčams dėl viešųjų pirkimų organizavimo ar sutarties vykdymo, PO gali tvarkyti 28-29 punktuose nurodytus asmens duomenis PO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BodyText"/>
        <w:spacing w:lineRule="auto" w:line="360"/>
        <w:ind w:left="120"/>
        <w:rPr>
          <w:color w:themeColor="text1" w:val="000000"/>
        </w:rPr>
      </w:pPr>
      <w:r>
        <w:rPr>
          <w:color w:themeColor="text1" w:val="000000"/>
        </w:rPr>
        <w:t xml:space="preserve">31. Be to, nurodytus asmens duomenis bei dokumento registracijos datą ir numerį PO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Vidaus administravimo dokumentų saugojimo terminų rodyklės patvirtinimo“, bei saugos juos PO dokumentacijos plane numatytais terminais.  </w:t>
      </w:r>
    </w:p>
    <w:p>
      <w:pPr>
        <w:pStyle w:val="BodyText"/>
        <w:spacing w:lineRule="auto" w:line="360"/>
        <w:ind w:left="120"/>
        <w:rPr>
          <w:color w:themeColor="text1" w:val="000000"/>
        </w:rPr>
      </w:pPr>
      <w:r>
        <w:rPr>
          <w:color w:themeColor="text1" w:val="000000"/>
        </w:rPr>
        <w:t>32. Asmens duomenų pateikimas yra privalomas. Nepateikus asmens duomenų Tiekėjo pasiūlymas negalės būti vertinamas bei nebus galima sudaryti ir vykdyti sutarties.</w:t>
      </w:r>
    </w:p>
    <w:p>
      <w:pPr>
        <w:pStyle w:val="BodyText"/>
        <w:spacing w:lineRule="auto" w:line="360"/>
        <w:ind w:left="120"/>
        <w:rPr>
          <w:color w:themeColor="text1" w:val="000000"/>
        </w:rPr>
      </w:pPr>
      <w:r>
        <w:rPr>
          <w:color w:themeColor="text1" w:val="000000"/>
        </w:rPr>
        <w:t xml:space="preserve">33. Asmens duomenis PO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Tiekėjo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BodyText"/>
        <w:spacing w:lineRule="auto" w:line="360"/>
        <w:ind w:left="120"/>
        <w:rPr>
          <w:color w:themeColor="text1" w:val="000000"/>
        </w:rPr>
      </w:pPr>
      <w:r>
        <w:rPr>
          <w:color w:themeColor="text1" w:val="000000"/>
        </w:rPr>
        <w:t xml:space="preserve">34. Duomenų subjektai – fiziniai asmenys -  Tiekėjo arba jo įgalioti asmenys, subtiekėjai, kaip duomenų subjektai, turi šias duomenų subjekto teises, kurias PO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rStyle w:val="Hyperlink"/>
            <w:color w:themeColor="text1" w:val="000000"/>
          </w:rPr>
          <w:t>https://vdai.lrv.lt/</w:t>
        </w:r>
      </w:hyperlink>
      <w:r>
        <w:rPr>
          <w:color w:themeColor="text1" w:val="000000"/>
        </w:rPr>
        <w:t xml:space="preserve">. </w:t>
      </w:r>
    </w:p>
    <w:p>
      <w:pPr>
        <w:pStyle w:val="BodyText"/>
        <w:spacing w:lineRule="auto" w:line="360"/>
        <w:ind w:left="120"/>
        <w:rPr>
          <w:color w:themeColor="text1" w:val="000000"/>
        </w:rPr>
      </w:pPr>
      <w:r>
        <w:rPr>
          <w:color w:themeColor="text1" w:val="000000"/>
        </w:rPr>
        <w:t xml:space="preserve">35. Duomenų subjektai – fiziniai asmenys – Tiekėjas arba jo įgalioti asmenys, subtiekėjai prašymus dėl aukščiau nurodytų savo teisių įgyvendinimo, taip pat kitus skundus/prašymus dėl asmens duomenų tvarkymo gali pateikti PO paštu adresu Studentų g. 45A, Vilnius, el. paštu </w:t>
      </w:r>
      <w:hyperlink r:id="rId3">
        <w:r>
          <w:rPr>
            <w:rStyle w:val="Hyperlink"/>
            <w:color w:themeColor="text1" w:val="000000"/>
          </w:rPr>
          <w:t>institutas@hi.lt</w:t>
        </w:r>
      </w:hyperlink>
      <w:r>
        <w:rPr>
          <w:color w:themeColor="text1" w:val="000000"/>
        </w:rPr>
        <w:t xml:space="preserve"> ar jo duomenų apsaugos pareigūnui el. paštu </w:t>
      </w:r>
      <w:hyperlink r:id="rId4">
        <w:r>
          <w:rPr>
            <w:rStyle w:val="Hyperlink"/>
          </w:rPr>
          <w:t>ada.ekspertai@gmail.com</w:t>
        </w:r>
      </w:hyperlink>
      <w:r>
        <w:rPr>
          <w:color w:themeColor="text1" w:val="000000"/>
        </w:rPr>
        <w:t xml:space="preserve">. </w:t>
      </w:r>
    </w:p>
    <w:p>
      <w:pPr>
        <w:pStyle w:val="BodyText"/>
        <w:spacing w:lineRule="auto" w:line="360"/>
        <w:ind w:left="120"/>
        <w:rPr>
          <w:color w:themeColor="text1" w:val="000000"/>
        </w:rPr>
      </w:pPr>
      <w:r>
        <w:rPr>
          <w:color w:themeColor="text1" w:val="000000"/>
        </w:rPr>
        <w:t xml:space="preserve">36. Tiekėjas, prieš teikdamas pasiūlymą ir prieš sudarydamas sutartį, nurodytus fizinius asmenis privalo supažindinti su 27 - 35 punktuose pateikta informacija apie PO vykdomą asmens duomenų tvarkymą. </w:t>
      </w:r>
    </w:p>
    <w:p>
      <w:pPr>
        <w:sectPr>
          <w:headerReference w:type="default" r:id="rId5"/>
          <w:footerReference w:type="default" r:id="rId6"/>
          <w:type w:val="nextPage"/>
          <w:pgSz w:w="11906" w:h="16838"/>
          <w:pgMar w:left="1701" w:right="567" w:gutter="0" w:header="720" w:top="1134" w:footer="720" w:bottom="1134"/>
          <w:pgNumType w:fmt="decimal"/>
          <w:formProt w:val="false"/>
          <w:textDirection w:val="lrTb"/>
          <w:docGrid w:type="default" w:linePitch="299" w:charSpace="4096"/>
        </w:sectPr>
        <w:pStyle w:val="Normal"/>
        <w:tabs>
          <w:tab w:val="left" w:pos="720" w:leader="none"/>
          <w:tab w:val="left" w:pos="851" w:leader="none"/>
          <w:tab w:val="left" w:pos="993" w:leader="none"/>
          <w:tab w:val="left" w:pos="1134" w:leader="none"/>
        </w:tabs>
        <w:spacing w:lineRule="auto" w:line="360"/>
        <w:jc w:val="center"/>
        <w:rPr>
          <w:color w:themeColor="text1" w:val="000000"/>
          <w:sz w:val="24"/>
          <w:szCs w:val="24"/>
        </w:rPr>
      </w:pPr>
      <w:r>
        <w:rPr>
          <w:color w:themeColor="text1" w:val="000000"/>
          <w:sz w:val="24"/>
          <w:szCs w:val="24"/>
        </w:rPr>
        <w:t>__________________</w:t>
      </w:r>
    </w:p>
    <w:p>
      <w:pPr>
        <w:pStyle w:val="BodyText"/>
        <w:ind w:left="0"/>
        <w:jc w:val="right"/>
        <w:rPr/>
      </w:pPr>
      <w:r>
        <w:rPr/>
        <w:t>Techninės specifikacijos priedas</w:t>
      </w:r>
      <w:r>
        <w:rPr>
          <w:spacing w:val="-6"/>
        </w:rPr>
        <w:t xml:space="preserve"> </w:t>
      </w:r>
      <w:r>
        <w:rPr/>
        <w:t>Nr.</w:t>
      </w:r>
      <w:r>
        <w:rPr>
          <w:spacing w:val="-6"/>
        </w:rPr>
        <w:t xml:space="preserve"> </w:t>
      </w:r>
      <w:r>
        <w:rPr>
          <w:spacing w:val="-10"/>
        </w:rPr>
        <w:t>1</w:t>
      </w:r>
    </w:p>
    <w:p>
      <w:pPr>
        <w:pStyle w:val="Normal"/>
        <w:rPr>
          <w:b/>
          <w:bCs/>
          <w:sz w:val="24"/>
          <w:szCs w:val="24"/>
        </w:rPr>
      </w:pPr>
      <w:r>
        <w:rPr>
          <w:b/>
          <w:bCs/>
          <w:sz w:val="24"/>
          <w:szCs w:val="24"/>
        </w:rPr>
        <w:t>ŽG IS Paslaugų</w:t>
      </w:r>
      <w:r>
        <w:rPr>
          <w:b/>
          <w:bCs/>
          <w:spacing w:val="-6"/>
          <w:sz w:val="24"/>
          <w:szCs w:val="24"/>
        </w:rPr>
        <w:t xml:space="preserve"> poreikio įvertinimo lentelė</w:t>
      </w:r>
    </w:p>
    <w:p>
      <w:pPr>
        <w:pStyle w:val="BodyText"/>
        <w:spacing w:before="47" w:after="0"/>
        <w:ind w:left="0"/>
        <w:jc w:val="left"/>
        <w:rPr>
          <w:b/>
          <w:bCs/>
          <w:sz w:val="20"/>
          <w:szCs w:val="20"/>
        </w:rPr>
      </w:pPr>
      <w:r>
        <w:rPr>
          <w:b/>
          <w:bCs/>
          <w:sz w:val="20"/>
          <w:szCs w:val="20"/>
        </w:rPr>
      </w:r>
    </w:p>
    <w:tbl>
      <w:tblPr>
        <w:tblStyle w:val="TableGrid"/>
        <w:tblW w:w="9680" w:type="dxa"/>
        <w:jc w:val="left"/>
        <w:tblInd w:w="0" w:type="dxa"/>
        <w:tblLayout w:type="fixed"/>
        <w:tblCellMar>
          <w:top w:w="0" w:type="dxa"/>
          <w:left w:w="105" w:type="dxa"/>
          <w:bottom w:w="0" w:type="dxa"/>
          <w:right w:w="105" w:type="dxa"/>
        </w:tblCellMar>
        <w:tblLook w:firstRow="1" w:noVBand="1" w:lastRow="0" w:firstColumn="1" w:lastColumn="0" w:noHBand="1" w:val="06a0"/>
      </w:tblPr>
      <w:tblGrid>
        <w:gridCol w:w="3884"/>
        <w:gridCol w:w="2905"/>
        <w:gridCol w:w="2891"/>
      </w:tblGrid>
      <w:tr>
        <w:trPr>
          <w:trHeight w:val="300" w:hRule="atLeast"/>
        </w:trPr>
        <w:tc>
          <w:tcPr>
            <w:tcW w:w="3884" w:type="dxa"/>
            <w:tcBorders>
              <w:top w:val="single" w:sz="6" w:space="0" w:color="000000"/>
              <w:left w:val="single" w:sz="6" w:space="0" w:color="000000"/>
            </w:tcBorders>
            <w:shd w:color="auto" w:fill="C1E4F5" w:val="clear"/>
          </w:tcPr>
          <w:p>
            <w:pPr>
              <w:pStyle w:val="Normal"/>
              <w:spacing w:before="0" w:after="0"/>
              <w:jc w:val="center"/>
              <w:rPr>
                <w:b/>
                <w:bCs/>
                <w:sz w:val="24"/>
                <w:szCs w:val="24"/>
              </w:rPr>
            </w:pPr>
            <w:r>
              <w:rPr>
                <w:b/>
                <w:bCs/>
                <w:sz w:val="24"/>
                <w:szCs w:val="24"/>
                <w:lang w:eastAsia="en-US" w:bidi="ar-SA"/>
              </w:rPr>
              <w:t>Paslaugos</w:t>
            </w:r>
          </w:p>
        </w:tc>
        <w:tc>
          <w:tcPr>
            <w:tcW w:w="2905" w:type="dxa"/>
            <w:tcBorders>
              <w:top w:val="single" w:sz="6" w:space="0" w:color="000000"/>
            </w:tcBorders>
            <w:shd w:color="auto" w:fill="C1E4F5" w:val="clear"/>
          </w:tcPr>
          <w:p>
            <w:pPr>
              <w:pStyle w:val="Normal"/>
              <w:spacing w:before="0" w:after="0"/>
              <w:jc w:val="center"/>
              <w:rPr>
                <w:b/>
                <w:bCs/>
                <w:color w:themeColor="text1" w:val="000000"/>
                <w:sz w:val="24"/>
                <w:szCs w:val="24"/>
              </w:rPr>
            </w:pPr>
            <w:r>
              <w:rPr>
                <w:b/>
                <w:bCs/>
                <w:color w:themeColor="text1" w:val="000000"/>
                <w:sz w:val="24"/>
                <w:szCs w:val="24"/>
                <w:lang w:eastAsia="en-US" w:bidi="ar-SA"/>
              </w:rPr>
              <w:t xml:space="preserve">Perkamas paslaugų kiekis valandomis </w:t>
            </w:r>
            <w:r>
              <w:rPr>
                <w:sz w:val="22"/>
                <w:szCs w:val="22"/>
                <w:lang w:eastAsia="en-US" w:bidi="ar-SA"/>
              </w:rPr>
              <w:br/>
            </w:r>
            <w:r>
              <w:rPr>
                <w:b/>
                <w:bCs/>
                <w:color w:themeColor="text1" w:val="000000"/>
                <w:sz w:val="24"/>
                <w:szCs w:val="24"/>
                <w:lang w:eastAsia="en-US" w:bidi="ar-SA"/>
              </w:rPr>
              <w:t>1 metams</w:t>
            </w:r>
          </w:p>
        </w:tc>
        <w:tc>
          <w:tcPr>
            <w:tcW w:w="2891" w:type="dxa"/>
            <w:tcBorders>
              <w:top w:val="single" w:sz="6" w:space="0" w:color="000000"/>
              <w:right w:val="single" w:sz="6" w:space="0" w:color="000000"/>
            </w:tcBorders>
            <w:shd w:color="auto" w:fill="C1E4F5" w:val="clear"/>
          </w:tcPr>
          <w:p>
            <w:pPr>
              <w:pStyle w:val="Normal"/>
              <w:spacing w:before="0" w:after="0"/>
              <w:jc w:val="center"/>
              <w:rPr>
                <w:b/>
                <w:bCs/>
                <w:sz w:val="24"/>
                <w:szCs w:val="24"/>
              </w:rPr>
            </w:pPr>
            <w:r>
              <w:rPr>
                <w:b/>
                <w:bCs/>
                <w:sz w:val="24"/>
                <w:szCs w:val="24"/>
                <w:lang w:eastAsia="en-US" w:bidi="ar-SA"/>
              </w:rPr>
              <w:t>Komentaras</w:t>
            </w:r>
          </w:p>
        </w:tc>
      </w:tr>
      <w:tr>
        <w:trPr>
          <w:trHeight w:val="300" w:hRule="atLeast"/>
        </w:trPr>
        <w:tc>
          <w:tcPr>
            <w:tcW w:w="3884" w:type="dxa"/>
            <w:tcBorders>
              <w:left w:val="single" w:sz="6" w:space="0" w:color="000000"/>
            </w:tcBorders>
          </w:tcPr>
          <w:p>
            <w:pPr>
              <w:pStyle w:val="Normal"/>
              <w:spacing w:before="0" w:after="0"/>
              <w:jc w:val="left"/>
              <w:rPr>
                <w:sz w:val="20"/>
                <w:szCs w:val="20"/>
              </w:rPr>
            </w:pPr>
            <w:r>
              <w:rPr>
                <w:sz w:val="20"/>
                <w:szCs w:val="20"/>
                <w:lang w:eastAsia="en-US" w:bidi="ar-SA"/>
              </w:rPr>
              <w:t>UX/UI korekcijos</w:t>
            </w:r>
          </w:p>
          <w:p>
            <w:pPr>
              <w:pStyle w:val="ListParagraph"/>
              <w:numPr>
                <w:ilvl w:val="0"/>
                <w:numId w:val="3"/>
              </w:numPr>
              <w:spacing w:before="0" w:after="0"/>
              <w:contextualSpacing/>
              <w:jc w:val="left"/>
              <w:rPr>
                <w:sz w:val="20"/>
                <w:szCs w:val="20"/>
              </w:rPr>
            </w:pPr>
            <w:r>
              <w:rPr>
                <w:sz w:val="20"/>
                <w:szCs w:val="20"/>
                <w:lang w:eastAsia="en-US" w:bidi="ar-SA"/>
              </w:rPr>
              <w:t>UX/UI audito atlikimas: esamas situacijos įvertinimas</w:t>
            </w:r>
          </w:p>
          <w:p>
            <w:pPr>
              <w:pStyle w:val="ListParagraph"/>
              <w:numPr>
                <w:ilvl w:val="0"/>
                <w:numId w:val="3"/>
              </w:numPr>
              <w:spacing w:before="0" w:after="0"/>
              <w:contextualSpacing/>
              <w:jc w:val="left"/>
              <w:rPr>
                <w:sz w:val="20"/>
                <w:szCs w:val="20"/>
              </w:rPr>
            </w:pPr>
            <w:r>
              <w:rPr>
                <w:sz w:val="20"/>
                <w:szCs w:val="20"/>
                <w:lang w:eastAsia="en-US" w:bidi="ar-SA"/>
              </w:rPr>
              <w:t>Vartotojo kelio pagerinimas</w:t>
            </w:r>
          </w:p>
          <w:p>
            <w:pPr>
              <w:pStyle w:val="ListParagraph"/>
              <w:numPr>
                <w:ilvl w:val="0"/>
                <w:numId w:val="3"/>
              </w:numPr>
              <w:spacing w:before="0" w:after="0"/>
              <w:contextualSpacing/>
              <w:jc w:val="left"/>
              <w:rPr>
                <w:sz w:val="20"/>
                <w:szCs w:val="20"/>
              </w:rPr>
            </w:pPr>
            <w:r>
              <w:rPr>
                <w:sz w:val="20"/>
                <w:szCs w:val="20"/>
                <w:lang w:eastAsia="en-US" w:bidi="ar-SA"/>
              </w:rPr>
              <w:t>Paprastosios UI ir turinio formatavimo paslaugos</w:t>
            </w:r>
          </w:p>
          <w:p>
            <w:pPr>
              <w:pStyle w:val="ListParagraph"/>
              <w:numPr>
                <w:ilvl w:val="0"/>
                <w:numId w:val="3"/>
              </w:numPr>
              <w:spacing w:before="0" w:after="0"/>
              <w:contextualSpacing/>
              <w:jc w:val="left"/>
              <w:rPr>
                <w:sz w:val="20"/>
                <w:szCs w:val="20"/>
              </w:rPr>
            </w:pPr>
            <w:r>
              <w:rPr>
                <w:sz w:val="20"/>
                <w:szCs w:val="20"/>
                <w:lang w:eastAsia="en-US" w:bidi="ar-SA"/>
              </w:rPr>
              <w:t>Testavimas</w:t>
            </w:r>
          </w:p>
        </w:tc>
        <w:tc>
          <w:tcPr>
            <w:tcW w:w="2905" w:type="dxa"/>
            <w:tcBorders/>
          </w:tcPr>
          <w:p>
            <w:pPr>
              <w:pStyle w:val="Normal"/>
              <w:spacing w:before="0" w:after="0"/>
              <w:jc w:val="left"/>
              <w:rPr>
                <w:sz w:val="20"/>
                <w:szCs w:val="20"/>
              </w:rPr>
            </w:pPr>
            <w:r>
              <w:rPr>
                <w:sz w:val="20"/>
                <w:szCs w:val="20"/>
                <w:lang w:eastAsia="en-US" w:bidi="ar-SA"/>
              </w:rPr>
              <w:t>20 valandų</w:t>
            </w:r>
          </w:p>
          <w:p>
            <w:pPr>
              <w:pStyle w:val="Normal"/>
              <w:spacing w:before="0" w:after="0"/>
              <w:jc w:val="left"/>
              <w:rPr>
                <w:sz w:val="20"/>
                <w:szCs w:val="20"/>
              </w:rPr>
            </w:pPr>
            <w:r>
              <w:rPr>
                <w:sz w:val="20"/>
                <w:szCs w:val="20"/>
                <w:lang w:eastAsia="en-US" w:bidi="ar-SA"/>
              </w:rPr>
              <w:t>(paslauga 3 metams)</w:t>
            </w:r>
          </w:p>
        </w:tc>
        <w:tc>
          <w:tcPr>
            <w:tcW w:w="2891" w:type="dxa"/>
            <w:tcBorders>
              <w:right w:val="single" w:sz="6" w:space="0" w:color="000000"/>
            </w:tcBorders>
          </w:tcPr>
          <w:p>
            <w:pPr>
              <w:pStyle w:val="Normal"/>
              <w:spacing w:before="0" w:after="0"/>
              <w:jc w:val="left"/>
              <w:rPr>
                <w:sz w:val="20"/>
                <w:szCs w:val="20"/>
              </w:rPr>
            </w:pPr>
            <w:r>
              <w:rPr>
                <w:sz w:val="20"/>
                <w:szCs w:val="20"/>
                <w:lang w:eastAsia="en-US" w:bidi="ar-SA"/>
              </w:rPr>
            </w:r>
          </w:p>
        </w:tc>
      </w:tr>
      <w:tr>
        <w:trPr>
          <w:trHeight w:val="300" w:hRule="atLeast"/>
        </w:trPr>
        <w:tc>
          <w:tcPr>
            <w:tcW w:w="3884" w:type="dxa"/>
            <w:tcBorders>
              <w:left w:val="single" w:sz="6" w:space="0" w:color="000000"/>
            </w:tcBorders>
          </w:tcPr>
          <w:p>
            <w:pPr>
              <w:pStyle w:val="Normal"/>
              <w:spacing w:before="0" w:after="0"/>
              <w:jc w:val="left"/>
              <w:rPr>
                <w:sz w:val="20"/>
                <w:szCs w:val="20"/>
              </w:rPr>
            </w:pPr>
            <w:r>
              <w:rPr>
                <w:sz w:val="20"/>
                <w:szCs w:val="20"/>
                <w:lang w:eastAsia="en-US" w:bidi="ar-SA"/>
              </w:rPr>
              <w:t>Naujų funkcionalumų diegimas:</w:t>
            </w:r>
          </w:p>
          <w:p>
            <w:pPr>
              <w:pStyle w:val="ListParagraph"/>
              <w:numPr>
                <w:ilvl w:val="0"/>
                <w:numId w:val="1"/>
              </w:numPr>
              <w:spacing w:before="0" w:after="0"/>
              <w:contextualSpacing/>
              <w:jc w:val="left"/>
              <w:rPr>
                <w:sz w:val="20"/>
                <w:szCs w:val="20"/>
              </w:rPr>
            </w:pPr>
            <w:r>
              <w:rPr>
                <w:sz w:val="20"/>
                <w:szCs w:val="20"/>
                <w:lang w:eastAsia="en-US" w:bidi="ar-SA"/>
              </w:rPr>
              <w:t>polapio „Renginiai“ sukūrimas kartu su renginių kalendoriumi ir filtravimu, naujienlaiškio Mailerlite integracija (dizainas, programavimas, testavimas).</w:t>
            </w:r>
          </w:p>
          <w:p>
            <w:pPr>
              <w:pStyle w:val="ListParagraph"/>
              <w:numPr>
                <w:ilvl w:val="0"/>
                <w:numId w:val="1"/>
              </w:numPr>
              <w:spacing w:before="0" w:after="0"/>
              <w:contextualSpacing/>
              <w:jc w:val="left"/>
              <w:rPr>
                <w:sz w:val="20"/>
                <w:szCs w:val="20"/>
              </w:rPr>
            </w:pPr>
            <w:r>
              <w:rPr>
                <w:sz w:val="20"/>
                <w:szCs w:val="20"/>
                <w:lang w:eastAsia="en-US" w:bidi="ar-SA"/>
              </w:rPr>
              <w:t>Slapukų įrankio įdiegimas.</w:t>
            </w:r>
          </w:p>
        </w:tc>
        <w:tc>
          <w:tcPr>
            <w:tcW w:w="2905" w:type="dxa"/>
            <w:tcBorders/>
          </w:tcPr>
          <w:p>
            <w:pPr>
              <w:pStyle w:val="Normal"/>
              <w:spacing w:before="0" w:after="0"/>
              <w:jc w:val="left"/>
              <w:rPr>
                <w:sz w:val="20"/>
                <w:szCs w:val="20"/>
              </w:rPr>
            </w:pPr>
            <w:r>
              <w:rPr>
                <w:sz w:val="20"/>
                <w:szCs w:val="20"/>
                <w:lang w:eastAsia="en-US" w:bidi="ar-SA"/>
              </w:rPr>
              <w:t>25 valandos</w:t>
            </w:r>
          </w:p>
          <w:p>
            <w:pPr>
              <w:pStyle w:val="Normal"/>
              <w:spacing w:before="0" w:after="0"/>
              <w:jc w:val="left"/>
              <w:rPr>
                <w:sz w:val="20"/>
                <w:szCs w:val="20"/>
              </w:rPr>
            </w:pPr>
            <w:r>
              <w:rPr>
                <w:sz w:val="20"/>
                <w:szCs w:val="20"/>
                <w:lang w:eastAsia="en-US" w:bidi="ar-SA"/>
              </w:rPr>
              <w:t>(vienkartinė paslauga)</w:t>
            </w:r>
          </w:p>
          <w:p>
            <w:pPr>
              <w:pStyle w:val="Normal"/>
              <w:spacing w:before="0" w:after="0"/>
              <w:jc w:val="left"/>
              <w:rPr>
                <w:sz w:val="20"/>
                <w:szCs w:val="20"/>
              </w:rPr>
            </w:pPr>
            <w:r>
              <w:rPr>
                <w:sz w:val="20"/>
                <w:szCs w:val="20"/>
                <w:lang w:eastAsia="en-US" w:bidi="ar-SA"/>
              </w:rPr>
            </w:r>
          </w:p>
        </w:tc>
        <w:tc>
          <w:tcPr>
            <w:tcW w:w="2891" w:type="dxa"/>
            <w:tcBorders>
              <w:right w:val="single" w:sz="6" w:space="0" w:color="000000"/>
            </w:tcBorders>
          </w:tcPr>
          <w:p>
            <w:pPr>
              <w:pStyle w:val="Normal"/>
              <w:spacing w:before="0" w:after="0"/>
              <w:jc w:val="left"/>
              <w:rPr>
                <w:sz w:val="20"/>
                <w:szCs w:val="20"/>
              </w:rPr>
            </w:pPr>
            <w:r>
              <w:rPr>
                <w:sz w:val="20"/>
                <w:szCs w:val="20"/>
                <w:lang w:eastAsia="en-US" w:bidi="ar-SA"/>
              </w:rPr>
            </w:r>
          </w:p>
        </w:tc>
      </w:tr>
      <w:tr>
        <w:trPr>
          <w:trHeight w:val="300" w:hRule="atLeast"/>
        </w:trPr>
        <w:tc>
          <w:tcPr>
            <w:tcW w:w="3884" w:type="dxa"/>
            <w:tcBorders>
              <w:left w:val="single" w:sz="6" w:space="0" w:color="000000"/>
            </w:tcBorders>
          </w:tcPr>
          <w:p>
            <w:pPr>
              <w:pStyle w:val="Normal"/>
              <w:spacing w:before="0" w:after="0"/>
              <w:jc w:val="left"/>
              <w:rPr>
                <w:sz w:val="20"/>
                <w:szCs w:val="20"/>
              </w:rPr>
            </w:pPr>
            <w:r>
              <w:rPr>
                <w:sz w:val="20"/>
                <w:szCs w:val="20"/>
                <w:lang w:eastAsia="en-US" w:bidi="ar-SA"/>
              </w:rPr>
              <w:t>Šiuo metu esamų techninių klaidų (“bug’ų”) auditas ir klaidų taisymas; reguliarus klaidų taisymas metų eigoje pagal poreikį.</w:t>
            </w:r>
          </w:p>
        </w:tc>
        <w:tc>
          <w:tcPr>
            <w:tcW w:w="2905" w:type="dxa"/>
            <w:tcBorders/>
          </w:tcPr>
          <w:p>
            <w:pPr>
              <w:pStyle w:val="Normal"/>
              <w:spacing w:before="0" w:after="0"/>
              <w:jc w:val="left"/>
              <w:rPr>
                <w:sz w:val="20"/>
                <w:szCs w:val="20"/>
              </w:rPr>
            </w:pPr>
            <w:r>
              <w:rPr>
                <w:sz w:val="20"/>
                <w:szCs w:val="20"/>
                <w:lang w:eastAsia="en-US" w:bidi="ar-SA"/>
              </w:rPr>
              <w:t>20 valandų</w:t>
            </w:r>
          </w:p>
          <w:p>
            <w:pPr>
              <w:pStyle w:val="Normal"/>
              <w:spacing w:before="0" w:after="0"/>
              <w:jc w:val="left"/>
              <w:rPr>
                <w:sz w:val="20"/>
                <w:szCs w:val="20"/>
              </w:rPr>
            </w:pPr>
            <w:r>
              <w:rPr>
                <w:sz w:val="20"/>
                <w:szCs w:val="20"/>
                <w:lang w:eastAsia="en-US" w:bidi="ar-SA"/>
              </w:rPr>
              <w:t>(paslauga 3 metams)</w:t>
            </w:r>
          </w:p>
          <w:p>
            <w:pPr>
              <w:pStyle w:val="Normal"/>
              <w:spacing w:before="0" w:after="0"/>
              <w:jc w:val="left"/>
              <w:rPr>
                <w:sz w:val="20"/>
                <w:szCs w:val="20"/>
              </w:rPr>
            </w:pPr>
            <w:r>
              <w:rPr>
                <w:sz w:val="20"/>
                <w:szCs w:val="20"/>
                <w:lang w:eastAsia="en-US" w:bidi="ar-SA"/>
              </w:rPr>
            </w:r>
          </w:p>
          <w:p>
            <w:pPr>
              <w:pStyle w:val="Normal"/>
              <w:spacing w:before="0" w:after="0"/>
              <w:jc w:val="left"/>
              <w:rPr>
                <w:sz w:val="20"/>
                <w:szCs w:val="20"/>
              </w:rPr>
            </w:pPr>
            <w:r>
              <w:rPr>
                <w:sz w:val="20"/>
                <w:szCs w:val="20"/>
                <w:lang w:eastAsia="en-US" w:bidi="ar-SA"/>
              </w:rPr>
            </w:r>
          </w:p>
        </w:tc>
        <w:tc>
          <w:tcPr>
            <w:tcW w:w="2891" w:type="dxa"/>
            <w:tcBorders>
              <w:right w:val="single" w:sz="6" w:space="0" w:color="000000"/>
            </w:tcBorders>
          </w:tcPr>
          <w:p>
            <w:pPr>
              <w:pStyle w:val="Normal"/>
              <w:spacing w:before="0" w:after="0"/>
              <w:jc w:val="left"/>
              <w:rPr>
                <w:sz w:val="20"/>
                <w:szCs w:val="20"/>
              </w:rPr>
            </w:pPr>
            <w:r>
              <w:rPr>
                <w:sz w:val="20"/>
                <w:szCs w:val="20"/>
                <w:lang w:eastAsia="en-US" w:bidi="ar-SA"/>
              </w:rPr>
              <w:t>Vienam mėnesiui gali būti skirta 1-2 valandos</w:t>
            </w:r>
          </w:p>
        </w:tc>
      </w:tr>
      <w:tr>
        <w:trPr>
          <w:trHeight w:val="300" w:hRule="atLeast"/>
        </w:trPr>
        <w:tc>
          <w:tcPr>
            <w:tcW w:w="3884" w:type="dxa"/>
            <w:tcBorders>
              <w:left w:val="single" w:sz="6" w:space="0" w:color="000000"/>
            </w:tcBorders>
          </w:tcPr>
          <w:p>
            <w:pPr>
              <w:pStyle w:val="Normal"/>
              <w:spacing w:before="0" w:after="0"/>
              <w:jc w:val="left"/>
              <w:rPr>
                <w:sz w:val="20"/>
                <w:szCs w:val="20"/>
              </w:rPr>
            </w:pPr>
            <w:r>
              <w:rPr>
                <w:sz w:val="20"/>
                <w:szCs w:val="20"/>
                <w:lang w:eastAsia="en-US" w:bidi="ar-SA"/>
              </w:rPr>
              <w:t>Svetainės pritaikymo asmenims su negalia paslaugos pagal rinkoje įprastus standartus</w:t>
            </w:r>
          </w:p>
        </w:tc>
        <w:tc>
          <w:tcPr>
            <w:tcW w:w="2905" w:type="dxa"/>
            <w:tcBorders/>
          </w:tcPr>
          <w:p>
            <w:pPr>
              <w:pStyle w:val="Normal"/>
              <w:spacing w:before="0" w:after="0"/>
              <w:jc w:val="left"/>
              <w:rPr>
                <w:sz w:val="20"/>
                <w:szCs w:val="20"/>
              </w:rPr>
            </w:pPr>
            <w:r>
              <w:rPr>
                <w:sz w:val="20"/>
                <w:szCs w:val="20"/>
                <w:lang w:eastAsia="en-US" w:bidi="ar-SA"/>
              </w:rPr>
              <w:t>38 valandos</w:t>
            </w:r>
          </w:p>
          <w:p>
            <w:pPr>
              <w:pStyle w:val="Normal"/>
              <w:spacing w:before="0" w:after="0"/>
              <w:jc w:val="left"/>
              <w:rPr>
                <w:sz w:val="20"/>
                <w:szCs w:val="20"/>
              </w:rPr>
            </w:pPr>
            <w:r>
              <w:rPr>
                <w:sz w:val="20"/>
                <w:szCs w:val="20"/>
                <w:lang w:eastAsia="en-US" w:bidi="ar-SA"/>
              </w:rPr>
              <w:t>(vienkartinė paslauga)</w:t>
            </w:r>
          </w:p>
          <w:p>
            <w:pPr>
              <w:pStyle w:val="Normal"/>
              <w:spacing w:before="0" w:after="0"/>
              <w:jc w:val="left"/>
              <w:rPr>
                <w:sz w:val="20"/>
                <w:szCs w:val="20"/>
              </w:rPr>
            </w:pPr>
            <w:r>
              <w:rPr>
                <w:sz w:val="20"/>
                <w:szCs w:val="20"/>
                <w:lang w:eastAsia="en-US" w:bidi="ar-SA"/>
              </w:rPr>
            </w:r>
          </w:p>
        </w:tc>
        <w:tc>
          <w:tcPr>
            <w:tcW w:w="2891" w:type="dxa"/>
            <w:tcBorders>
              <w:right w:val="single" w:sz="6" w:space="0" w:color="000000"/>
            </w:tcBorders>
          </w:tcPr>
          <w:p>
            <w:pPr>
              <w:pStyle w:val="Normal"/>
              <w:spacing w:before="0" w:after="0"/>
              <w:jc w:val="left"/>
              <w:rPr>
                <w:sz w:val="20"/>
                <w:szCs w:val="20"/>
              </w:rPr>
            </w:pPr>
            <w:r>
              <w:rPr>
                <w:sz w:val="20"/>
                <w:szCs w:val="20"/>
                <w:lang w:eastAsia="en-US" w:bidi="ar-SA"/>
              </w:rPr>
            </w:r>
          </w:p>
        </w:tc>
      </w:tr>
      <w:tr>
        <w:trPr>
          <w:trHeight w:val="300" w:hRule="atLeast"/>
        </w:trPr>
        <w:tc>
          <w:tcPr>
            <w:tcW w:w="3884" w:type="dxa"/>
            <w:tcBorders>
              <w:left w:val="single" w:sz="6" w:space="0" w:color="000000"/>
            </w:tcBorders>
          </w:tcPr>
          <w:p>
            <w:pPr>
              <w:pStyle w:val="Normal"/>
              <w:spacing w:before="0" w:after="0"/>
              <w:jc w:val="left"/>
              <w:rPr>
                <w:color w:themeColor="text1" w:val="000000"/>
                <w:sz w:val="20"/>
                <w:szCs w:val="20"/>
              </w:rPr>
            </w:pPr>
            <w:r>
              <w:rPr>
                <w:color w:themeColor="text1" w:val="000000"/>
                <w:sz w:val="20"/>
                <w:szCs w:val="20"/>
                <w:lang w:eastAsia="en-US" w:bidi="ar-SA"/>
              </w:rPr>
              <w:t>Google Ads kampanijos parengimas</w:t>
            </w:r>
          </w:p>
        </w:tc>
        <w:tc>
          <w:tcPr>
            <w:tcW w:w="2905" w:type="dxa"/>
            <w:tcBorders/>
          </w:tcPr>
          <w:p>
            <w:pPr>
              <w:pStyle w:val="Normal"/>
              <w:spacing w:before="0" w:after="0"/>
              <w:jc w:val="left"/>
              <w:rPr>
                <w:sz w:val="20"/>
                <w:szCs w:val="20"/>
              </w:rPr>
            </w:pPr>
            <w:r>
              <w:rPr>
                <w:sz w:val="20"/>
                <w:szCs w:val="20"/>
                <w:lang w:eastAsia="en-US" w:bidi="ar-SA"/>
              </w:rPr>
              <w:t>6 valandos</w:t>
            </w:r>
          </w:p>
          <w:p>
            <w:pPr>
              <w:pStyle w:val="Normal"/>
              <w:spacing w:before="0" w:after="0"/>
              <w:jc w:val="left"/>
              <w:rPr>
                <w:sz w:val="20"/>
                <w:szCs w:val="20"/>
              </w:rPr>
            </w:pPr>
            <w:r>
              <w:rPr>
                <w:sz w:val="20"/>
                <w:szCs w:val="20"/>
                <w:lang w:eastAsia="en-US" w:bidi="ar-SA"/>
              </w:rPr>
              <w:t>(paslauga 3 metams)</w:t>
            </w:r>
          </w:p>
          <w:p>
            <w:pPr>
              <w:pStyle w:val="Normal"/>
              <w:spacing w:before="0" w:after="0"/>
              <w:jc w:val="left"/>
              <w:rPr>
                <w:sz w:val="20"/>
                <w:szCs w:val="20"/>
              </w:rPr>
            </w:pPr>
            <w:r>
              <w:rPr>
                <w:sz w:val="20"/>
                <w:szCs w:val="20"/>
                <w:lang w:eastAsia="en-US" w:bidi="ar-SA"/>
              </w:rPr>
            </w:r>
          </w:p>
        </w:tc>
        <w:tc>
          <w:tcPr>
            <w:tcW w:w="2891" w:type="dxa"/>
            <w:tcBorders>
              <w:right w:val="single" w:sz="6" w:space="0" w:color="000000"/>
            </w:tcBorders>
          </w:tcPr>
          <w:p>
            <w:pPr>
              <w:pStyle w:val="Normal"/>
              <w:spacing w:before="0" w:after="0"/>
              <w:jc w:val="left"/>
              <w:rPr>
                <w:color w:themeColor="text1" w:val="000000"/>
                <w:sz w:val="20"/>
                <w:szCs w:val="20"/>
              </w:rPr>
            </w:pPr>
            <w:r>
              <w:rPr>
                <w:color w:themeColor="text1" w:val="000000"/>
                <w:sz w:val="20"/>
                <w:szCs w:val="20"/>
                <w:lang w:eastAsia="en-US" w:bidi="ar-SA"/>
              </w:rPr>
              <w:t>Reklamos kūrimas, administravimas, raktažodžių parengimas, atnaujinimas, integravimas.</w:t>
            </w:r>
          </w:p>
        </w:tc>
      </w:tr>
      <w:tr>
        <w:trPr>
          <w:trHeight w:val="300" w:hRule="atLeast"/>
        </w:trPr>
        <w:tc>
          <w:tcPr>
            <w:tcW w:w="3884" w:type="dxa"/>
            <w:tcBorders>
              <w:left w:val="single" w:sz="6" w:space="0" w:color="000000"/>
            </w:tcBorders>
          </w:tcPr>
          <w:p>
            <w:pPr>
              <w:pStyle w:val="Normal"/>
              <w:spacing w:before="0" w:after="0"/>
              <w:jc w:val="left"/>
              <w:rPr>
                <w:sz w:val="20"/>
                <w:szCs w:val="20"/>
              </w:rPr>
            </w:pPr>
            <w:r>
              <w:rPr>
                <w:sz w:val="20"/>
                <w:szCs w:val="20"/>
                <w:lang w:eastAsia="en-US" w:bidi="ar-SA"/>
              </w:rPr>
              <w:t>Google Ads reklamos biudžetas: planuojamas apie 900 eur. per metus</w:t>
            </w:r>
          </w:p>
          <w:p>
            <w:pPr>
              <w:pStyle w:val="Normal"/>
              <w:spacing w:before="0" w:after="0"/>
              <w:jc w:val="left"/>
              <w:rPr>
                <w:sz w:val="20"/>
                <w:szCs w:val="20"/>
              </w:rPr>
            </w:pPr>
            <w:r>
              <w:rPr>
                <w:sz w:val="20"/>
                <w:szCs w:val="20"/>
                <w:lang w:eastAsia="en-US" w:bidi="ar-SA"/>
              </w:rPr>
              <w:t>(1 mėn. reklamos  kainuoja apie 300, metams bus perkami maždaug 3 mėn. reklamos)</w:t>
            </w:r>
          </w:p>
        </w:tc>
        <w:tc>
          <w:tcPr>
            <w:tcW w:w="2905" w:type="dxa"/>
            <w:tcBorders/>
          </w:tcPr>
          <w:p>
            <w:pPr>
              <w:pStyle w:val="Normal"/>
              <w:spacing w:before="0" w:after="0"/>
              <w:jc w:val="left"/>
              <w:rPr>
                <w:sz w:val="20"/>
                <w:szCs w:val="20"/>
              </w:rPr>
            </w:pPr>
            <w:r>
              <w:rPr>
                <w:sz w:val="20"/>
                <w:szCs w:val="20"/>
                <w:lang w:eastAsia="en-US" w:bidi="ar-SA"/>
              </w:rPr>
              <w:t>900 eurų - 1 metams, 2700 eurų visam sutarties galiojimo laikotarpiui.</w:t>
            </w:r>
          </w:p>
        </w:tc>
        <w:tc>
          <w:tcPr>
            <w:tcW w:w="2891" w:type="dxa"/>
            <w:tcBorders>
              <w:right w:val="single" w:sz="6" w:space="0" w:color="000000"/>
            </w:tcBorders>
          </w:tcPr>
          <w:p>
            <w:pPr>
              <w:pStyle w:val="Normal"/>
              <w:spacing w:before="0" w:after="0"/>
              <w:jc w:val="left"/>
              <w:rPr>
                <w:sz w:val="18"/>
                <w:szCs w:val="18"/>
              </w:rPr>
            </w:pPr>
            <w:r>
              <w:rPr>
                <w:sz w:val="18"/>
                <w:szCs w:val="18"/>
                <w:lang w:eastAsia="en-US" w:bidi="ar-SA"/>
              </w:rPr>
              <w:t xml:space="preserve">Mokamos reklamos užsakomos bangomis pagal poreikį, mokamos reklamos trukmė įsivertinama pagal poreikį. </w:t>
            </w:r>
          </w:p>
          <w:p>
            <w:pPr>
              <w:pStyle w:val="Normal"/>
              <w:spacing w:before="0" w:after="0"/>
              <w:jc w:val="left"/>
              <w:rPr>
                <w:sz w:val="18"/>
                <w:szCs w:val="18"/>
              </w:rPr>
            </w:pPr>
            <w:r>
              <w:rPr>
                <w:sz w:val="18"/>
                <w:szCs w:val="18"/>
                <w:lang w:eastAsia="en-US" w:bidi="ar-SA"/>
              </w:rPr>
            </w:r>
          </w:p>
          <w:p>
            <w:pPr>
              <w:pStyle w:val="Normal"/>
              <w:spacing w:before="0" w:after="0"/>
              <w:jc w:val="left"/>
              <w:rPr>
                <w:sz w:val="18"/>
                <w:szCs w:val="18"/>
              </w:rPr>
            </w:pPr>
            <w:r>
              <w:rPr>
                <w:sz w:val="18"/>
                <w:szCs w:val="18"/>
                <w:lang w:eastAsia="en-US" w:bidi="ar-SA"/>
              </w:rPr>
              <w:t>Kampanijų tikslas – didinti žinomumą (angl.</w:t>
            </w:r>
            <w:r>
              <w:rPr>
                <w:i/>
                <w:iCs/>
                <w:sz w:val="18"/>
                <w:szCs w:val="18"/>
                <w:lang w:eastAsia="en-US" w:bidi="ar-SA"/>
              </w:rPr>
              <w:t>raise awareness</w:t>
            </w:r>
            <w:r>
              <w:rPr>
                <w:sz w:val="18"/>
                <w:szCs w:val="18"/>
                <w:lang w:eastAsia="en-US" w:bidi="ar-SA"/>
              </w:rPr>
              <w:t>).  Vienai bangai perkamų kampanijų skaičius tikslinamas pagal aplinkybes ir biudžetą. Bus siekiama rinkodaroje įprastos praktikos testuoti paleistas kampanijas ir po tam tikro laiko atsisakyti tų reklamų, kurios pritraukia mažiausiai lankytojų.</w:t>
            </w:r>
          </w:p>
        </w:tc>
      </w:tr>
      <w:tr>
        <w:trPr>
          <w:trHeight w:val="2505" w:hRule="atLeast"/>
        </w:trPr>
        <w:tc>
          <w:tcPr>
            <w:tcW w:w="3884" w:type="dxa"/>
            <w:tcBorders>
              <w:left w:val="single" w:sz="6" w:space="0" w:color="000000"/>
              <w:bottom w:val="single" w:sz="6" w:space="0" w:color="000000"/>
            </w:tcBorders>
          </w:tcPr>
          <w:p>
            <w:pPr>
              <w:pStyle w:val="Normal"/>
              <w:spacing w:before="0" w:after="0"/>
              <w:jc w:val="left"/>
              <w:rPr>
                <w:sz w:val="20"/>
                <w:szCs w:val="20"/>
              </w:rPr>
            </w:pPr>
            <w:r>
              <w:rPr>
                <w:sz w:val="20"/>
                <w:szCs w:val="20"/>
                <w:lang w:eastAsia="en-US" w:bidi="ar-SA"/>
              </w:rPr>
              <w:t>Kiti:</w:t>
            </w:r>
          </w:p>
          <w:p>
            <w:pPr>
              <w:pStyle w:val="ListParagraph"/>
              <w:numPr>
                <w:ilvl w:val="0"/>
                <w:numId w:val="2"/>
              </w:numPr>
              <w:spacing w:before="0" w:after="0"/>
              <w:contextualSpacing/>
              <w:jc w:val="left"/>
              <w:rPr>
                <w:sz w:val="22"/>
                <w:szCs w:val="22"/>
                <w:lang w:eastAsia="en-US" w:bidi="ar-SA"/>
              </w:rPr>
            </w:pPr>
            <w:r>
              <w:rPr>
                <w:sz w:val="20"/>
                <w:szCs w:val="20"/>
                <w:lang w:eastAsia="en-US" w:bidi="ar-SA"/>
              </w:rPr>
              <w:t>SSL (Secure Sockets Layer) sertifikato įdiegimas ir reguliarus atnaujinimas</w:t>
            </w:r>
          </w:p>
          <w:p>
            <w:pPr>
              <w:pStyle w:val="ListParagraph"/>
              <w:numPr>
                <w:ilvl w:val="0"/>
                <w:numId w:val="2"/>
              </w:numPr>
              <w:spacing w:before="0" w:after="0"/>
              <w:contextualSpacing/>
              <w:jc w:val="left"/>
              <w:rPr>
                <w:sz w:val="20"/>
                <w:szCs w:val="20"/>
              </w:rPr>
            </w:pPr>
            <w:r>
              <w:rPr>
                <w:sz w:val="20"/>
                <w:szCs w:val="20"/>
                <w:lang w:eastAsia="en-US" w:bidi="ar-SA"/>
              </w:rPr>
              <w:t>Projekto valdymo išlaidos: susitikimai, el. laiškai, ataskaitų paruošimas;</w:t>
            </w:r>
          </w:p>
          <w:p>
            <w:pPr>
              <w:pStyle w:val="ListParagraph"/>
              <w:numPr>
                <w:ilvl w:val="0"/>
                <w:numId w:val="2"/>
              </w:numPr>
              <w:spacing w:before="0" w:after="0"/>
              <w:contextualSpacing/>
              <w:jc w:val="left"/>
              <w:rPr>
                <w:sz w:val="20"/>
                <w:szCs w:val="20"/>
              </w:rPr>
            </w:pPr>
            <w:r>
              <w:rPr>
                <w:sz w:val="20"/>
                <w:szCs w:val="20"/>
                <w:lang w:eastAsia="en-US" w:bidi="ar-SA"/>
              </w:rPr>
              <w:t>Svetainės palaikymas: “Wordpress” atnaujinimas, saugumo palaikymas, reagavimas į saugumo iššūkius;</w:t>
            </w:r>
          </w:p>
          <w:p>
            <w:pPr>
              <w:pStyle w:val="ListParagraph"/>
              <w:numPr>
                <w:ilvl w:val="0"/>
                <w:numId w:val="2"/>
              </w:numPr>
              <w:spacing w:before="0" w:after="0"/>
              <w:contextualSpacing/>
              <w:jc w:val="left"/>
              <w:rPr>
                <w:sz w:val="20"/>
                <w:szCs w:val="20"/>
              </w:rPr>
            </w:pPr>
            <w:r>
              <w:rPr>
                <w:sz w:val="20"/>
                <w:szCs w:val="20"/>
                <w:lang w:eastAsia="en-US" w:bidi="ar-SA"/>
              </w:rPr>
              <w:t>Nenumatytos, bet svarbios paslaugos.</w:t>
            </w:r>
          </w:p>
        </w:tc>
        <w:tc>
          <w:tcPr>
            <w:tcW w:w="2905" w:type="dxa"/>
            <w:tcBorders>
              <w:bottom w:val="single" w:sz="6" w:space="0" w:color="000000"/>
            </w:tcBorders>
          </w:tcPr>
          <w:p>
            <w:pPr>
              <w:pStyle w:val="Normal"/>
              <w:spacing w:before="0" w:after="0"/>
              <w:jc w:val="left"/>
              <w:rPr>
                <w:sz w:val="20"/>
                <w:szCs w:val="20"/>
              </w:rPr>
            </w:pPr>
            <w:r>
              <w:rPr>
                <w:sz w:val="20"/>
                <w:szCs w:val="20"/>
                <w:lang w:eastAsia="en-US" w:bidi="ar-SA"/>
              </w:rPr>
              <w:t>15 valandų</w:t>
            </w:r>
          </w:p>
          <w:p>
            <w:pPr>
              <w:pStyle w:val="Normal"/>
              <w:spacing w:before="0" w:after="0"/>
              <w:jc w:val="left"/>
              <w:rPr>
                <w:sz w:val="20"/>
                <w:szCs w:val="20"/>
              </w:rPr>
            </w:pPr>
            <w:r>
              <w:rPr>
                <w:sz w:val="20"/>
                <w:szCs w:val="20"/>
                <w:lang w:eastAsia="en-US" w:bidi="ar-SA"/>
              </w:rPr>
              <w:t>(paslauga 3 metams)</w:t>
            </w:r>
          </w:p>
          <w:p>
            <w:pPr>
              <w:pStyle w:val="Normal"/>
              <w:spacing w:before="0" w:after="0"/>
              <w:jc w:val="left"/>
              <w:rPr>
                <w:sz w:val="20"/>
                <w:szCs w:val="20"/>
              </w:rPr>
            </w:pPr>
            <w:r>
              <w:rPr>
                <w:sz w:val="20"/>
                <w:szCs w:val="20"/>
                <w:lang w:eastAsia="en-US" w:bidi="ar-SA"/>
              </w:rPr>
            </w:r>
          </w:p>
        </w:tc>
        <w:tc>
          <w:tcPr>
            <w:tcW w:w="2891" w:type="dxa"/>
            <w:tcBorders>
              <w:bottom w:val="single" w:sz="6" w:space="0" w:color="000000"/>
              <w:right w:val="single" w:sz="6" w:space="0" w:color="000000"/>
            </w:tcBorders>
          </w:tcPr>
          <w:p>
            <w:pPr>
              <w:pStyle w:val="Normal"/>
              <w:spacing w:before="0" w:after="0"/>
              <w:jc w:val="left"/>
              <w:rPr>
                <w:sz w:val="20"/>
                <w:szCs w:val="20"/>
              </w:rPr>
            </w:pPr>
            <w:r>
              <w:rPr>
                <w:sz w:val="20"/>
                <w:szCs w:val="20"/>
                <w:lang w:eastAsia="en-US" w:bidi="ar-SA"/>
              </w:rPr>
            </w:r>
          </w:p>
        </w:tc>
      </w:tr>
    </w:tbl>
    <w:p>
      <w:pPr>
        <w:pStyle w:val="Normal"/>
        <w:rPr>
          <w:sz w:val="20"/>
          <w:szCs w:val="20"/>
        </w:rPr>
      </w:pPr>
      <w:r>
        <w:rPr>
          <w:sz w:val="20"/>
          <w:szCs w:val="20"/>
        </w:rPr>
      </w:r>
    </w:p>
    <w:sectPr>
      <w:headerReference w:type="default" r:id="rId7"/>
      <w:headerReference w:type="first" r:id="rId8"/>
      <w:footerReference w:type="default" r:id="rId9"/>
      <w:footerReference w:type="first" r:id="rId10"/>
      <w:type w:val="nextPage"/>
      <w:pgSz w:w="11906" w:h="16838"/>
      <w:pgMar w:left="1701" w:right="567" w:gutter="0" w:header="708" w:top="1701"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210"/>
      <w:gridCol w:w="3210"/>
      <w:gridCol w:w="3210"/>
    </w:tblGrid>
    <w:tr>
      <w:trPr>
        <w:trHeight w:val="300" w:hRule="atLeast"/>
      </w:trPr>
      <w:tc>
        <w:tcPr>
          <w:tcW w:w="3210" w:type="dxa"/>
          <w:tcBorders/>
        </w:tcPr>
        <w:p>
          <w:pPr>
            <w:pStyle w:val="Header"/>
            <w:ind w:left="-115"/>
            <w:rPr/>
          </w:pPr>
          <w:r>
            <w:rPr/>
          </w:r>
        </w:p>
      </w:tc>
      <w:tc>
        <w:tcPr>
          <w:tcW w:w="3210" w:type="dxa"/>
          <w:tcBorders/>
        </w:tcPr>
        <w:p>
          <w:pPr>
            <w:pStyle w:val="Header"/>
            <w:jc w:val="center"/>
            <w:rPr/>
          </w:pPr>
          <w:r>
            <w:rPr/>
            <w:fldChar w:fldCharType="begin"/>
          </w:r>
          <w:r>
            <w:rPr/>
            <w:instrText xml:space="preserve"> PAGE </w:instrText>
          </w:r>
          <w:r>
            <w:rPr/>
            <w:fldChar w:fldCharType="separate"/>
          </w:r>
          <w:r>
            <w:rPr/>
            <w:t>6</w:t>
          </w:r>
          <w:r>
            <w:rPr/>
            <w:fldChar w:fldCharType="end"/>
          </w:r>
        </w:p>
      </w:tc>
      <w:tc>
        <w:tcPr>
          <w:tcW w:w="3210" w:type="dxa"/>
          <w:tcBorders/>
        </w:tcPr>
        <w:p>
          <w:pPr>
            <w:pStyle w:val="Header"/>
            <w:ind w:right="-115"/>
            <w:jc w:val="right"/>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210"/>
      <w:gridCol w:w="3210"/>
      <w:gridCol w:w="3210"/>
    </w:tblGrid>
    <w:tr>
      <w:trPr>
        <w:trHeight w:val="300" w:hRule="atLeast"/>
      </w:trPr>
      <w:tc>
        <w:tcPr>
          <w:tcW w:w="3210" w:type="dxa"/>
          <w:tcBorders/>
        </w:tcPr>
        <w:p>
          <w:pPr>
            <w:pStyle w:val="Header"/>
            <w:ind w:left="-115"/>
            <w:rPr/>
          </w:pPr>
          <w:r>
            <w:rPr/>
          </w:r>
        </w:p>
      </w:tc>
      <w:tc>
        <w:tcPr>
          <w:tcW w:w="3210" w:type="dxa"/>
          <w:tcBorders/>
        </w:tcPr>
        <w:p>
          <w:pPr>
            <w:pStyle w:val="Header"/>
            <w:jc w:val="center"/>
            <w:rPr/>
          </w:pPr>
          <w:r>
            <w:rPr/>
            <w:fldChar w:fldCharType="begin"/>
          </w:r>
          <w:r>
            <w:rPr/>
            <w:instrText xml:space="preserve"> PAGE </w:instrText>
          </w:r>
          <w:r>
            <w:rPr/>
            <w:fldChar w:fldCharType="separate"/>
          </w:r>
          <w:r>
            <w:rPr/>
            <w:t>7</w:t>
          </w:r>
          <w:r>
            <w:rPr/>
            <w:fldChar w:fldCharType="end"/>
          </w:r>
        </w:p>
      </w:tc>
      <w:tc>
        <w:tcPr>
          <w:tcW w:w="3210" w:type="dxa"/>
          <w:tcBorders/>
        </w:tcPr>
        <w:p>
          <w:pPr>
            <w:pStyle w:val="Header"/>
            <w:ind w:right="-115"/>
            <w:jc w:val="right"/>
            <w:rPr/>
          </w:pPr>
          <w:r>
            <w:rPr/>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210"/>
      <w:gridCol w:w="3210"/>
      <w:gridCol w:w="3210"/>
    </w:tblGrid>
    <w:tr>
      <w:trPr>
        <w:trHeight w:val="300" w:hRule="atLeast"/>
      </w:trPr>
      <w:tc>
        <w:tcPr>
          <w:tcW w:w="3210" w:type="dxa"/>
          <w:tcBorders/>
        </w:tcPr>
        <w:p>
          <w:pPr>
            <w:pStyle w:val="Header"/>
            <w:ind w:left="-115"/>
            <w:rPr/>
          </w:pPr>
          <w:r>
            <w:rPr/>
          </w:r>
        </w:p>
      </w:tc>
      <w:tc>
        <w:tcPr>
          <w:tcW w:w="3210" w:type="dxa"/>
          <w:tcBorders/>
        </w:tcPr>
        <w:p>
          <w:pPr>
            <w:pStyle w:val="Header"/>
            <w:jc w:val="center"/>
            <w:rPr/>
          </w:pPr>
          <w:r>
            <w:rPr/>
          </w:r>
        </w:p>
      </w:tc>
      <w:tc>
        <w:tcPr>
          <w:tcW w:w="3210" w:type="dxa"/>
          <w:tcBorders/>
        </w:tcPr>
        <w:p>
          <w:pPr>
            <w:pStyle w:val="Header"/>
            <w:ind w:right="-115"/>
            <w:jc w:val="right"/>
            <w:rPr/>
          </w:pPr>
          <w:r>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365" w:hanging="360"/>
      </w:pPr>
      <w:rPr/>
    </w:lvl>
    <w:lvl w:ilvl="2">
      <w:start w:val="1"/>
      <w:numFmt w:val="decimal"/>
      <w:lvlText w:val="%1.%2.%3."/>
      <w:lvlJc w:val="left"/>
      <w:pPr>
        <w:tabs>
          <w:tab w:val="num" w:pos="0"/>
        </w:tabs>
        <w:ind w:left="2085" w:hanging="180"/>
      </w:pPr>
      <w:rPr/>
    </w:lvl>
    <w:lvl w:ilvl="3">
      <w:start w:val="1"/>
      <w:numFmt w:val="decimal"/>
      <w:lvlText w:val="%1.%2.%3.%4."/>
      <w:lvlJc w:val="left"/>
      <w:pPr>
        <w:tabs>
          <w:tab w:val="num" w:pos="0"/>
        </w:tabs>
        <w:ind w:left="2805" w:hanging="360"/>
      </w:pPr>
      <w:rPr/>
    </w:lvl>
    <w:lvl w:ilvl="4">
      <w:start w:val="1"/>
      <w:numFmt w:val="decimal"/>
      <w:lvlText w:val="%1.%2.%3.%4.%5."/>
      <w:lvlJc w:val="left"/>
      <w:pPr>
        <w:tabs>
          <w:tab w:val="num" w:pos="0"/>
        </w:tabs>
        <w:ind w:left="3525" w:hanging="360"/>
      </w:pPr>
      <w:rPr/>
    </w:lvl>
    <w:lvl w:ilvl="5">
      <w:start w:val="1"/>
      <w:numFmt w:val="decimal"/>
      <w:lvlText w:val="%1.%2.%3.%4.%5.%6."/>
      <w:lvlJc w:val="left"/>
      <w:pPr>
        <w:tabs>
          <w:tab w:val="num" w:pos="0"/>
        </w:tabs>
        <w:ind w:left="4245" w:hanging="180"/>
      </w:pPr>
      <w:rPr/>
    </w:lvl>
    <w:lvl w:ilvl="6">
      <w:start w:val="1"/>
      <w:numFmt w:val="decimal"/>
      <w:lvlText w:val="%1.%2.%3.%4.%5.%6.%7."/>
      <w:lvlJc w:val="left"/>
      <w:pPr>
        <w:tabs>
          <w:tab w:val="num" w:pos="0"/>
        </w:tabs>
        <w:ind w:left="4965" w:hanging="360"/>
      </w:pPr>
      <w:rPr/>
    </w:lvl>
    <w:lvl w:ilvl="7">
      <w:start w:val="1"/>
      <w:numFmt w:val="decimal"/>
      <w:lvlText w:val="%1.%2.%3.%4.%5.%6.%7.%8."/>
      <w:lvlJc w:val="left"/>
      <w:pPr>
        <w:tabs>
          <w:tab w:val="num" w:pos="0"/>
        </w:tabs>
        <w:ind w:left="5685" w:hanging="360"/>
      </w:pPr>
      <w:rPr/>
    </w:lvl>
    <w:lvl w:ilvl="8">
      <w:start w:val="1"/>
      <w:numFmt w:val="decimal"/>
      <w:lvlText w:val="%1.%2.%3.%4.%5.%6.%7.%8.%9."/>
      <w:lvlJc w:val="left"/>
      <w:pPr>
        <w:tabs>
          <w:tab w:val="num" w:pos="0"/>
        </w:tabs>
        <w:ind w:left="6405" w:hanging="180"/>
      </w:pPr>
      <w:rPr/>
    </w:lvl>
  </w:abstractNum>
  <w:abstractNum w:abstractNumId="5">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2f9a"/>
    <w:pPr>
      <w:widowControl w:val="false"/>
      <w:bidi w:val="0"/>
      <w:spacing w:lineRule="auto" w:line="240" w:before="0" w:after="0"/>
      <w:jc w:val="left"/>
    </w:pPr>
    <w:rPr>
      <w:rFonts w:ascii="Times New Roman" w:hAnsi="Times New Roman" w:eastAsia="Times New Roman" w:cs="Times New Roman"/>
      <w:color w:val="auto"/>
      <w:kern w:val="0"/>
      <w:sz w:val="22"/>
      <w:szCs w:val="22"/>
      <w:lang w:val="lt-LT" w:eastAsia="en-US" w:bidi="ar-SA"/>
      <w14:ligatures w14:val="none"/>
    </w:rPr>
  </w:style>
  <w:style w:type="paragraph" w:styleId="Heading1">
    <w:name w:val="Heading 1"/>
    <w:basedOn w:val="Normal"/>
    <w:next w:val="Normal"/>
    <w:link w:val="Heading1Char"/>
    <w:uiPriority w:val="9"/>
    <w:qFormat/>
    <w:rsid w:val="007c107e"/>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Heading2Char"/>
    <w:uiPriority w:val="9"/>
    <w:semiHidden/>
    <w:unhideWhenUsed/>
    <w:qFormat/>
    <w:rsid w:val="007c107e"/>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semiHidden/>
    <w:unhideWhenUsed/>
    <w:qFormat/>
    <w:rsid w:val="007c107e"/>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Heading4Char"/>
    <w:uiPriority w:val="9"/>
    <w:semiHidden/>
    <w:unhideWhenUsed/>
    <w:qFormat/>
    <w:rsid w:val="007c107e"/>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Heading5Char"/>
    <w:uiPriority w:val="9"/>
    <w:semiHidden/>
    <w:unhideWhenUsed/>
    <w:qFormat/>
    <w:rsid w:val="007c107e"/>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Heading6Char"/>
    <w:uiPriority w:val="9"/>
    <w:semiHidden/>
    <w:unhideWhenUsed/>
    <w:qFormat/>
    <w:rsid w:val="007c107e"/>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7c107e"/>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7c107e"/>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7c107e"/>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7c107e"/>
    <w:rPr>
      <w:rFonts w:ascii="Calibri Light" w:hAnsi="Calibri Light" w:eastAsia=""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7c107e"/>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7c107e"/>
    <w:rPr>
      <w:rFonts w:eastAsia="" w:cs="" w:cstheme="majorBidi" w:eastAsiaTheme="majorEastAsia"/>
      <w:color w:themeColor="accent1" w:themeShade="bf" w:val="2F5496"/>
      <w:sz w:val="28"/>
      <w:szCs w:val="28"/>
    </w:rPr>
  </w:style>
  <w:style w:type="character" w:styleId="Heading4Char" w:customStyle="1">
    <w:name w:val="Heading 4 Char"/>
    <w:basedOn w:val="DefaultParagraphFont"/>
    <w:link w:val="Heading4"/>
    <w:uiPriority w:val="9"/>
    <w:semiHidden/>
    <w:qFormat/>
    <w:rsid w:val="007c107e"/>
    <w:rPr>
      <w:rFonts w:eastAsia="" w:cs="" w:cstheme="majorBidi" w:eastAsiaTheme="majorEastAsia"/>
      <w:i/>
      <w:iCs/>
      <w:color w:themeColor="accent1" w:themeShade="bf" w:val="2F5496"/>
    </w:rPr>
  </w:style>
  <w:style w:type="character" w:styleId="Heading5Char" w:customStyle="1">
    <w:name w:val="Heading 5 Char"/>
    <w:basedOn w:val="DefaultParagraphFont"/>
    <w:link w:val="Heading5"/>
    <w:uiPriority w:val="9"/>
    <w:semiHidden/>
    <w:qFormat/>
    <w:rsid w:val="007c107e"/>
    <w:rPr>
      <w:rFonts w:eastAsia="" w:cs="" w:cstheme="majorBidi" w:eastAsiaTheme="majorEastAsia"/>
      <w:color w:themeColor="accent1" w:themeShade="bf" w:val="2F5496"/>
    </w:rPr>
  </w:style>
  <w:style w:type="character" w:styleId="Heading6Char" w:customStyle="1">
    <w:name w:val="Heading 6 Char"/>
    <w:basedOn w:val="DefaultParagraphFont"/>
    <w:link w:val="Heading6"/>
    <w:uiPriority w:val="9"/>
    <w:semiHidden/>
    <w:qFormat/>
    <w:rsid w:val="007c107e"/>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7c107e"/>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7c107e"/>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7c107e"/>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7c107e"/>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7c107e"/>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7c107e"/>
    <w:rPr>
      <w:i/>
      <w:iCs/>
      <w:color w:themeColor="text1" w:themeTint="bf" w:val="404040"/>
    </w:rPr>
  </w:style>
  <w:style w:type="character" w:styleId="IntenseEmphasis">
    <w:name w:val="Intense Emphasis"/>
    <w:basedOn w:val="DefaultParagraphFont"/>
    <w:uiPriority w:val="21"/>
    <w:qFormat/>
    <w:rsid w:val="007c107e"/>
    <w:rPr>
      <w:i/>
      <w:iCs/>
      <w:color w:themeColor="accent1" w:themeShade="bf" w:val="2F5496"/>
    </w:rPr>
  </w:style>
  <w:style w:type="character" w:styleId="IntenseQuoteChar" w:customStyle="1">
    <w:name w:val="Intense Quote Char"/>
    <w:basedOn w:val="DefaultParagraphFont"/>
    <w:link w:val="IntenseQuote"/>
    <w:uiPriority w:val="30"/>
    <w:qFormat/>
    <w:rsid w:val="007c107e"/>
    <w:rPr>
      <w:i/>
      <w:iCs/>
      <w:color w:themeColor="accent1" w:themeShade="bf" w:val="2F5496"/>
    </w:rPr>
  </w:style>
  <w:style w:type="character" w:styleId="IntenseReference">
    <w:name w:val="Intense Reference"/>
    <w:basedOn w:val="DefaultParagraphFont"/>
    <w:uiPriority w:val="32"/>
    <w:qFormat/>
    <w:rsid w:val="007c107e"/>
    <w:rPr>
      <w:b/>
      <w:bCs/>
      <w:smallCaps/>
      <w:color w:themeColor="accent1" w:themeShade="bf" w:val="2F5496"/>
      <w:spacing w:val="5"/>
    </w:rPr>
  </w:style>
  <w:style w:type="character" w:styleId="BodyTextChar" w:customStyle="1">
    <w:name w:val="Body Text Char"/>
    <w:basedOn w:val="DefaultParagraphFont"/>
    <w:uiPriority w:val="1"/>
    <w:qFormat/>
    <w:rsid w:val="00fe2f9a"/>
    <w:rPr>
      <w:rFonts w:ascii="Times New Roman" w:hAnsi="Times New Roman" w:eastAsia="Times New Roman" w:cs="Times New Roman"/>
      <w:kern w:val="0"/>
      <w:sz w:val="24"/>
      <w:szCs w:val="24"/>
      <w:lang w:val="lt-LT"/>
      <w14:ligatures w14:val="none"/>
    </w:rPr>
  </w:style>
  <w:style w:type="character" w:styleId="Hyperlink">
    <w:name w:val="Hyperlink"/>
    <w:basedOn w:val="DefaultParagraphFont"/>
    <w:uiPriority w:val="99"/>
    <w:unhideWhenUsed/>
    <w:rsid w:val="00fe2f9a"/>
    <w:rPr>
      <w:color w:themeColor="hyperlink" w:val="0563C1"/>
      <w:u w:val="single"/>
    </w:rPr>
  </w:style>
  <w:style w:type="character" w:styleId="HeaderChar" w:customStyle="1">
    <w:name w:val="Header Char"/>
    <w:basedOn w:val="DefaultParagraphFont"/>
    <w:link w:val="Header"/>
    <w:uiPriority w:val="99"/>
    <w:qFormat/>
    <w:rsid w:val="00fe2f9a"/>
    <w:rPr>
      <w:rFonts w:ascii="Times New Roman" w:hAnsi="Times New Roman" w:eastAsia="Times New Roman" w:cs="Times New Roman"/>
      <w:kern w:val="0"/>
      <w:lang w:val="lt-LT"/>
      <w14:ligatures w14:val="none"/>
    </w:rPr>
  </w:style>
  <w:style w:type="character" w:styleId="FooterChar" w:customStyle="1">
    <w:name w:val="Footer Char"/>
    <w:basedOn w:val="DefaultParagraphFont"/>
    <w:link w:val="Footer"/>
    <w:uiPriority w:val="99"/>
    <w:qFormat/>
    <w:rsid w:val="00fe2f9a"/>
    <w:rPr>
      <w:rFonts w:ascii="Times New Roman" w:hAnsi="Times New Roman" w:eastAsia="Times New Roman" w:cs="Times New Roman"/>
      <w:kern w:val="0"/>
      <w:lang w:val="lt-LT"/>
      <w14:ligatures w14:val="none"/>
    </w:rPr>
  </w:style>
  <w:style w:type="character" w:styleId="UnresolvedMention">
    <w:name w:val="Unresolved Mention"/>
    <w:basedOn w:val="DefaultParagraphFont"/>
    <w:uiPriority w:val="99"/>
    <w:semiHidden/>
    <w:unhideWhenUsed/>
    <w:qFormat/>
    <w:rsid w:val="00fe2f9a"/>
    <w:rPr>
      <w:color w:val="605E5C"/>
      <w:shd w:fill="E1DFDD" w:val="clear"/>
    </w:rPr>
  </w:style>
  <w:style w:type="character" w:styleId="CommentTextChar" w:customStyle="1">
    <w:name w:val="Comment Text Char"/>
    <w:basedOn w:val="DefaultParagraphFont"/>
    <w:link w:val="Annotationtext"/>
    <w:uiPriority w:val="99"/>
    <w:qFormat/>
    <w:rPr>
      <w:rFonts w:ascii="Times New Roman" w:hAnsi="Times New Roman" w:eastAsia="Times New Roman" w:cs="Times New Roman"/>
      <w:kern w:val="0"/>
      <w:sz w:val="20"/>
      <w:szCs w:val="20"/>
      <w:lang w:val="lt-LT"/>
      <w14:ligatures w14:val="none"/>
    </w:rPr>
  </w:style>
  <w:style w:type="character" w:styleId="Annotationreference">
    <w:name w:val="annotation reference"/>
    <w:basedOn w:val="DefaultParagraphFont"/>
    <w:uiPriority w:val="99"/>
    <w:semiHidden/>
    <w:unhideWhenUsed/>
    <w:qFormat/>
    <w:rPr>
      <w:sz w:val="16"/>
      <w:szCs w:val="16"/>
    </w:rPr>
  </w:style>
  <w:style w:type="character" w:styleId="CommentSubjectChar" w:customStyle="1">
    <w:name w:val="Comment Subject Char"/>
    <w:basedOn w:val="CommentTextChar"/>
    <w:link w:val="Annotationsubject"/>
    <w:uiPriority w:val="99"/>
    <w:semiHidden/>
    <w:qFormat/>
    <w:rsid w:val="00371093"/>
    <w:rPr>
      <w:rFonts w:ascii="Times New Roman" w:hAnsi="Times New Roman" w:eastAsia="Times New Roman" w:cs="Times New Roman"/>
      <w:b/>
      <w:bCs/>
      <w:kern w:val="0"/>
      <w:sz w:val="20"/>
      <w:szCs w:val="20"/>
      <w:lang w:val="lt-LT"/>
      <w14:ligatures w14:val="non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uiPriority w:val="1"/>
    <w:qFormat/>
    <w:rsid w:val="00fe2f9a"/>
    <w:pPr>
      <w:ind w:left="1702"/>
      <w:jc w:val="both"/>
    </w:pPr>
    <w:rPr>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7c107e"/>
    <w:pPr>
      <w:spacing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7c107e"/>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7c107e"/>
    <w:pPr>
      <w:spacing w:before="160" w:after="0"/>
      <w:jc w:val="center"/>
    </w:pPr>
    <w:rPr>
      <w:i/>
      <w:iCs/>
      <w:color w:themeColor="text1" w:themeTint="bf" w:val="404040"/>
    </w:rPr>
  </w:style>
  <w:style w:type="paragraph" w:styleId="ListParagraph">
    <w:name w:val="List Paragraph"/>
    <w:basedOn w:val="Normal"/>
    <w:uiPriority w:val="1"/>
    <w:qFormat/>
    <w:rsid w:val="007c107e"/>
    <w:pPr>
      <w:spacing w:before="0" w:after="0"/>
      <w:ind w:left="720"/>
      <w:contextualSpacing/>
    </w:pPr>
    <w:rPr/>
  </w:style>
  <w:style w:type="paragraph" w:styleId="IntenseQuote">
    <w:name w:val="Intense Quote"/>
    <w:basedOn w:val="Normal"/>
    <w:next w:val="Normal"/>
    <w:link w:val="IntenseQuoteChar"/>
    <w:uiPriority w:val="30"/>
    <w:qFormat/>
    <w:rsid w:val="007c107e"/>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TableParagraph" w:customStyle="1">
    <w:name w:val="Table Paragraph"/>
    <w:basedOn w:val="Normal"/>
    <w:uiPriority w:val="1"/>
    <w:qFormat/>
    <w:rsid w:val="00fe2f9a"/>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fe2f9a"/>
    <w:pPr>
      <w:tabs>
        <w:tab w:val="clear" w:pos="720"/>
        <w:tab w:val="center" w:pos="4819" w:leader="none"/>
        <w:tab w:val="right" w:pos="9638" w:leader="none"/>
      </w:tabs>
    </w:pPr>
    <w:rPr/>
  </w:style>
  <w:style w:type="paragraph" w:styleId="Footer">
    <w:name w:val="Footer"/>
    <w:basedOn w:val="Normal"/>
    <w:link w:val="FooterChar"/>
    <w:uiPriority w:val="99"/>
    <w:unhideWhenUsed/>
    <w:rsid w:val="00fe2f9a"/>
    <w:pPr>
      <w:tabs>
        <w:tab w:val="clear" w:pos="720"/>
        <w:tab w:val="center" w:pos="4819" w:leader="none"/>
        <w:tab w:val="right" w:pos="9638" w:leader="none"/>
      </w:tabs>
    </w:pPr>
    <w:rPr/>
  </w:style>
  <w:style w:type="paragraph" w:styleId="NoSpacing">
    <w:name w:val="No Spacing"/>
    <w:uiPriority w:val="1"/>
    <w:qFormat/>
    <w:rsid w:val="27707298"/>
    <w:pPr>
      <w:widowControl/>
      <w:bidi w:val="0"/>
      <w:spacing w:lineRule="auto" w:line="259" w:before="0" w:after="0"/>
      <w:jc w:val="left"/>
    </w:pPr>
    <w:rPr>
      <w:rFonts w:ascii="Calibri" w:hAnsi="Calibri" w:eastAsia="Calibri" w:cs="" w:asciiTheme="minorHAnsi" w:cstheme="minorBidi" w:eastAsiaTheme="minorHAnsi" w:hAnsiTheme="minorHAnsi"/>
      <w:color w:val="auto"/>
      <w:kern w:val="2"/>
      <w:sz w:val="22"/>
      <w:szCs w:val="22"/>
      <w:lang w:val="en-GB" w:eastAsia="en-US" w:bidi="ar-SA"/>
      <w14:ligatures w14:val="standardContextual"/>
    </w:rPr>
  </w:style>
  <w:style w:type="paragraph" w:styleId="Standard" w:customStyle="1">
    <w:name w:val="Standard"/>
    <w:basedOn w:val="Normal"/>
    <w:uiPriority w:val="1"/>
    <w:qFormat/>
    <w:rsid w:val="7cf89923"/>
    <w:pPr/>
    <w:rPr>
      <w:rFonts w:ascii="Calibri" w:hAnsi="Calibri" w:eastAsia="" w:cs="" w:asciiTheme="minorHAnsi" w:cstheme="minorBidi" w:eastAsiaTheme="minorEastAsia" w:hAnsiTheme="minorHAnsi"/>
      <w:sz w:val="24"/>
      <w:szCs w:val="24"/>
      <w:lang w:eastAsia="lt-LT"/>
    </w:rPr>
  </w:style>
  <w:style w:type="paragraph" w:styleId="Annotationtext">
    <w:name w:val="annotation text"/>
    <w:basedOn w:val="Normal"/>
    <w:link w:val="CommentTextChar"/>
    <w:uiPriority w:val="99"/>
    <w:unhideWhenUsed/>
    <w:qFormat/>
    <w:pPr/>
    <w:rPr>
      <w:sz w:val="20"/>
      <w:szCs w:val="20"/>
    </w:rPr>
  </w:style>
  <w:style w:type="paragraph" w:styleId="Revision">
    <w:name w:val="Revision"/>
    <w:uiPriority w:val="99"/>
    <w:semiHidden/>
    <w:qFormat/>
    <w:rsid w:val="00273099"/>
    <w:pPr>
      <w:widowControl/>
      <w:bidi w:val="0"/>
      <w:spacing w:lineRule="auto" w:line="240" w:before="0" w:after="0"/>
      <w:jc w:val="left"/>
    </w:pPr>
    <w:rPr>
      <w:rFonts w:ascii="Times New Roman" w:hAnsi="Times New Roman" w:eastAsia="Times New Roman" w:cs="Times New Roman"/>
      <w:color w:val="auto"/>
      <w:kern w:val="0"/>
      <w:sz w:val="22"/>
      <w:szCs w:val="22"/>
      <w:lang w:val="lt-LT" w:eastAsia="en-US" w:bidi="ar-SA"/>
      <w14:ligatures w14:val="none"/>
    </w:rPr>
  </w:style>
  <w:style w:type="paragraph" w:styleId="Annotationsubject">
    <w:name w:val="annotation subject"/>
    <w:basedOn w:val="Annotationtext"/>
    <w:next w:val="Annotationtext"/>
    <w:link w:val="CommentSubjectChar"/>
    <w:uiPriority w:val="99"/>
    <w:semiHidden/>
    <w:unhideWhenUsed/>
    <w:qFormat/>
    <w:rsid w:val="00371093"/>
    <w:pPr/>
    <w:rPr>
      <w:b/>
      <w:bCs/>
    </w:rPr>
  </w:style>
  <w:style w:type="numbering" w:styleId="NoList" w:default="1">
    <w:name w:val="No List"/>
    <w:uiPriority w:val="99"/>
    <w:semiHidden/>
    <w:unhideWhenUsed/>
    <w:qFormat/>
  </w:style>
  <w:style w:type="numbering" w:styleId="CurrentList1" w:customStyle="1">
    <w:name w:val="Current List1"/>
    <w:uiPriority w:val="99"/>
    <w:qFormat/>
    <w:rsid w:val="00fe2f9a"/>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hyperlink" Target="mailto:ada.ekspertai@gmail.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839E50EB6F949B42E0ED915805F42" ma:contentTypeVersion="10" ma:contentTypeDescription="Create a new document." ma:contentTypeScope="" ma:versionID="00f06339608b25655b3394581268e052">
  <xsd:schema xmlns:xsd="http://www.w3.org/2001/XMLSchema" xmlns:xs="http://www.w3.org/2001/XMLSchema" xmlns:p="http://schemas.microsoft.com/office/2006/metadata/properties" xmlns:ns2="d1b24185-aeae-4433-b70e-7616315af5c2" targetNamespace="http://schemas.microsoft.com/office/2006/metadata/properties" ma:root="true" ma:fieldsID="ee478935a08d6698650880ae4844f25a"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ADE2E0-C6DE-465C-8EBF-52E175BC9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52AC99-E894-4964-844A-2A9532D7EFAD}">
  <ds:schemaRefs>
    <ds:schemaRef ds:uri="http://schemas.microsoft.com/office/2006/metadata/properties"/>
    <ds:schemaRef ds:uri="http://schemas.microsoft.com/office/infopath/2007/PartnerControls"/>
    <ds:schemaRef ds:uri="d1b24185-aeae-4433-b70e-7616315af5c2"/>
  </ds:schemaRefs>
</ds:datastoreItem>
</file>

<file path=customXml/itemProps3.xml><?xml version="1.0" encoding="utf-8"?>
<ds:datastoreItem xmlns:ds="http://schemas.openxmlformats.org/officeDocument/2006/customXml" ds:itemID="{D92CBBBE-0142-48AA-BF3F-22DD3F8417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Application>LibreOffice/7.6.4.1$Windows_X86_64 LibreOffice_project/e19e193f88cd6c0525a17fb7a176ed8e6a3e2aa1</Application>
  <AppVersion>15.0000</AppVersion>
  <Pages>7</Pages>
  <Words>1878</Words>
  <Characters>13103</Characters>
  <CharactersWithSpaces>14872</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2025-09-25T13:44:00Z</dcterms:created>
  <dc:creator>Eglė Merkytė</dc:creator>
  <dc:description/>
  <dc:language>en-US</dc:language>
  <cp:lastModifiedBy/>
  <dcterms:modified xsi:type="dcterms:W3CDTF">2025-10-10T23:16:26Z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ies>
</file>