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2E2BE0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BC3442">
        <w:rPr>
          <w:b/>
        </w:rPr>
        <w:t>PASIŪLYMAS A</w:t>
      </w:r>
      <w:r w:rsidRPr="00BC3442">
        <w:rPr>
          <w:b/>
          <w:lang w:val="lt-LT"/>
        </w:rPr>
        <w:t xml:space="preserve">TVIRAM </w:t>
      </w:r>
      <w:r w:rsidRPr="002E2BE0">
        <w:rPr>
          <w:b/>
          <w:lang w:val="lt-LT"/>
        </w:rPr>
        <w:t xml:space="preserve">KONKURSUI (TARPTAUTINIAM PIRKIMUI) </w:t>
      </w:r>
      <w:r w:rsidRPr="002E2BE0">
        <w:rPr>
          <w:b/>
          <w:lang w:val="lt-LT"/>
        </w:rPr>
        <w:br/>
      </w:r>
      <w:r w:rsidR="0007795A" w:rsidRPr="002E2BE0">
        <w:rPr>
          <w:b/>
        </w:rPr>
        <w:t>„</w:t>
      </w:r>
      <w:r w:rsidR="002E2BE0" w:rsidRPr="002E2BE0">
        <w:rPr>
          <w:rStyle w:val="Grietas"/>
          <w:caps/>
          <w:shd w:val="clear" w:color="auto" w:fill="FFFFFF"/>
        </w:rPr>
        <w:t>SPINALINĖS ADATOS</w:t>
      </w:r>
      <w:r w:rsidRPr="002E2BE0">
        <w:rPr>
          <w:b/>
        </w:rPr>
        <w:t>”</w:t>
      </w:r>
    </w:p>
    <w:p w:rsidR="008F7EFB" w:rsidRPr="002E2BE0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2E2BE0">
        <w:rPr>
          <w:b/>
          <w:bCs/>
        </w:rPr>
        <w:t xml:space="preserve"> (PIRKIMO NUMERIS CVP IS – </w:t>
      </w:r>
      <w:r w:rsidR="004F4DEA">
        <w:rPr>
          <w:b/>
          <w:bCs/>
        </w:rPr>
        <w:t>4913639</w:t>
      </w:r>
      <w:r w:rsidRPr="002E2BE0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TableGrid"/>
        <w:tblW w:w="15407" w:type="dxa"/>
        <w:tblInd w:w="5" w:type="dxa"/>
        <w:tblLayout w:type="fixed"/>
        <w:tblCellMar>
          <w:top w:w="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46"/>
        <w:gridCol w:w="5523"/>
        <w:gridCol w:w="1157"/>
        <w:gridCol w:w="931"/>
        <w:gridCol w:w="932"/>
        <w:gridCol w:w="1233"/>
        <w:gridCol w:w="1559"/>
        <w:gridCol w:w="36"/>
        <w:gridCol w:w="1595"/>
        <w:gridCol w:w="70"/>
        <w:gridCol w:w="1525"/>
      </w:tblGrid>
      <w:tr w:rsidR="00544FD6" w:rsidTr="006B5681">
        <w:trPr>
          <w:trHeight w:val="209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544FD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bCs/>
                <w:sz w:val="18"/>
                <w:szCs w:val="18"/>
              </w:rPr>
              <w:t>Pirkimo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dalies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544FD6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Prekės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pavadinimas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techninė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specifikacija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būtini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reikalavimai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, t. b.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siūlomos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prekės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blogesnių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savybių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ar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lygiavertės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012707" w:rsidRDefault="00544FD6" w:rsidP="00544FD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012707" w:rsidRDefault="00544FD6" w:rsidP="00544FD6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012707" w:rsidRDefault="00544FD6" w:rsidP="00544FD6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544FD6" w:rsidRPr="00012707" w:rsidRDefault="00544FD6" w:rsidP="00544FD6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44FD6" w:rsidRPr="00012707" w:rsidRDefault="00544FD6" w:rsidP="00544FD6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544FD6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544FD6" w:rsidRPr="00AA3F3A" w:rsidRDefault="00544FD6" w:rsidP="00544FD6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</w:p>
          <w:p w:rsidR="00544FD6" w:rsidRPr="00AA3F3A" w:rsidRDefault="00544FD6" w:rsidP="00544FD6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t.t.,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gali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būti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pateiktos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tinklalapius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544FD6" w:rsidRPr="00AA3F3A" w:rsidRDefault="00544FD6" w:rsidP="00544FD6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544FD6" w:rsidRPr="00AA3F3A" w:rsidRDefault="00544FD6" w:rsidP="00544FD6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544FD6" w:rsidRPr="00AA3F3A" w:rsidRDefault="00544FD6" w:rsidP="00544FD6">
            <w:pPr>
              <w:ind w:right="16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544FD6" w:rsidTr="006B5681">
        <w:trPr>
          <w:trHeight w:val="106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544FD6" w:rsidRPr="00AA3F3A" w:rsidRDefault="00544FD6" w:rsidP="002477A3">
            <w:pPr>
              <w:ind w:right="54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544FD6" w:rsidTr="006B5681">
        <w:trPr>
          <w:trHeight w:val="77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FD6" w:rsidRPr="003C491F" w:rsidRDefault="00544FD6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247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2477A3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D6" w:rsidRPr="00AA3F3A" w:rsidRDefault="00544FD6" w:rsidP="002477A3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.,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</w:p>
        </w:tc>
      </w:tr>
      <w:tr w:rsidR="00544FD6" w:rsidTr="006B5681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17"/>
              <w:jc w:val="center"/>
            </w:pPr>
            <w:r>
              <w:rPr>
                <w:rFonts w:eastAsia="Times New Roman"/>
                <w:b/>
                <w:sz w:val="18"/>
              </w:rPr>
              <w:t>1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21"/>
              <w:jc w:val="center"/>
            </w:pPr>
            <w:r>
              <w:rPr>
                <w:rFonts w:eastAsia="Times New Roman"/>
                <w:b/>
                <w:sz w:val="18"/>
              </w:rPr>
              <w:t>2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3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4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5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FD6" w:rsidRDefault="00544FD6" w:rsidP="002477A3">
            <w:pPr>
              <w:ind w:right="445"/>
              <w:jc w:val="center"/>
            </w:pPr>
            <w:r>
              <w:rPr>
                <w:rFonts w:eastAsia="Times New Roman"/>
                <w:b/>
                <w:sz w:val="16"/>
              </w:rPr>
              <w:t>6</w:t>
            </w:r>
            <w:r>
              <w:rPr>
                <w:rFonts w:eastAsia="Times New Roman"/>
                <w:b/>
                <w:sz w:val="14"/>
              </w:rPr>
              <w:t xml:space="preserve">    </w:t>
            </w:r>
            <w:r>
              <w:rPr>
                <w:rFonts w:eastAsia="Times New Roman"/>
                <w:b/>
                <w:sz w:val="16"/>
              </w:rPr>
              <w:t xml:space="preserve">  </w:t>
            </w: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Default="00544FD6" w:rsidP="002477A3">
            <w:pPr>
              <w:ind w:right="441"/>
              <w:jc w:val="center"/>
            </w:pPr>
            <w:r>
              <w:rPr>
                <w:rFonts w:eastAsia="Times New Roman"/>
                <w:b/>
                <w:sz w:val="14"/>
              </w:rPr>
              <w:t xml:space="preserve">7          </w:t>
            </w:r>
          </w:p>
        </w:tc>
      </w:tr>
      <w:tr w:rsidR="00544FD6" w:rsidRPr="004F4DEA" w:rsidTr="006B5681">
        <w:trPr>
          <w:trHeight w:val="298"/>
        </w:trPr>
        <w:tc>
          <w:tcPr>
            <w:tcW w:w="15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D6" w:rsidRPr="004F4DEA" w:rsidRDefault="00544FD6" w:rsidP="00544FD6">
            <w:pPr>
              <w:ind w:left="2" w:right="58"/>
              <w:jc w:val="both"/>
              <w:rPr>
                <w:rFonts w:eastAsia="Times New Roman"/>
                <w:color w:val="0070C0"/>
                <w:sz w:val="22"/>
                <w:szCs w:val="22"/>
              </w:rPr>
            </w:pPr>
            <w:proofErr w:type="spellStart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>Teikiant</w:t>
            </w:r>
            <w:proofErr w:type="spellEnd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 xml:space="preserve"> </w:t>
            </w:r>
            <w:proofErr w:type="spellStart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>pasiūlymą</w:t>
            </w:r>
            <w:proofErr w:type="spellEnd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 xml:space="preserve"> </w:t>
            </w:r>
            <w:proofErr w:type="spellStart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>pateikti</w:t>
            </w:r>
            <w:proofErr w:type="spellEnd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 xml:space="preserve"> </w:t>
            </w:r>
            <w:proofErr w:type="spellStart"/>
            <w:r w:rsidRPr="004F4DEA">
              <w:rPr>
                <w:rFonts w:eastAsia="Times New Roman"/>
                <w:b/>
                <w:color w:val="0070C0"/>
                <w:sz w:val="22"/>
                <w:szCs w:val="22"/>
                <w:u w:val="single" w:color="0070C0"/>
              </w:rPr>
              <w:t>prekių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gamintojų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etiketes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bukletus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katalogus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techninius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aprašus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ir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aktyvias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nuorodas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internetinius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tinklalapius</w:t>
            </w:r>
            <w:proofErr w:type="spellEnd"/>
            <w:r w:rsidR="004F4DEA">
              <w:rPr>
                <w:rFonts w:eastAsia="Times New Roman"/>
                <w:color w:val="0070C0"/>
                <w:sz w:val="22"/>
                <w:szCs w:val="22"/>
              </w:rPr>
              <w:t xml:space="preserve"> (GAMINTOJO SAVIDEKLARACIJA, KAD GAMINA AR PAGAMINS PREKES YRA NETINKAMA. JEIGU KITŲ ĮRODYMŲ TIEKĖJAS NETURI, TUOMET PERKANČIAJAI ORGANIZACIJAI PAPRAŠIUS, REIKĖS PRISTATYTI PREKIŲ PAVYZDŽIUS</w:t>
            </w:r>
            <w:r w:rsidR="000A6FE4">
              <w:rPr>
                <w:rFonts w:eastAsia="Times New Roman"/>
                <w:color w:val="0070C0"/>
                <w:sz w:val="22"/>
                <w:szCs w:val="22"/>
              </w:rPr>
              <w:t xml:space="preserve"> (</w:t>
            </w:r>
            <w:r w:rsidR="004F4DEA">
              <w:rPr>
                <w:rFonts w:eastAsia="Times New Roman"/>
                <w:color w:val="0070C0"/>
                <w:sz w:val="22"/>
                <w:szCs w:val="22"/>
              </w:rPr>
              <w:t xml:space="preserve">NEPRISTAČIUS </w:t>
            </w:r>
            <w:r w:rsidR="000A6FE4">
              <w:rPr>
                <w:rFonts w:eastAsia="Times New Roman"/>
                <w:color w:val="0070C0"/>
                <w:sz w:val="22"/>
                <w:szCs w:val="22"/>
              </w:rPr>
              <w:t>PREKIŲ PAVYZDŽIŲ, PASIŪLYMAS BUS ATMESTAS)</w:t>
            </w:r>
            <w:r w:rsidR="004F4DEA">
              <w:rPr>
                <w:rFonts w:eastAsia="Times New Roman"/>
                <w:color w:val="0070C0"/>
                <w:sz w:val="22"/>
                <w:szCs w:val="22"/>
              </w:rPr>
              <w:t>)</w:t>
            </w:r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Prekių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pavadinimas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gamintojas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turi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sutapti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tiek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pateiktuose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prikabintuose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dokumentuose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tiek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7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stulpelyje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įrašyta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informacija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Teikiant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pasiūlymą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7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stulpelyje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negali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būti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paliekami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ženklai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„</w:t>
            </w:r>
            <w:r w:rsidRPr="004F4DEA">
              <w:rPr>
                <w:rFonts w:eastAsia="Times New Roman"/>
                <w:color w:val="0070C0"/>
                <w:sz w:val="22"/>
                <w:szCs w:val="22"/>
                <w:u w:val="single" w:color="0070C0"/>
              </w:rPr>
              <w:t>&gt;</w:t>
            </w:r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, </w:t>
            </w:r>
            <w:r w:rsidRPr="004F4DEA">
              <w:rPr>
                <w:rFonts w:eastAsia="Times New Roman"/>
                <w:color w:val="0070C0"/>
                <w:sz w:val="22"/>
                <w:szCs w:val="22"/>
                <w:u w:val="single" w:color="0070C0"/>
              </w:rPr>
              <w:t>&lt;</w:t>
            </w:r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negali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būti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žodžių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lygiavertis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Perkančioji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organizacija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pasilieka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teisę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paprašyti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prekių</w:t>
            </w:r>
            <w:proofErr w:type="spellEnd"/>
            <w:r w:rsidRPr="004F4DEA">
              <w:rPr>
                <w:rFonts w:eastAsia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Times New Roman"/>
                <w:color w:val="0070C0"/>
                <w:sz w:val="22"/>
                <w:szCs w:val="22"/>
              </w:rPr>
              <w:t>pavyzdžių</w:t>
            </w:r>
            <w:proofErr w:type="spellEnd"/>
          </w:p>
          <w:p w:rsidR="00544FD6" w:rsidRPr="004F4DEA" w:rsidRDefault="00544FD6" w:rsidP="00544FD6">
            <w:pPr>
              <w:ind w:right="441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4F4DEA">
              <w:rPr>
                <w:b/>
                <w:bCs/>
                <w:sz w:val="22"/>
                <w:szCs w:val="22"/>
              </w:rPr>
              <w:t>Prekių</w:t>
            </w:r>
            <w:proofErr w:type="spellEnd"/>
            <w:r w:rsidRPr="004F4D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b/>
                <w:bCs/>
                <w:sz w:val="22"/>
                <w:szCs w:val="22"/>
              </w:rPr>
              <w:t>galiojimas</w:t>
            </w:r>
            <w:proofErr w:type="spellEnd"/>
            <w:r w:rsidRPr="004F4D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b/>
                <w:bCs/>
                <w:sz w:val="22"/>
                <w:szCs w:val="22"/>
              </w:rPr>
              <w:t>nuo</w:t>
            </w:r>
            <w:proofErr w:type="spellEnd"/>
            <w:r w:rsidRPr="004F4D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b/>
                <w:bCs/>
                <w:sz w:val="22"/>
                <w:szCs w:val="22"/>
              </w:rPr>
              <w:t>pristatymo</w:t>
            </w:r>
            <w:proofErr w:type="spellEnd"/>
            <w:r w:rsidRPr="004F4DEA">
              <w:rPr>
                <w:b/>
                <w:bCs/>
                <w:sz w:val="22"/>
                <w:szCs w:val="22"/>
              </w:rPr>
              <w:t xml:space="preserve"> </w:t>
            </w:r>
            <w:r w:rsidRPr="004F4DEA">
              <w:rPr>
                <w:b/>
                <w:bCs/>
                <w:sz w:val="22"/>
                <w:szCs w:val="22"/>
                <w:u w:val="single"/>
              </w:rPr>
              <w:t>&gt;</w:t>
            </w:r>
            <w:r w:rsidRPr="004F4DEA">
              <w:rPr>
                <w:b/>
                <w:bCs/>
                <w:sz w:val="22"/>
                <w:szCs w:val="22"/>
              </w:rPr>
              <w:t xml:space="preserve"> 12 </w:t>
            </w:r>
            <w:proofErr w:type="spellStart"/>
            <w:r w:rsidRPr="004F4DEA">
              <w:rPr>
                <w:b/>
                <w:bCs/>
                <w:sz w:val="22"/>
                <w:szCs w:val="22"/>
              </w:rPr>
              <w:t>mėn</w:t>
            </w:r>
            <w:proofErr w:type="spellEnd"/>
            <w:r w:rsidRPr="004F4DE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60674" w:rsidRPr="006B5681" w:rsidTr="00760674">
        <w:trPr>
          <w:trHeight w:val="1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74" w:rsidRPr="006B5681" w:rsidRDefault="00760674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Default="00760674" w:rsidP="006B5681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b/>
                <w:sz w:val="22"/>
                <w:szCs w:val="22"/>
              </w:rPr>
              <w:t>Adata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spinalinė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Quincke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tipo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be </w:t>
            </w:r>
            <w:proofErr w:type="spellStart"/>
            <w:r w:rsidRPr="006B5681">
              <w:rPr>
                <w:b/>
                <w:sz w:val="22"/>
                <w:szCs w:val="22"/>
              </w:rPr>
              <w:t>pravedėjo</w:t>
            </w:r>
            <w:proofErr w:type="spellEnd"/>
            <w:r w:rsidRPr="006B5681">
              <w:rPr>
                <w:b/>
                <w:sz w:val="22"/>
                <w:szCs w:val="22"/>
              </w:rPr>
              <w:t>.</w:t>
            </w:r>
            <w:r w:rsidRPr="006B5681">
              <w:rPr>
                <w:sz w:val="22"/>
                <w:szCs w:val="22"/>
              </w:rPr>
              <w:t xml:space="preserve"> Dydžiai:18G, 19G, 20G, 21G, 22G, 23G, 24G, 25G, 26G, 27G, 29G.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 w:rsidRPr="006B5681">
              <w:rPr>
                <w:sz w:val="22"/>
                <w:szCs w:val="22"/>
              </w:rPr>
              <w:t xml:space="preserve"> (</w:t>
            </w:r>
            <w:r w:rsidRPr="006B5681">
              <w:rPr>
                <w:sz w:val="22"/>
                <w:szCs w:val="22"/>
                <w:u w:val="single"/>
              </w:rPr>
              <w:t>+</w:t>
            </w:r>
            <w:r w:rsidRPr="006B5681">
              <w:rPr>
                <w:sz w:val="22"/>
                <w:szCs w:val="22"/>
              </w:rPr>
              <w:t xml:space="preserve">5 mm): 90 mm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t.t. </w:t>
            </w:r>
            <w:proofErr w:type="spellStart"/>
            <w:r w:rsidRPr="006B5681">
              <w:rPr>
                <w:sz w:val="22"/>
                <w:szCs w:val="22"/>
              </w:rPr>
              <w:t>Pildant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pasiūlymą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turi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būti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siūlomi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dydžiai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60674" w:rsidRPr="004F4DEA" w:rsidRDefault="00760674" w:rsidP="006B5681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Skaidria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elipsės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jungtimi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prizmės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likvoro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indikatoriumi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gerai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matomu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visose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plokštumose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74" w:rsidRPr="006B5681" w:rsidRDefault="00760674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 w:rsidRPr="006B5681">
              <w:rPr>
                <w:sz w:val="22"/>
                <w:szCs w:val="22"/>
              </w:rPr>
              <w:t>vnt</w:t>
            </w:r>
            <w:proofErr w:type="spellEnd"/>
            <w:r w:rsidRPr="006B5681">
              <w:rPr>
                <w:sz w:val="22"/>
                <w:szCs w:val="22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674" w:rsidRPr="006B5681" w:rsidRDefault="00760674" w:rsidP="006B5681">
            <w:pPr>
              <w:ind w:right="445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60674" w:rsidRPr="006B5681" w:rsidTr="00760674">
        <w:trPr>
          <w:trHeight w:val="88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674" w:rsidRPr="006B5681" w:rsidRDefault="00760674" w:rsidP="00760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Default="00760674" w:rsidP="00760674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b/>
                <w:sz w:val="22"/>
                <w:szCs w:val="22"/>
              </w:rPr>
              <w:t>Adata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spinalinė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Quincke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tipo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su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pravedėju</w:t>
            </w:r>
            <w:proofErr w:type="spellEnd"/>
            <w:r w:rsidRPr="006B5681">
              <w:rPr>
                <w:sz w:val="22"/>
                <w:szCs w:val="22"/>
              </w:rPr>
              <w:t xml:space="preserve">. </w:t>
            </w:r>
          </w:p>
          <w:p w:rsidR="00760674" w:rsidRDefault="00760674" w:rsidP="00760674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sz w:val="22"/>
                <w:szCs w:val="22"/>
              </w:rPr>
              <w:t>Dydžiai</w:t>
            </w:r>
            <w:proofErr w:type="spellEnd"/>
            <w:r w:rsidRPr="006B5681">
              <w:rPr>
                <w:sz w:val="22"/>
                <w:szCs w:val="22"/>
              </w:rPr>
              <w:t xml:space="preserve">: 25G, 26G, 27G, 29G.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 w:rsidRPr="006B5681">
              <w:rPr>
                <w:sz w:val="22"/>
                <w:szCs w:val="22"/>
              </w:rPr>
              <w:t xml:space="preserve"> (</w:t>
            </w:r>
            <w:r w:rsidRPr="006B5681">
              <w:rPr>
                <w:sz w:val="22"/>
                <w:szCs w:val="22"/>
                <w:u w:val="single"/>
              </w:rPr>
              <w:t>+</w:t>
            </w:r>
            <w:r w:rsidRPr="006B5681">
              <w:rPr>
                <w:sz w:val="22"/>
                <w:szCs w:val="22"/>
              </w:rPr>
              <w:t xml:space="preserve">5 mm): 90 mm, 120 mm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t.t. </w:t>
            </w:r>
            <w:proofErr w:type="spellStart"/>
            <w:r w:rsidRPr="006B5681">
              <w:rPr>
                <w:sz w:val="22"/>
                <w:szCs w:val="22"/>
              </w:rPr>
              <w:t>Pildant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pasiūlymą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turi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būti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siūlomi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dydžiai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60674" w:rsidRPr="006B5681" w:rsidRDefault="00760674" w:rsidP="00760674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Skaidria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elipsės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jungtimi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prizmės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likvoro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indikatoriumi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gerai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matomu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visose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plokštumose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674" w:rsidRPr="006B5681" w:rsidRDefault="00760674" w:rsidP="00760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 w:rsidRPr="006B5681">
              <w:rPr>
                <w:sz w:val="22"/>
                <w:szCs w:val="22"/>
              </w:rPr>
              <w:t>vnt</w:t>
            </w:r>
            <w:proofErr w:type="spellEnd"/>
            <w:r w:rsidRPr="006B5681">
              <w:rPr>
                <w:sz w:val="22"/>
                <w:szCs w:val="22"/>
              </w:rPr>
              <w:t>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Pr="006B5681" w:rsidRDefault="00760674" w:rsidP="0076067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Pr="006B5681" w:rsidRDefault="00760674" w:rsidP="0076067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760674" w:rsidRPr="006B5681" w:rsidRDefault="00760674" w:rsidP="0076067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76067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60674" w:rsidRPr="006B5681" w:rsidTr="00760674">
        <w:trPr>
          <w:trHeight w:val="88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674" w:rsidRDefault="00760674" w:rsidP="006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Pr="006B5681" w:rsidRDefault="00760674" w:rsidP="006B56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674" w:rsidRDefault="00760674" w:rsidP="006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760674" w:rsidRPr="006B5681" w:rsidRDefault="00760674" w:rsidP="006B5681">
            <w:pPr>
              <w:ind w:right="445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74" w:rsidRPr="006B5681" w:rsidRDefault="00760674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B5681" w:rsidRPr="006B5681" w:rsidTr="00760674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681" w:rsidRPr="006B5681" w:rsidRDefault="004F4DEA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b/>
                <w:sz w:val="22"/>
                <w:szCs w:val="22"/>
              </w:rPr>
              <w:t>Adata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spinalinė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Sprotte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tipo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ar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lygiavertė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su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pravedėju</w:t>
            </w:r>
            <w:proofErr w:type="spellEnd"/>
            <w:r w:rsidRPr="006B5681">
              <w:rPr>
                <w:sz w:val="22"/>
                <w:szCs w:val="22"/>
              </w:rPr>
              <w:t xml:space="preserve">. </w:t>
            </w:r>
          </w:p>
          <w:p w:rsidR="006B5681" w:rsidRDefault="006B5681" w:rsidP="006B5681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sz w:val="22"/>
                <w:szCs w:val="22"/>
              </w:rPr>
              <w:t>Dydis</w:t>
            </w:r>
            <w:proofErr w:type="spellEnd"/>
            <w:r w:rsidRPr="006B5681">
              <w:rPr>
                <w:sz w:val="22"/>
                <w:szCs w:val="22"/>
              </w:rPr>
              <w:t xml:space="preserve"> 27G.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 w:rsidRPr="006B5681">
              <w:rPr>
                <w:sz w:val="22"/>
                <w:szCs w:val="22"/>
              </w:rPr>
              <w:t xml:space="preserve"> (</w:t>
            </w:r>
            <w:r w:rsidRPr="006B5681">
              <w:rPr>
                <w:sz w:val="22"/>
                <w:szCs w:val="22"/>
                <w:u w:val="single"/>
              </w:rPr>
              <w:t>+</w:t>
            </w:r>
            <w:r w:rsidRPr="006B5681">
              <w:rPr>
                <w:sz w:val="22"/>
                <w:szCs w:val="22"/>
              </w:rPr>
              <w:t xml:space="preserve">5 mm): 90 mm, 100 mm, 120 mm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t.t. </w:t>
            </w:r>
            <w:proofErr w:type="spellStart"/>
            <w:r w:rsidRPr="006B5681">
              <w:rPr>
                <w:sz w:val="22"/>
                <w:szCs w:val="22"/>
              </w:rPr>
              <w:t>Pildant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pasiūlymą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turi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būti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siūlomi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 w:rsidR="004F4DEA">
              <w:rPr>
                <w:sz w:val="22"/>
                <w:szCs w:val="22"/>
              </w:rPr>
              <w:t>.</w:t>
            </w:r>
          </w:p>
          <w:p w:rsidR="004F4DEA" w:rsidRPr="006B5681" w:rsidRDefault="004F4DEA" w:rsidP="006B5681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Skaidria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elipsės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jungtimi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prizmės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likvoro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indikatoriumi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gerai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matomu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visose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plokštumose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681" w:rsidRPr="006B5681" w:rsidRDefault="004F4DEA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 w:rsidR="006B5681" w:rsidRPr="006B5681">
              <w:rPr>
                <w:sz w:val="22"/>
                <w:szCs w:val="22"/>
              </w:rPr>
              <w:t>vnt</w:t>
            </w:r>
            <w:proofErr w:type="spellEnd"/>
            <w:r w:rsidR="006B5681" w:rsidRPr="006B5681">
              <w:rPr>
                <w:sz w:val="22"/>
                <w:szCs w:val="22"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5681" w:rsidRPr="006B5681" w:rsidRDefault="006B5681" w:rsidP="006B5681">
            <w:pPr>
              <w:ind w:right="445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B5681" w:rsidRPr="006B5681" w:rsidTr="006B5681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681" w:rsidRPr="006B5681" w:rsidRDefault="004F4DEA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b/>
                <w:sz w:val="22"/>
                <w:szCs w:val="22"/>
              </w:rPr>
              <w:t>Adata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spinalinė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Sprotte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tipo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ar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lygiavertė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su</w:t>
            </w:r>
            <w:proofErr w:type="spellEnd"/>
            <w:r w:rsidRPr="006B56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b/>
                <w:sz w:val="22"/>
                <w:szCs w:val="22"/>
              </w:rPr>
              <w:t>pravedėju</w:t>
            </w:r>
            <w:proofErr w:type="spellEnd"/>
            <w:r w:rsidRPr="006B5681">
              <w:rPr>
                <w:sz w:val="22"/>
                <w:szCs w:val="22"/>
              </w:rPr>
              <w:t xml:space="preserve">. </w:t>
            </w:r>
          </w:p>
          <w:p w:rsidR="006B5681" w:rsidRDefault="006B5681" w:rsidP="006B5681">
            <w:pPr>
              <w:jc w:val="both"/>
              <w:rPr>
                <w:sz w:val="22"/>
                <w:szCs w:val="22"/>
              </w:rPr>
            </w:pPr>
            <w:proofErr w:type="spellStart"/>
            <w:r w:rsidRPr="006B5681">
              <w:rPr>
                <w:sz w:val="22"/>
                <w:szCs w:val="22"/>
              </w:rPr>
              <w:t>Dydis</w:t>
            </w:r>
            <w:proofErr w:type="spellEnd"/>
            <w:r w:rsidRPr="006B5681">
              <w:rPr>
                <w:sz w:val="22"/>
                <w:szCs w:val="22"/>
              </w:rPr>
              <w:t xml:space="preserve"> 25G.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  <w:r w:rsidRPr="006B5681">
              <w:rPr>
                <w:sz w:val="22"/>
                <w:szCs w:val="22"/>
              </w:rPr>
              <w:t xml:space="preserve"> (</w:t>
            </w:r>
            <w:r w:rsidRPr="006B5681">
              <w:rPr>
                <w:sz w:val="22"/>
                <w:szCs w:val="22"/>
                <w:u w:val="single"/>
              </w:rPr>
              <w:t>+</w:t>
            </w:r>
            <w:r w:rsidRPr="006B5681">
              <w:rPr>
                <w:sz w:val="22"/>
                <w:szCs w:val="22"/>
              </w:rPr>
              <w:t xml:space="preserve">5 mm): 90 mm, 100 mm, 120 mm </w:t>
            </w:r>
            <w:proofErr w:type="spellStart"/>
            <w:r w:rsidRPr="006B5681">
              <w:rPr>
                <w:sz w:val="22"/>
                <w:szCs w:val="22"/>
              </w:rPr>
              <w:t>ir</w:t>
            </w:r>
            <w:proofErr w:type="spellEnd"/>
            <w:r w:rsidRPr="006B5681">
              <w:rPr>
                <w:sz w:val="22"/>
                <w:szCs w:val="22"/>
              </w:rPr>
              <w:t xml:space="preserve"> t.t. </w:t>
            </w:r>
            <w:proofErr w:type="spellStart"/>
            <w:r w:rsidRPr="006B5681">
              <w:rPr>
                <w:sz w:val="22"/>
                <w:szCs w:val="22"/>
              </w:rPr>
              <w:t>Pildant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pasiūlymą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turi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būti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siūlomi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visi</w:t>
            </w:r>
            <w:proofErr w:type="spellEnd"/>
            <w:r w:rsidRPr="006B5681">
              <w:rPr>
                <w:sz w:val="22"/>
                <w:szCs w:val="22"/>
              </w:rPr>
              <w:t xml:space="preserve"> </w:t>
            </w:r>
            <w:proofErr w:type="spellStart"/>
            <w:r w:rsidRPr="006B5681">
              <w:rPr>
                <w:sz w:val="22"/>
                <w:szCs w:val="22"/>
              </w:rPr>
              <w:t>ilgiai</w:t>
            </w:r>
            <w:proofErr w:type="spellEnd"/>
          </w:p>
          <w:p w:rsidR="004F4DEA" w:rsidRPr="006B5681" w:rsidRDefault="004F4DEA" w:rsidP="006B5681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Skaidria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elipsės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jungtimi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prizmės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ar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lygiavertės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formos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likvoro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indikatoriumi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gerai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matomu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visose</w:t>
            </w:r>
            <w:proofErr w:type="spellEnd"/>
            <w:r w:rsidRPr="004F4DE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4F4DEA">
              <w:rPr>
                <w:rFonts w:eastAsia="Calibri"/>
                <w:iCs/>
                <w:sz w:val="22"/>
                <w:szCs w:val="22"/>
              </w:rPr>
              <w:t>plokštumose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681" w:rsidRPr="006B5681" w:rsidRDefault="004F4DEA" w:rsidP="006B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 w:rsidR="006B5681" w:rsidRPr="006B5681">
              <w:rPr>
                <w:sz w:val="22"/>
                <w:szCs w:val="22"/>
              </w:rPr>
              <w:t>vnt</w:t>
            </w:r>
            <w:proofErr w:type="spellEnd"/>
            <w:r w:rsidR="006B5681" w:rsidRPr="006B5681">
              <w:rPr>
                <w:sz w:val="22"/>
                <w:szCs w:val="22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19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5681" w:rsidRPr="006B5681" w:rsidRDefault="006B5681" w:rsidP="006B5681">
            <w:pPr>
              <w:ind w:right="445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81" w:rsidRPr="006B5681" w:rsidRDefault="006B5681" w:rsidP="006B5681">
            <w:pPr>
              <w:ind w:right="44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2E2BE0" w:rsidRPr="001903BC" w:rsidRDefault="002E2BE0" w:rsidP="00430F4B">
      <w:pPr>
        <w:widowControl w:val="0"/>
        <w:jc w:val="center"/>
        <w:rPr>
          <w:b/>
          <w:sz w:val="22"/>
          <w:szCs w:val="22"/>
          <w:highlight w:val="green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7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12"/>
  </w:num>
  <w:num w:numId="7">
    <w:abstractNumId w:val="22"/>
  </w:num>
  <w:num w:numId="8">
    <w:abstractNumId w:val="30"/>
  </w:num>
  <w:num w:numId="9">
    <w:abstractNumId w:val="14"/>
  </w:num>
  <w:num w:numId="10">
    <w:abstractNumId w:val="45"/>
  </w:num>
  <w:num w:numId="11">
    <w:abstractNumId w:val="16"/>
  </w:num>
  <w:num w:numId="12">
    <w:abstractNumId w:val="19"/>
  </w:num>
  <w:num w:numId="13">
    <w:abstractNumId w:val="3"/>
  </w:num>
  <w:num w:numId="14">
    <w:abstractNumId w:val="25"/>
  </w:num>
  <w:num w:numId="15">
    <w:abstractNumId w:val="6"/>
  </w:num>
  <w:num w:numId="16">
    <w:abstractNumId w:val="21"/>
  </w:num>
  <w:num w:numId="17">
    <w:abstractNumId w:val="46"/>
  </w:num>
  <w:num w:numId="18">
    <w:abstractNumId w:val="15"/>
  </w:num>
  <w:num w:numId="19">
    <w:abstractNumId w:val="35"/>
  </w:num>
  <w:num w:numId="20">
    <w:abstractNumId w:val="17"/>
  </w:num>
  <w:num w:numId="21">
    <w:abstractNumId w:val="10"/>
  </w:num>
  <w:num w:numId="22">
    <w:abstractNumId w:val="39"/>
  </w:num>
  <w:num w:numId="23">
    <w:abstractNumId w:val="36"/>
  </w:num>
  <w:num w:numId="24">
    <w:abstractNumId w:val="33"/>
  </w:num>
  <w:num w:numId="25">
    <w:abstractNumId w:val="41"/>
  </w:num>
  <w:num w:numId="26">
    <w:abstractNumId w:val="0"/>
  </w:num>
  <w:num w:numId="27">
    <w:abstractNumId w:val="31"/>
  </w:num>
  <w:num w:numId="28">
    <w:abstractNumId w:val="43"/>
  </w:num>
  <w:num w:numId="29">
    <w:abstractNumId w:val="37"/>
  </w:num>
  <w:num w:numId="30">
    <w:abstractNumId w:val="4"/>
  </w:num>
  <w:num w:numId="31">
    <w:abstractNumId w:val="11"/>
  </w:num>
  <w:num w:numId="32">
    <w:abstractNumId w:val="8"/>
  </w:num>
  <w:num w:numId="33">
    <w:abstractNumId w:val="20"/>
  </w:num>
  <w:num w:numId="34">
    <w:abstractNumId w:val="29"/>
  </w:num>
  <w:num w:numId="35">
    <w:abstractNumId w:val="42"/>
  </w:num>
  <w:num w:numId="36">
    <w:abstractNumId w:val="5"/>
  </w:num>
  <w:num w:numId="37">
    <w:abstractNumId w:val="40"/>
  </w:num>
  <w:num w:numId="38">
    <w:abstractNumId w:val="24"/>
  </w:num>
  <w:num w:numId="39">
    <w:abstractNumId w:val="32"/>
  </w:num>
  <w:num w:numId="40">
    <w:abstractNumId w:val="38"/>
  </w:num>
  <w:num w:numId="41">
    <w:abstractNumId w:val="2"/>
  </w:num>
  <w:num w:numId="42">
    <w:abstractNumId w:val="27"/>
  </w:num>
  <w:num w:numId="43">
    <w:abstractNumId w:val="13"/>
  </w:num>
  <w:num w:numId="44">
    <w:abstractNumId w:val="28"/>
  </w:num>
  <w:num w:numId="45">
    <w:abstractNumId w:val="1"/>
  </w:num>
  <w:num w:numId="46">
    <w:abstractNumId w:val="7"/>
  </w:num>
  <w:num w:numId="47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4F4DEA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97DD9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62A6-77F8-4221-9372-C9B759D1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4031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2023-04-04T08:48:00Z</cp:lastPrinted>
  <dcterms:created xsi:type="dcterms:W3CDTF">2025-10-13T05:14:00Z</dcterms:created>
  <dcterms:modified xsi:type="dcterms:W3CDTF">2025-10-13T05:14:00Z</dcterms:modified>
  <dc:language>lt-LT</dc:language>
</cp:coreProperties>
</file>