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B79EB" w14:textId="77777777" w:rsidR="00504A40" w:rsidRPr="006D00B7" w:rsidRDefault="009F78A6" w:rsidP="00E56452">
      <w:pPr>
        <w:jc w:val="right"/>
        <w:rPr>
          <w:sz w:val="22"/>
          <w:szCs w:val="22"/>
          <w:lang w:val="lt-LT" w:eastAsia="lt-LT"/>
        </w:rPr>
      </w:pPr>
      <w:r w:rsidRPr="006D00B7">
        <w:rPr>
          <w:sz w:val="22"/>
          <w:szCs w:val="22"/>
          <w:lang w:val="lt-LT" w:eastAsia="lt-LT"/>
        </w:rPr>
        <w:t xml:space="preserve">SPS </w:t>
      </w:r>
      <w:r w:rsidR="00E56452">
        <w:rPr>
          <w:sz w:val="22"/>
          <w:szCs w:val="22"/>
          <w:lang w:val="lt-LT" w:eastAsia="lt-LT"/>
        </w:rPr>
        <w:t xml:space="preserve">2 </w:t>
      </w:r>
      <w:r w:rsidR="00504A40" w:rsidRPr="006D00B7">
        <w:rPr>
          <w:sz w:val="22"/>
          <w:szCs w:val="22"/>
          <w:lang w:val="lt-LT" w:eastAsia="lt-LT"/>
        </w:rPr>
        <w:t xml:space="preserve">priedas </w:t>
      </w:r>
    </w:p>
    <w:p w14:paraId="29811353" w14:textId="77777777" w:rsidR="00504A40" w:rsidRPr="006D00B7" w:rsidRDefault="00504A40" w:rsidP="00507E39">
      <w:pPr>
        <w:pStyle w:val="Title"/>
        <w:rPr>
          <w:sz w:val="22"/>
          <w:szCs w:val="22"/>
        </w:rPr>
      </w:pPr>
    </w:p>
    <w:p w14:paraId="57CF20CE" w14:textId="77777777" w:rsidR="001B43AB" w:rsidRPr="006D00B7" w:rsidRDefault="001B43AB" w:rsidP="001B43AB">
      <w:pPr>
        <w:jc w:val="center"/>
        <w:rPr>
          <w:b/>
          <w:sz w:val="22"/>
          <w:szCs w:val="22"/>
          <w:lang w:val="lt-LT" w:eastAsia="lt-LT"/>
        </w:rPr>
      </w:pPr>
      <w:r w:rsidRPr="006D00B7">
        <w:rPr>
          <w:b/>
          <w:sz w:val="22"/>
          <w:szCs w:val="22"/>
          <w:lang w:val="lt-LT" w:eastAsia="lt-LT"/>
        </w:rPr>
        <w:t xml:space="preserve">PASLAUGŲ </w:t>
      </w:r>
      <w:r w:rsidR="00065F9F" w:rsidRPr="006D00B7">
        <w:rPr>
          <w:b/>
          <w:sz w:val="22"/>
          <w:szCs w:val="22"/>
          <w:lang w:val="lt-LT" w:eastAsia="lt-LT"/>
        </w:rPr>
        <w:t xml:space="preserve">TEIKIMO </w:t>
      </w:r>
      <w:r w:rsidRPr="006D00B7">
        <w:rPr>
          <w:b/>
          <w:sz w:val="22"/>
          <w:szCs w:val="22"/>
          <w:lang w:val="lt-LT" w:eastAsia="lt-LT"/>
        </w:rPr>
        <w:t>SUTARTIS NR.</w:t>
      </w:r>
    </w:p>
    <w:p w14:paraId="402A6DE1" w14:textId="77777777" w:rsidR="001B43AB" w:rsidRPr="006D00B7" w:rsidRDefault="001B43AB" w:rsidP="001B43AB">
      <w:pPr>
        <w:jc w:val="right"/>
        <w:rPr>
          <w:sz w:val="22"/>
          <w:szCs w:val="22"/>
          <w:lang w:val="lt-LT" w:eastAsia="lt-LT"/>
        </w:rPr>
      </w:pPr>
    </w:p>
    <w:p w14:paraId="36C631EC" w14:textId="0C352B11" w:rsidR="001147BB" w:rsidRPr="006D00B7" w:rsidRDefault="001147BB" w:rsidP="006D00B7">
      <w:pPr>
        <w:rPr>
          <w:sz w:val="22"/>
          <w:szCs w:val="22"/>
          <w:lang w:val="lt-LT" w:eastAsia="lt-LT"/>
        </w:rPr>
      </w:pPr>
      <w:r w:rsidRPr="006D00B7">
        <w:rPr>
          <w:sz w:val="22"/>
          <w:szCs w:val="22"/>
          <w:lang w:val="lt-LT" w:eastAsia="lt-LT"/>
        </w:rPr>
        <w:t>Vilnius</w:t>
      </w:r>
      <w:r w:rsidRPr="006D00B7">
        <w:rPr>
          <w:sz w:val="22"/>
          <w:szCs w:val="22"/>
          <w:lang w:val="lt-LT" w:eastAsia="lt-LT"/>
        </w:rPr>
        <w:tab/>
        <w:t xml:space="preserve">                                                                                             </w:t>
      </w:r>
      <w:r w:rsidR="006D00B7">
        <w:rPr>
          <w:sz w:val="22"/>
          <w:szCs w:val="22"/>
          <w:lang w:val="lt-LT" w:eastAsia="lt-LT"/>
        </w:rPr>
        <w:t xml:space="preserve">                    </w:t>
      </w:r>
      <w:r w:rsidRPr="006D00B7">
        <w:rPr>
          <w:sz w:val="22"/>
          <w:szCs w:val="22"/>
          <w:lang w:val="lt-LT" w:eastAsia="lt-LT"/>
        </w:rPr>
        <w:t xml:space="preserve">  </w:t>
      </w:r>
      <w:r w:rsidR="00627896">
        <w:rPr>
          <w:sz w:val="22"/>
          <w:szCs w:val="22"/>
          <w:lang w:val="lt-LT" w:eastAsia="lt-LT"/>
        </w:rPr>
        <w:t>202</w:t>
      </w:r>
      <w:r w:rsidR="0044674E">
        <w:rPr>
          <w:sz w:val="22"/>
          <w:szCs w:val="22"/>
          <w:lang w:val="lt-LT" w:eastAsia="lt-LT"/>
        </w:rPr>
        <w:t>5</w:t>
      </w:r>
      <w:r w:rsidRPr="006D00B7">
        <w:rPr>
          <w:sz w:val="22"/>
          <w:szCs w:val="22"/>
          <w:lang w:val="lt-LT" w:eastAsia="lt-LT"/>
        </w:rPr>
        <w:t xml:space="preserve"> m. _______</w:t>
      </w:r>
      <w:r w:rsidR="00095C47">
        <w:rPr>
          <w:sz w:val="22"/>
          <w:szCs w:val="22"/>
          <w:lang w:val="lt-LT" w:eastAsia="lt-LT"/>
        </w:rPr>
        <w:t xml:space="preserve">  </w:t>
      </w:r>
      <w:r w:rsidRPr="006D00B7">
        <w:rPr>
          <w:sz w:val="22"/>
          <w:szCs w:val="22"/>
          <w:lang w:val="lt-LT" w:eastAsia="lt-LT"/>
        </w:rPr>
        <w:t>__ d.</w:t>
      </w:r>
    </w:p>
    <w:p w14:paraId="6C75F4C3" w14:textId="77777777" w:rsidR="001147BB" w:rsidRPr="006D00B7" w:rsidRDefault="001147BB" w:rsidP="001147BB">
      <w:pPr>
        <w:jc w:val="both"/>
        <w:rPr>
          <w:sz w:val="22"/>
          <w:szCs w:val="22"/>
          <w:lang w:val="lt-LT" w:eastAsia="lt-LT"/>
        </w:rPr>
      </w:pPr>
    </w:p>
    <w:p w14:paraId="043BC85E" w14:textId="6EF77A06" w:rsidR="00E56452" w:rsidRPr="00E56452" w:rsidRDefault="001147BB" w:rsidP="00E56452">
      <w:pPr>
        <w:jc w:val="both"/>
        <w:rPr>
          <w:sz w:val="22"/>
          <w:szCs w:val="22"/>
          <w:lang w:val="lt-LT" w:eastAsia="lt-LT"/>
        </w:rPr>
      </w:pPr>
      <w:r w:rsidRPr="006D00B7">
        <w:rPr>
          <w:sz w:val="22"/>
          <w:szCs w:val="22"/>
          <w:lang w:val="lt-LT" w:eastAsia="lt-LT"/>
        </w:rPr>
        <w:t>Viešoji įstaiga Vilniaus universiteto ligoninė Santaros klinikos (toliau – Užsakovas), atstovaujam</w:t>
      </w:r>
      <w:r w:rsidR="00D9493C">
        <w:rPr>
          <w:sz w:val="22"/>
          <w:szCs w:val="22"/>
          <w:lang w:val="lt-LT" w:eastAsia="lt-LT"/>
        </w:rPr>
        <w:t>a</w:t>
      </w:r>
      <w:r w:rsidRPr="006D00B7">
        <w:rPr>
          <w:sz w:val="22"/>
          <w:szCs w:val="22"/>
          <w:lang w:val="lt-LT" w:eastAsia="lt-LT"/>
        </w:rPr>
        <w:t xml:space="preserve"> </w:t>
      </w:r>
      <w:r w:rsidR="00A36DE9">
        <w:rPr>
          <w:sz w:val="22"/>
          <w:szCs w:val="22"/>
          <w:lang w:val="lt-LT" w:eastAsia="lt-LT"/>
        </w:rPr>
        <w:t xml:space="preserve">generalinio direktoriaus </w:t>
      </w:r>
      <w:r w:rsidR="002E02F1">
        <w:rPr>
          <w:sz w:val="22"/>
          <w:szCs w:val="22"/>
          <w:lang w:val="lt-LT" w:eastAsia="lt-LT"/>
        </w:rPr>
        <w:t>Tomo Jovaišos</w:t>
      </w:r>
      <w:r w:rsidRPr="006D00B7">
        <w:rPr>
          <w:sz w:val="22"/>
          <w:szCs w:val="22"/>
          <w:lang w:val="lt-LT" w:eastAsia="lt-LT"/>
        </w:rPr>
        <w:t xml:space="preserve">, veikiančio </w:t>
      </w:r>
      <w:r w:rsidR="007A39C7" w:rsidRPr="006D00B7">
        <w:rPr>
          <w:sz w:val="22"/>
          <w:szCs w:val="22"/>
          <w:lang w:val="lt-LT" w:eastAsia="lt-LT"/>
        </w:rPr>
        <w:t>pagal įstaigos įstatus</w:t>
      </w:r>
      <w:r w:rsidR="00A36DE9">
        <w:rPr>
          <w:sz w:val="22"/>
          <w:szCs w:val="22"/>
          <w:lang w:val="lt-LT" w:eastAsia="lt-LT"/>
        </w:rPr>
        <w:t>,</w:t>
      </w:r>
      <w:r w:rsidRPr="006D00B7">
        <w:rPr>
          <w:sz w:val="22"/>
          <w:szCs w:val="22"/>
          <w:lang w:val="lt-LT" w:eastAsia="lt-LT"/>
        </w:rPr>
        <w:t xml:space="preserve"> ir ...................</w:t>
      </w:r>
      <w:r w:rsidR="007A39C7" w:rsidRPr="006D00B7">
        <w:rPr>
          <w:sz w:val="22"/>
          <w:szCs w:val="22"/>
          <w:lang w:val="lt-LT" w:eastAsia="lt-LT"/>
        </w:rPr>
        <w:t>....................................</w:t>
      </w:r>
      <w:r w:rsidRPr="006D00B7">
        <w:rPr>
          <w:sz w:val="22"/>
          <w:szCs w:val="22"/>
          <w:lang w:val="lt-LT" w:eastAsia="lt-LT"/>
        </w:rPr>
        <w:t xml:space="preserve"> (toliau – Paslaugų teikėjas), atstovaujama ............................,</w:t>
      </w:r>
      <w:r w:rsidR="00E56452">
        <w:rPr>
          <w:sz w:val="22"/>
          <w:szCs w:val="22"/>
          <w:lang w:val="lt-LT" w:eastAsia="lt-LT"/>
        </w:rPr>
        <w:t xml:space="preserve"> veikiančio pagal</w:t>
      </w:r>
      <w:r w:rsidR="00D9493C">
        <w:rPr>
          <w:sz w:val="22"/>
          <w:szCs w:val="22"/>
          <w:lang w:val="lt-LT" w:eastAsia="lt-LT"/>
        </w:rPr>
        <w:t xml:space="preserve"> </w:t>
      </w:r>
      <w:r w:rsidR="00E56452">
        <w:rPr>
          <w:sz w:val="22"/>
          <w:szCs w:val="22"/>
          <w:lang w:val="lt-LT" w:eastAsia="lt-LT"/>
        </w:rPr>
        <w:t>........................</w:t>
      </w:r>
      <w:r w:rsidRPr="006D00B7">
        <w:rPr>
          <w:sz w:val="22"/>
          <w:szCs w:val="22"/>
          <w:lang w:val="lt-LT" w:eastAsia="lt-LT"/>
        </w:rPr>
        <w:t xml:space="preserve">, </w:t>
      </w:r>
      <w:r w:rsidR="00D9493C" w:rsidRPr="00D9493C">
        <w:rPr>
          <w:sz w:val="22"/>
          <w:szCs w:val="22"/>
          <w:lang w:val="lt-LT" w:eastAsia="lt-LT"/>
        </w:rPr>
        <w:t xml:space="preserve">laimėjusi </w:t>
      </w:r>
      <w:r w:rsidR="0044674E">
        <w:rPr>
          <w:sz w:val="22"/>
          <w:szCs w:val="22"/>
          <w:lang w:val="lt-LT" w:eastAsia="lt-LT"/>
        </w:rPr>
        <w:t>supaprastint</w:t>
      </w:r>
      <w:r w:rsidR="00CD24C7">
        <w:rPr>
          <w:sz w:val="22"/>
          <w:szCs w:val="22"/>
          <w:lang w:val="lt-LT" w:eastAsia="lt-LT"/>
        </w:rPr>
        <w:t>ą</w:t>
      </w:r>
      <w:r w:rsidR="00D9493C" w:rsidRPr="00D9493C">
        <w:rPr>
          <w:sz w:val="22"/>
          <w:szCs w:val="22"/>
          <w:lang w:val="lt-LT" w:eastAsia="lt-LT"/>
        </w:rPr>
        <w:t xml:space="preserve"> atviro konkurso būdu vykusį pirkimą</w:t>
      </w:r>
      <w:r w:rsidR="00E56452">
        <w:rPr>
          <w:sz w:val="22"/>
          <w:szCs w:val="22"/>
          <w:lang w:val="lt-LT" w:eastAsia="lt-LT"/>
        </w:rPr>
        <w:t xml:space="preserve"> </w:t>
      </w:r>
      <w:r w:rsidRPr="006D00B7">
        <w:rPr>
          <w:sz w:val="22"/>
          <w:szCs w:val="22"/>
          <w:lang w:val="lt-LT" w:eastAsia="lt-LT"/>
        </w:rPr>
        <w:t>„</w:t>
      </w:r>
      <w:r w:rsidR="00475093" w:rsidRPr="006D00B7">
        <w:rPr>
          <w:sz w:val="22"/>
          <w:szCs w:val="22"/>
          <w:lang w:val="lt-LT" w:eastAsia="lt-LT"/>
        </w:rPr>
        <w:t>Išorinio laboratorinių tyrimų kokybės vertinimo</w:t>
      </w:r>
      <w:r w:rsidR="00627896">
        <w:rPr>
          <w:sz w:val="22"/>
          <w:szCs w:val="22"/>
          <w:lang w:val="lt-LT" w:eastAsia="lt-LT"/>
        </w:rPr>
        <w:t xml:space="preserve"> paslaugos </w:t>
      </w:r>
      <w:r w:rsidR="00A36DE9">
        <w:rPr>
          <w:sz w:val="22"/>
          <w:szCs w:val="22"/>
          <w:lang w:val="lt-LT" w:eastAsia="lt-LT"/>
        </w:rPr>
        <w:t>(</w:t>
      </w:r>
      <w:r w:rsidR="0044674E">
        <w:rPr>
          <w:sz w:val="22"/>
          <w:szCs w:val="22"/>
          <w:lang w:val="lt-LT" w:eastAsia="lt-LT"/>
        </w:rPr>
        <w:t>9386</w:t>
      </w:r>
      <w:r w:rsidR="00A36DE9">
        <w:rPr>
          <w:sz w:val="22"/>
          <w:szCs w:val="22"/>
          <w:lang w:val="lt-LT" w:eastAsia="lt-LT"/>
        </w:rPr>
        <w:t>)</w:t>
      </w:r>
      <w:r w:rsidRPr="006D00B7">
        <w:rPr>
          <w:sz w:val="22"/>
          <w:szCs w:val="22"/>
          <w:lang w:val="lt-LT" w:eastAsia="lt-LT"/>
        </w:rPr>
        <w:t xml:space="preserve">“ </w:t>
      </w:r>
      <w:r w:rsidR="00E56452" w:rsidRPr="00E56452">
        <w:rPr>
          <w:sz w:val="22"/>
          <w:szCs w:val="22"/>
          <w:lang w:val="lt-LT" w:eastAsia="lt-LT"/>
        </w:rPr>
        <w:t>CVP IS Nr. ............. (toliau - Pirkimas), sudarė šią sutartį:</w:t>
      </w:r>
    </w:p>
    <w:p w14:paraId="04826471" w14:textId="77777777" w:rsidR="00475093" w:rsidRPr="006D00B7" w:rsidRDefault="00475093" w:rsidP="00E56452">
      <w:pPr>
        <w:jc w:val="both"/>
        <w:rPr>
          <w:b/>
          <w:sz w:val="22"/>
          <w:szCs w:val="22"/>
          <w:lang w:val="lt-LT" w:eastAsia="lt-LT"/>
        </w:rPr>
      </w:pPr>
    </w:p>
    <w:p w14:paraId="1953EF90" w14:textId="77777777" w:rsidR="001B43AB" w:rsidRPr="006D00B7" w:rsidRDefault="001B43AB" w:rsidP="001B43AB">
      <w:pPr>
        <w:jc w:val="center"/>
        <w:rPr>
          <w:b/>
          <w:sz w:val="22"/>
          <w:szCs w:val="22"/>
          <w:lang w:val="lt-LT" w:eastAsia="lt-LT"/>
        </w:rPr>
      </w:pPr>
      <w:r w:rsidRPr="006D00B7">
        <w:rPr>
          <w:b/>
          <w:sz w:val="22"/>
          <w:szCs w:val="22"/>
          <w:lang w:val="lt-LT" w:eastAsia="lt-LT"/>
        </w:rPr>
        <w:t>1. SUTARTIES OBJEKTAS</w:t>
      </w:r>
    </w:p>
    <w:p w14:paraId="441A16BE" w14:textId="77777777" w:rsidR="001B43AB" w:rsidRPr="006D00B7" w:rsidRDefault="001B43AB" w:rsidP="001B43AB">
      <w:pPr>
        <w:jc w:val="both"/>
        <w:rPr>
          <w:sz w:val="22"/>
          <w:szCs w:val="22"/>
          <w:lang w:val="lt-LT" w:eastAsia="lt-LT"/>
        </w:rPr>
      </w:pPr>
    </w:p>
    <w:p w14:paraId="37E7500A" w14:textId="77777777" w:rsidR="00475093" w:rsidRDefault="001B43AB" w:rsidP="001B43AB">
      <w:pPr>
        <w:jc w:val="both"/>
        <w:rPr>
          <w:sz w:val="22"/>
          <w:szCs w:val="22"/>
          <w:lang w:val="lt-LT" w:eastAsia="lt-LT"/>
        </w:rPr>
      </w:pPr>
      <w:r w:rsidRPr="006D00B7">
        <w:rPr>
          <w:sz w:val="22"/>
          <w:szCs w:val="22"/>
          <w:lang w:val="lt-LT" w:eastAsia="lt-LT"/>
        </w:rPr>
        <w:t xml:space="preserve">1.1. </w:t>
      </w:r>
      <w:r w:rsidR="00D2625B" w:rsidRPr="006D00B7">
        <w:rPr>
          <w:sz w:val="22"/>
          <w:szCs w:val="22"/>
          <w:lang w:val="lt-LT" w:eastAsia="lt-LT"/>
        </w:rPr>
        <w:t>Paslaugų teikėjas</w:t>
      </w:r>
      <w:r w:rsidRPr="006D00B7">
        <w:rPr>
          <w:sz w:val="22"/>
          <w:szCs w:val="22"/>
          <w:lang w:val="lt-LT" w:eastAsia="lt-LT"/>
        </w:rPr>
        <w:t xml:space="preserve"> įsipareigoja savo priemonėmis ir rizika pagal Užsakovo raštišką užsakymą atlikti laboratorinių tyrimų išorinio kokybės vertinimo paslaugas (toliau – Paslaugos), </w:t>
      </w:r>
      <w:r w:rsidR="00E56452" w:rsidRPr="00E56452">
        <w:rPr>
          <w:sz w:val="22"/>
          <w:szCs w:val="22"/>
          <w:lang w:val="lt-LT" w:eastAsia="lt-LT"/>
        </w:rPr>
        <w:t>o Už</w:t>
      </w:r>
      <w:r w:rsidR="00E56452">
        <w:rPr>
          <w:sz w:val="22"/>
          <w:szCs w:val="22"/>
          <w:lang w:val="lt-LT" w:eastAsia="lt-LT"/>
        </w:rPr>
        <w:t>sakovas įsipareigoja priimti Paslaugas ir</w:t>
      </w:r>
      <w:r w:rsidR="00E56452" w:rsidRPr="00E56452">
        <w:rPr>
          <w:sz w:val="22"/>
          <w:szCs w:val="22"/>
          <w:lang w:val="lt-LT" w:eastAsia="lt-LT"/>
        </w:rPr>
        <w:t xml:space="preserve"> sumokėti </w:t>
      </w:r>
      <w:r w:rsidR="00E56452">
        <w:rPr>
          <w:sz w:val="22"/>
          <w:szCs w:val="22"/>
          <w:lang w:val="lt-LT" w:eastAsia="lt-LT"/>
        </w:rPr>
        <w:t xml:space="preserve">už Paslaugas </w:t>
      </w:r>
      <w:r w:rsidR="00E56452" w:rsidRPr="00E56452">
        <w:rPr>
          <w:sz w:val="22"/>
          <w:szCs w:val="22"/>
          <w:lang w:val="lt-LT" w:eastAsia="lt-LT"/>
        </w:rPr>
        <w:t>šioje sutartyje nurodytą kainą sutarties 6 dalyje nustatyta tvarka.</w:t>
      </w:r>
    </w:p>
    <w:p w14:paraId="3FF66161" w14:textId="77777777" w:rsidR="00E56452" w:rsidRPr="006D00B7" w:rsidRDefault="00E56452" w:rsidP="001B43AB">
      <w:pPr>
        <w:jc w:val="both"/>
        <w:rPr>
          <w:sz w:val="22"/>
          <w:szCs w:val="22"/>
          <w:lang w:val="lt-LT" w:eastAsia="lt-LT"/>
        </w:rPr>
      </w:pPr>
    </w:p>
    <w:p w14:paraId="6A02A698" w14:textId="77777777" w:rsidR="001B43AB" w:rsidRPr="006D00B7" w:rsidRDefault="00475093" w:rsidP="001B43AB">
      <w:pPr>
        <w:widowControl w:val="0"/>
        <w:numPr>
          <w:ilvl w:val="0"/>
          <w:numId w:val="7"/>
        </w:numPr>
        <w:tabs>
          <w:tab w:val="left" w:pos="567"/>
        </w:tabs>
        <w:contextualSpacing/>
        <w:jc w:val="center"/>
        <w:rPr>
          <w:b/>
          <w:sz w:val="22"/>
          <w:szCs w:val="22"/>
          <w:lang w:val="lt-LT"/>
        </w:rPr>
      </w:pPr>
      <w:r w:rsidRPr="006D00B7">
        <w:rPr>
          <w:b/>
          <w:sz w:val="22"/>
          <w:szCs w:val="22"/>
          <w:lang w:val="lt-LT"/>
        </w:rPr>
        <w:t xml:space="preserve"> </w:t>
      </w:r>
      <w:r w:rsidR="001B43AB" w:rsidRPr="006D00B7">
        <w:rPr>
          <w:b/>
          <w:sz w:val="22"/>
          <w:szCs w:val="22"/>
          <w:lang w:val="lt-LT"/>
        </w:rPr>
        <w:t xml:space="preserve">SUTARTIES </w:t>
      </w:r>
      <w:r w:rsidR="00D43EA9" w:rsidRPr="006D00B7">
        <w:rPr>
          <w:b/>
          <w:sz w:val="22"/>
          <w:szCs w:val="22"/>
          <w:lang w:val="lt-LT"/>
        </w:rPr>
        <w:t>VERTĖ</w:t>
      </w:r>
    </w:p>
    <w:p w14:paraId="02BE05B1" w14:textId="77777777" w:rsidR="001B43AB" w:rsidRPr="006D00B7" w:rsidRDefault="001B43AB" w:rsidP="001B43AB">
      <w:pPr>
        <w:widowControl w:val="0"/>
        <w:tabs>
          <w:tab w:val="left" w:pos="567"/>
        </w:tabs>
        <w:jc w:val="center"/>
        <w:rPr>
          <w:sz w:val="22"/>
          <w:szCs w:val="22"/>
          <w:lang w:val="lt-LT" w:eastAsia="lt-LT"/>
        </w:rPr>
      </w:pPr>
    </w:p>
    <w:p w14:paraId="21F1D163" w14:textId="77777777" w:rsidR="002517E0" w:rsidRPr="002517E0" w:rsidRDefault="002517E0" w:rsidP="002517E0">
      <w:pPr>
        <w:widowControl w:val="0"/>
        <w:pBdr>
          <w:top w:val="nil"/>
          <w:left w:val="nil"/>
          <w:bottom w:val="nil"/>
          <w:right w:val="nil"/>
          <w:between w:val="nil"/>
          <w:bar w:val="nil"/>
        </w:pBdr>
        <w:tabs>
          <w:tab w:val="left" w:pos="0"/>
          <w:tab w:val="left" w:pos="567"/>
        </w:tabs>
        <w:suppressAutoHyphens/>
        <w:jc w:val="both"/>
        <w:rPr>
          <w:sz w:val="22"/>
          <w:szCs w:val="22"/>
          <w:bdr w:val="nil"/>
          <w:lang w:val="lt-LT"/>
        </w:rPr>
      </w:pPr>
      <w:r w:rsidRPr="002517E0">
        <w:rPr>
          <w:sz w:val="22"/>
          <w:szCs w:val="22"/>
          <w:lang w:val="lt-LT"/>
        </w:rPr>
        <w:t xml:space="preserve">2.1. Sutarčiai taikomas </w:t>
      </w:r>
      <w:r w:rsidRPr="002517E0">
        <w:rPr>
          <w:b/>
          <w:sz w:val="22"/>
          <w:szCs w:val="22"/>
          <w:lang w:val="lt-LT"/>
        </w:rPr>
        <w:t>fiksuoto įkainio maksimalių kiekių</w:t>
      </w:r>
      <w:r w:rsidRPr="002517E0">
        <w:rPr>
          <w:sz w:val="22"/>
          <w:szCs w:val="22"/>
          <w:lang w:val="lt-LT"/>
        </w:rPr>
        <w:t xml:space="preserve"> kainodaros metodas. </w:t>
      </w:r>
      <w:r w:rsidRPr="002517E0">
        <w:rPr>
          <w:sz w:val="22"/>
          <w:szCs w:val="22"/>
          <w:bdr w:val="nil"/>
          <w:lang w:val="lt-LT"/>
        </w:rPr>
        <w:t xml:space="preserve">Sutartyje nustatyti fiksuoti paslaugų įkainiai ir perkamų paslaugų maksimalūs kiekiai, kurie nurodyti šios sutarties priede Nr. 1. </w:t>
      </w:r>
    </w:p>
    <w:p w14:paraId="54FA8474" w14:textId="77777777" w:rsidR="002517E0" w:rsidRPr="002517E0" w:rsidRDefault="002517E0" w:rsidP="002517E0">
      <w:pPr>
        <w:widowControl w:val="0"/>
        <w:tabs>
          <w:tab w:val="left" w:pos="567"/>
        </w:tabs>
        <w:suppressAutoHyphens/>
        <w:jc w:val="both"/>
        <w:rPr>
          <w:sz w:val="22"/>
          <w:szCs w:val="22"/>
          <w:bdr w:val="nil"/>
          <w:lang w:val="lt-LT"/>
        </w:rPr>
      </w:pPr>
      <w:r w:rsidRPr="002517E0">
        <w:rPr>
          <w:sz w:val="22"/>
          <w:szCs w:val="22"/>
          <w:bdr w:val="nil"/>
          <w:lang w:val="lt-LT"/>
        </w:rPr>
        <w:t xml:space="preserve">2.2. Pradinė sutarties vertė  be PVM ...............Eur (..................). PVM suma ..................... Eur (...........................). Sutarties kaina su PVM ………….. Eur (......................) (tiekėjo pasiūlymo kaina). </w:t>
      </w:r>
    </w:p>
    <w:p w14:paraId="29B8268A" w14:textId="77777777" w:rsidR="002517E0" w:rsidRPr="002517E0" w:rsidRDefault="002517E0" w:rsidP="002517E0">
      <w:pPr>
        <w:tabs>
          <w:tab w:val="left" w:pos="567"/>
        </w:tabs>
        <w:jc w:val="both"/>
        <w:rPr>
          <w:sz w:val="22"/>
          <w:szCs w:val="22"/>
          <w:lang w:val="lt-LT" w:eastAsia="lt-LT"/>
        </w:rPr>
      </w:pPr>
      <w:r w:rsidRPr="002517E0">
        <w:rPr>
          <w:sz w:val="22"/>
          <w:szCs w:val="22"/>
          <w:lang w:val="lt-LT" w:eastAsia="lt-LT"/>
        </w:rPr>
        <w:t>2.3. Įkainiai sutarties vykdymo laikotarpiu negalės būti keičiami per visą sutarties vykdymo laikotarpį, išskyrus kai pasikeičia pridėtinės vertės mokestis (PVM)</w:t>
      </w:r>
      <w:r w:rsidRPr="002517E0">
        <w:t xml:space="preserve"> </w:t>
      </w:r>
      <w:r w:rsidRPr="002517E0">
        <w:rPr>
          <w:sz w:val="22"/>
          <w:szCs w:val="22"/>
          <w:lang w:val="lt-LT" w:eastAsia="lt-LT"/>
        </w:rPr>
        <w:t xml:space="preserve">bei Sutarties 2.5. punkte nustatytais atvejais. Perskaičiavimas vykdomas po Lietuvos Respublikos pridėtinės vertės mokesčio įstatymo, kuriuo keičiasi mokesčio tarifas, įsigaliojimo dienos. Pasikeitus PVM tarifo dydžiui, neatliktų paslaugų įkainiai keičiami (mažinama ar didinama) proporcingai PVM pasikeitusio tarifo dydžiu. Įkainių pakeitimas įforminamas papildomu rašytiniu šalių susitarimu. </w:t>
      </w:r>
    </w:p>
    <w:p w14:paraId="18AB5227" w14:textId="77777777" w:rsidR="002517E0" w:rsidRPr="002517E0" w:rsidRDefault="002517E0" w:rsidP="002517E0">
      <w:pPr>
        <w:widowControl w:val="0"/>
        <w:pBdr>
          <w:top w:val="nil"/>
          <w:left w:val="nil"/>
          <w:bottom w:val="nil"/>
          <w:right w:val="nil"/>
          <w:between w:val="nil"/>
          <w:bar w:val="nil"/>
        </w:pBdr>
        <w:tabs>
          <w:tab w:val="left" w:pos="0"/>
          <w:tab w:val="left" w:pos="567"/>
        </w:tabs>
        <w:suppressAutoHyphens/>
        <w:jc w:val="both"/>
        <w:rPr>
          <w:sz w:val="22"/>
          <w:szCs w:val="22"/>
          <w:lang w:val="lt-LT"/>
        </w:rPr>
      </w:pPr>
      <w:r w:rsidRPr="002517E0">
        <w:rPr>
          <w:sz w:val="22"/>
          <w:szCs w:val="22"/>
          <w:lang w:val="lt-LT"/>
        </w:rPr>
        <w:t>2.4. Į Paslaugų įkainius įskaityti visi Paslaugų teikėjo mokami mokesčiai ir kitos paslaugų teikimo išlaidos, būtinos tinkamam šios sutarties įvykdymui.</w:t>
      </w:r>
    </w:p>
    <w:p w14:paraId="2176FFE6" w14:textId="77777777" w:rsidR="00627896" w:rsidRDefault="00627896" w:rsidP="00F92AA0">
      <w:pPr>
        <w:tabs>
          <w:tab w:val="left" w:pos="567"/>
        </w:tabs>
        <w:jc w:val="both"/>
        <w:rPr>
          <w:sz w:val="22"/>
          <w:szCs w:val="22"/>
          <w:lang w:val="lt-LT" w:eastAsia="lt-LT"/>
        </w:rPr>
      </w:pPr>
      <w:r>
        <w:rPr>
          <w:sz w:val="22"/>
          <w:szCs w:val="22"/>
          <w:lang w:val="lt-LT" w:eastAsia="lt-LT"/>
        </w:rPr>
        <w:t xml:space="preserve">2.5. </w:t>
      </w:r>
      <w:r w:rsidRPr="00627896">
        <w:rPr>
          <w:sz w:val="22"/>
          <w:szCs w:val="22"/>
          <w:lang w:val="lt-LT" w:eastAsia="lt-LT"/>
        </w:rPr>
        <w:t>Sutartyje numatytų įkainių perskaičiavimo (keitimo) tvarka:</w:t>
      </w:r>
    </w:p>
    <w:p w14:paraId="6D43EF99" w14:textId="4A4EC3C6" w:rsidR="00627896" w:rsidRPr="00627896" w:rsidRDefault="00627896" w:rsidP="00627896">
      <w:pPr>
        <w:tabs>
          <w:tab w:val="left" w:pos="567"/>
        </w:tabs>
        <w:jc w:val="both"/>
        <w:rPr>
          <w:sz w:val="22"/>
          <w:szCs w:val="22"/>
          <w:lang w:val="lt-LT" w:eastAsia="lt-LT"/>
        </w:rPr>
      </w:pPr>
      <w:r>
        <w:rPr>
          <w:sz w:val="22"/>
          <w:szCs w:val="22"/>
          <w:lang w:val="lt-LT" w:eastAsia="lt-LT"/>
        </w:rPr>
        <w:t xml:space="preserve">2.5.1. </w:t>
      </w:r>
      <w:r w:rsidRPr="00627896">
        <w:rPr>
          <w:sz w:val="22"/>
          <w:szCs w:val="22"/>
          <w:lang w:val="lt-LT" w:eastAsia="lt-LT"/>
        </w:rPr>
        <w:t>Bet kuri Pirkimo sutarties Šalis Pirkimo sutarties galiojimo metu turi teisę inicijuoti Pirkimo sutartyje numatytų įkainių perskaičiavimą (keitimą) ne anksčiau kaip po 12 (dvylikos) mėnesių nuo Pirkimo sutarties sudarymo dienos (jeigu perskaičiavimas jau buvo atliktas – nuo paskutinio perskaičiavimo pagal šį punktą dienos), jeigu (0621 Medicinos paslaugos) vartotojų kainų pokytis (k)</w:t>
      </w:r>
      <w:r>
        <w:rPr>
          <w:sz w:val="22"/>
          <w:szCs w:val="22"/>
          <w:lang w:val="lt-LT" w:eastAsia="lt-LT"/>
        </w:rPr>
        <w:t>, apskaičiuotas kaip nustatyta 2.5.4</w:t>
      </w:r>
      <w:r w:rsidRPr="00627896">
        <w:rPr>
          <w:sz w:val="22"/>
          <w:szCs w:val="22"/>
          <w:lang w:val="lt-LT" w:eastAsia="lt-LT"/>
        </w:rPr>
        <w:t xml:space="preserve">. punkte, viršija 14 procentų. Įkainių perskaičiavimas (keitimas) gali būti inicijuojamas ne dažniau kaip kas 12 mėn. nuo paskutinio perskaičiavimo pagal šį punktą dienos. Atlikdamos perskaičiavimą Šalys vadovaujasi </w:t>
      </w:r>
      <w:r w:rsidR="008C7624" w:rsidRPr="00A22F94">
        <w:rPr>
          <w:sz w:val="22"/>
          <w:szCs w:val="22"/>
          <w:lang w:val="lt-LT"/>
        </w:rPr>
        <w:t xml:space="preserve">Valstybės duomenų agentūros </w:t>
      </w:r>
      <w:r w:rsidRPr="00627896">
        <w:rPr>
          <w:sz w:val="22"/>
          <w:szCs w:val="22"/>
          <w:lang w:val="lt-LT" w:eastAsia="lt-LT"/>
        </w:rPr>
        <w:t xml:space="preserve">viešai Oficialiosios statistikos portale paskelbtais Rodiklių duomenų bazės duomenimis, iš kitos Šalies nereikalaudamos pateikti oficialaus </w:t>
      </w:r>
      <w:r w:rsidR="008C7624" w:rsidRPr="008C7624">
        <w:rPr>
          <w:sz w:val="22"/>
          <w:szCs w:val="22"/>
          <w:lang w:val="lt-LT" w:eastAsia="lt-LT"/>
        </w:rPr>
        <w:t xml:space="preserve">Valstybės duomenų agentūros </w:t>
      </w:r>
      <w:r w:rsidRPr="00627896">
        <w:rPr>
          <w:sz w:val="22"/>
          <w:szCs w:val="22"/>
          <w:lang w:val="lt-LT" w:eastAsia="lt-LT"/>
        </w:rPr>
        <w:t>ar kitos institucijos išduoto dokumento ar patvirtinimo:</w:t>
      </w:r>
    </w:p>
    <w:p w14:paraId="624BA0A3" w14:textId="77777777" w:rsidR="00627896" w:rsidRDefault="00627896" w:rsidP="00627896">
      <w:pPr>
        <w:tabs>
          <w:tab w:val="left" w:pos="567"/>
        </w:tabs>
        <w:jc w:val="both"/>
        <w:rPr>
          <w:sz w:val="22"/>
          <w:szCs w:val="22"/>
          <w:lang w:val="lt-LT" w:eastAsia="lt-LT"/>
        </w:rPr>
      </w:pPr>
      <w:r>
        <w:rPr>
          <w:sz w:val="22"/>
          <w:szCs w:val="22"/>
          <w:lang w:val="lt-LT" w:eastAsia="lt-LT"/>
        </w:rPr>
        <w:t>2.5.2</w:t>
      </w:r>
      <w:r w:rsidRPr="00627896">
        <w:rPr>
          <w:sz w:val="22"/>
          <w:szCs w:val="22"/>
          <w:lang w:val="lt-LT" w:eastAsia="lt-LT"/>
        </w:rPr>
        <w:t>. Šalys privalo susitarime nurodyti indekso reikšmę laikotarpio pradžioje ir jos nustatymo datą, indekso reikšmę laikotarpio pabaigoje ir jos nustatymo datą, kainų pokytį (k), perskaičiuotus įkainius, perskaičiuotą p</w:t>
      </w:r>
      <w:r>
        <w:rPr>
          <w:sz w:val="22"/>
          <w:szCs w:val="22"/>
          <w:lang w:val="lt-LT" w:eastAsia="lt-LT"/>
        </w:rPr>
        <w:t>radinę Pirkimo sutarties vertę.</w:t>
      </w:r>
    </w:p>
    <w:p w14:paraId="0A5E8853" w14:textId="77777777" w:rsidR="00627896" w:rsidRPr="00627896" w:rsidRDefault="00627896" w:rsidP="00627896">
      <w:pPr>
        <w:tabs>
          <w:tab w:val="left" w:pos="567"/>
        </w:tabs>
        <w:jc w:val="both"/>
        <w:rPr>
          <w:sz w:val="22"/>
          <w:szCs w:val="22"/>
          <w:lang w:val="lt-LT" w:eastAsia="lt-LT"/>
        </w:rPr>
      </w:pPr>
      <w:r>
        <w:rPr>
          <w:sz w:val="22"/>
          <w:szCs w:val="22"/>
          <w:lang w:val="lt-LT" w:eastAsia="lt-LT"/>
        </w:rPr>
        <w:t>2.5.3</w:t>
      </w:r>
      <w:r w:rsidRPr="00627896">
        <w:rPr>
          <w:sz w:val="22"/>
          <w:szCs w:val="22"/>
          <w:lang w:val="lt-LT" w:eastAsia="lt-LT"/>
        </w:rPr>
        <w:t>. Perskaičiuotieji įkainiai taikomi užsakymams, pateiktiems po to, kai Šalys sudaro susitarimą dėl įkainių perskaičiavimo.</w:t>
      </w:r>
    </w:p>
    <w:p w14:paraId="67A09C56" w14:textId="77777777" w:rsidR="00627896" w:rsidRPr="00627896" w:rsidRDefault="00627896" w:rsidP="00627896">
      <w:pPr>
        <w:tabs>
          <w:tab w:val="left" w:pos="567"/>
        </w:tabs>
        <w:jc w:val="both"/>
        <w:rPr>
          <w:sz w:val="22"/>
          <w:szCs w:val="22"/>
          <w:lang w:val="lt-LT" w:eastAsia="lt-LT"/>
        </w:rPr>
      </w:pPr>
      <w:r>
        <w:rPr>
          <w:sz w:val="22"/>
          <w:szCs w:val="22"/>
          <w:lang w:val="lt-LT" w:eastAsia="lt-LT"/>
        </w:rPr>
        <w:t>2.5.4</w:t>
      </w:r>
      <w:r w:rsidRPr="00627896">
        <w:rPr>
          <w:sz w:val="22"/>
          <w:szCs w:val="22"/>
          <w:lang w:val="lt-LT" w:eastAsia="lt-LT"/>
        </w:rPr>
        <w:t>. Nauji įkainiai apskaičiuojami pagal formulę:</w:t>
      </w:r>
    </w:p>
    <w:p w14:paraId="179A7453" w14:textId="77777777" w:rsidR="00627896" w:rsidRPr="00627896" w:rsidRDefault="00627896" w:rsidP="00627896">
      <w:pPr>
        <w:tabs>
          <w:tab w:val="left" w:pos="567"/>
        </w:tabs>
        <w:jc w:val="both"/>
        <w:rPr>
          <w:sz w:val="22"/>
          <w:szCs w:val="22"/>
          <w:lang w:val="lt-LT" w:eastAsia="lt-LT"/>
        </w:rPr>
      </w:pPr>
      <w:r w:rsidRPr="00627896">
        <w:rPr>
          <w:sz w:val="22"/>
          <w:szCs w:val="22"/>
          <w:lang w:val="lt-LT" w:eastAsia="lt-LT"/>
        </w:rPr>
        <w:t>A1 ═ A + (k / 100 x A) , kur</w:t>
      </w:r>
    </w:p>
    <w:p w14:paraId="1B6D48E8" w14:textId="77777777" w:rsidR="00627896" w:rsidRPr="00627896" w:rsidRDefault="00627896" w:rsidP="00627896">
      <w:pPr>
        <w:tabs>
          <w:tab w:val="left" w:pos="567"/>
        </w:tabs>
        <w:jc w:val="both"/>
        <w:rPr>
          <w:sz w:val="22"/>
          <w:szCs w:val="22"/>
          <w:lang w:val="lt-LT" w:eastAsia="lt-LT"/>
        </w:rPr>
      </w:pPr>
      <w:r w:rsidRPr="00627896">
        <w:rPr>
          <w:sz w:val="22"/>
          <w:szCs w:val="22"/>
          <w:lang w:val="lt-LT" w:eastAsia="lt-LT"/>
        </w:rPr>
        <w:t>A – įkainis (Eur be PVM)) (jei jis jau buvo perskaičiuotas, tai po paskutinio perskaičiavimo).</w:t>
      </w:r>
    </w:p>
    <w:p w14:paraId="4A929AF6" w14:textId="77777777" w:rsidR="00627896" w:rsidRPr="00627896" w:rsidRDefault="00627896" w:rsidP="00627896">
      <w:pPr>
        <w:tabs>
          <w:tab w:val="left" w:pos="567"/>
        </w:tabs>
        <w:jc w:val="both"/>
        <w:rPr>
          <w:sz w:val="22"/>
          <w:szCs w:val="22"/>
          <w:lang w:val="lt-LT" w:eastAsia="lt-LT"/>
        </w:rPr>
      </w:pPr>
      <w:r w:rsidRPr="00627896">
        <w:rPr>
          <w:sz w:val="22"/>
          <w:szCs w:val="22"/>
          <w:lang w:val="lt-LT" w:eastAsia="lt-LT"/>
        </w:rPr>
        <w:t>A1 – perskaičiuotas (pakeistas) įkainis (Eur be PVM)</w:t>
      </w:r>
    </w:p>
    <w:p w14:paraId="754FAF6C" w14:textId="77777777" w:rsidR="00627896" w:rsidRPr="00627896" w:rsidRDefault="00627896" w:rsidP="00627896">
      <w:pPr>
        <w:tabs>
          <w:tab w:val="left" w:pos="567"/>
        </w:tabs>
        <w:jc w:val="both"/>
        <w:rPr>
          <w:sz w:val="22"/>
          <w:szCs w:val="22"/>
          <w:lang w:val="lt-LT" w:eastAsia="lt-LT"/>
        </w:rPr>
      </w:pPr>
      <w:r w:rsidRPr="00627896">
        <w:rPr>
          <w:sz w:val="22"/>
          <w:szCs w:val="22"/>
          <w:lang w:val="lt-LT" w:eastAsia="lt-LT"/>
        </w:rPr>
        <w:t>k – Pagal (0621 Medicinos paslaugos) vartotojų kainų indeksą apskaičiuotas (0621 Medicinos paslaugos) vartotojų kainų pokytis (padidėjimas arba sumažėjimas) (%). „k“ reikšmė skaičiuojama pagal formulę:</w:t>
      </w:r>
    </w:p>
    <w:p w14:paraId="0D09BD32" w14:textId="77777777" w:rsidR="00627896" w:rsidRPr="00627896" w:rsidRDefault="00627896" w:rsidP="00627896">
      <w:pPr>
        <w:tabs>
          <w:tab w:val="left" w:pos="567"/>
        </w:tabs>
        <w:jc w:val="both"/>
        <w:rPr>
          <w:sz w:val="22"/>
          <w:szCs w:val="22"/>
          <w:lang w:val="lt-LT" w:eastAsia="lt-LT"/>
        </w:rPr>
      </w:pPr>
      <w:r w:rsidRPr="00627896">
        <w:rPr>
          <w:sz w:val="22"/>
          <w:szCs w:val="22"/>
          <w:lang w:val="lt-LT" w:eastAsia="lt-LT"/>
        </w:rPr>
        <w:t>k = Ind(naujausias) / Ind(pradžia) x 100 – 100 (proc.), kur</w:t>
      </w:r>
    </w:p>
    <w:p w14:paraId="49ABDD7D" w14:textId="77777777" w:rsidR="00627896" w:rsidRPr="00627896" w:rsidRDefault="00627896" w:rsidP="00627896">
      <w:pPr>
        <w:tabs>
          <w:tab w:val="left" w:pos="567"/>
        </w:tabs>
        <w:jc w:val="both"/>
        <w:rPr>
          <w:sz w:val="22"/>
          <w:szCs w:val="22"/>
          <w:lang w:val="lt-LT" w:eastAsia="lt-LT"/>
        </w:rPr>
      </w:pPr>
      <w:r w:rsidRPr="00627896">
        <w:rPr>
          <w:sz w:val="22"/>
          <w:szCs w:val="22"/>
          <w:lang w:val="lt-LT" w:eastAsia="lt-LT"/>
        </w:rPr>
        <w:t>Ind(naujausias) – kreipimosi dėl kainos perskaičiavimo išsiuntimo kitai šaliai datą naujausias paskelbtas (0621 Medicinos paslaugos)  vartotojų kainų indeksas.</w:t>
      </w:r>
    </w:p>
    <w:p w14:paraId="615CD255" w14:textId="77777777" w:rsidR="00627896" w:rsidRPr="00627896" w:rsidRDefault="00627896" w:rsidP="00627896">
      <w:pPr>
        <w:tabs>
          <w:tab w:val="left" w:pos="567"/>
        </w:tabs>
        <w:jc w:val="both"/>
        <w:rPr>
          <w:sz w:val="22"/>
          <w:szCs w:val="22"/>
          <w:lang w:val="lt-LT" w:eastAsia="lt-LT"/>
        </w:rPr>
      </w:pPr>
      <w:r w:rsidRPr="00627896">
        <w:rPr>
          <w:sz w:val="22"/>
          <w:szCs w:val="22"/>
          <w:lang w:val="lt-LT" w:eastAsia="lt-LT"/>
        </w:rPr>
        <w:t>Ind(pradžia) – laikotarpio pradžios datos (mėnesio) (0621 Medicinos paslaugos)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40FE037C" w14:textId="4CED5DE7" w:rsidR="00627896" w:rsidRPr="00627896" w:rsidRDefault="00627896" w:rsidP="00627896">
      <w:pPr>
        <w:tabs>
          <w:tab w:val="left" w:pos="567"/>
        </w:tabs>
        <w:jc w:val="both"/>
        <w:rPr>
          <w:sz w:val="22"/>
          <w:szCs w:val="22"/>
          <w:lang w:val="lt-LT" w:eastAsia="lt-LT"/>
        </w:rPr>
      </w:pPr>
      <w:r>
        <w:rPr>
          <w:sz w:val="22"/>
          <w:szCs w:val="22"/>
          <w:lang w:val="lt-LT" w:eastAsia="lt-LT"/>
        </w:rPr>
        <w:t>2.5.5</w:t>
      </w:r>
      <w:r w:rsidRPr="00627896">
        <w:rPr>
          <w:sz w:val="22"/>
          <w:szCs w:val="22"/>
          <w:lang w:val="lt-LT" w:eastAsia="lt-LT"/>
        </w:rPr>
        <w:t>. Skaičiavimams indeksų reikšmės imamos keturių skaitmenų po kablelio tikslumu. Apskaičiuotas pokytis (k) tolimesniems skaičiavimams naudojamas suapvalinus iki vieno (</w:t>
      </w:r>
      <w:r w:rsidR="009B3AB4" w:rsidRPr="009B3AB4">
        <w:rPr>
          <w:sz w:val="22"/>
          <w:szCs w:val="22"/>
          <w:lang w:val="lt-LT" w:eastAsia="lt-LT"/>
        </w:rPr>
        <w:t>Valstybės duomenų agentūr</w:t>
      </w:r>
      <w:r w:rsidR="009B3AB4">
        <w:rPr>
          <w:sz w:val="22"/>
          <w:szCs w:val="22"/>
          <w:lang w:val="lt-LT" w:eastAsia="lt-LT"/>
        </w:rPr>
        <w:t>a</w:t>
      </w:r>
      <w:r w:rsidR="009B3AB4" w:rsidRPr="009B3AB4">
        <w:rPr>
          <w:sz w:val="22"/>
          <w:szCs w:val="22"/>
          <w:lang w:val="lt-LT" w:eastAsia="lt-LT"/>
        </w:rPr>
        <w:t xml:space="preserve"> </w:t>
      </w:r>
      <w:r w:rsidRPr="00627896">
        <w:rPr>
          <w:sz w:val="22"/>
          <w:szCs w:val="22"/>
          <w:lang w:val="lt-LT" w:eastAsia="lt-LT"/>
        </w:rPr>
        <w:t xml:space="preserve">pokyčius skelbia </w:t>
      </w:r>
      <w:r w:rsidRPr="00627896">
        <w:rPr>
          <w:sz w:val="22"/>
          <w:szCs w:val="22"/>
          <w:lang w:val="lt-LT" w:eastAsia="lt-LT"/>
        </w:rPr>
        <w:lastRenderedPageBreak/>
        <w:t>apvalindama iki vieno skaitmens po kablelio) skaitmens po kablelio, o apskaičiuotas įkainis „A1“ nurodomas iki keturių skaitmenų po kablelio.</w:t>
      </w:r>
    </w:p>
    <w:p w14:paraId="6BD88882" w14:textId="77777777" w:rsidR="00627896" w:rsidRPr="00627896" w:rsidRDefault="00627896" w:rsidP="00627896">
      <w:pPr>
        <w:autoSpaceDE w:val="0"/>
        <w:autoSpaceDN w:val="0"/>
        <w:adjustRightInd w:val="0"/>
        <w:jc w:val="both"/>
        <w:rPr>
          <w:rFonts w:eastAsia="Calibri"/>
          <w:color w:val="000000"/>
          <w:sz w:val="22"/>
          <w:szCs w:val="22"/>
          <w:lang w:val="lt-LT"/>
        </w:rPr>
      </w:pPr>
      <w:r w:rsidRPr="00627896">
        <w:rPr>
          <w:rFonts w:eastAsia="Calibri"/>
          <w:color w:val="000000"/>
          <w:sz w:val="22"/>
          <w:szCs w:val="22"/>
          <w:lang w:val="lt-LT"/>
        </w:rPr>
        <w:t>2.5.6. Vėlesnis įkainių arba kainų perskaičiavimas negali apimti laikotarpio, už kurį jau buvo atliktas perskaičiavimas.</w:t>
      </w:r>
    </w:p>
    <w:p w14:paraId="6CF9C29C" w14:textId="77777777" w:rsidR="00627896" w:rsidRPr="00627896" w:rsidRDefault="00627896" w:rsidP="00627896">
      <w:pPr>
        <w:widowControl w:val="0"/>
        <w:pBdr>
          <w:top w:val="nil"/>
          <w:left w:val="nil"/>
          <w:bottom w:val="nil"/>
          <w:right w:val="nil"/>
          <w:between w:val="nil"/>
          <w:bar w:val="nil"/>
        </w:pBdr>
        <w:tabs>
          <w:tab w:val="left" w:pos="567"/>
        </w:tabs>
        <w:contextualSpacing/>
        <w:rPr>
          <w:sz w:val="22"/>
          <w:szCs w:val="22"/>
          <w:lang w:val="lt-LT"/>
        </w:rPr>
      </w:pPr>
      <w:r w:rsidRPr="00627896">
        <w:rPr>
          <w:sz w:val="22"/>
          <w:szCs w:val="22"/>
          <w:lang w:val="lt-LT"/>
        </w:rPr>
        <w:t>2.7. Sutarties kaina – už Prekes pagal Sutartį Paslaugų teikėjo gaunama ekonominė nauda.</w:t>
      </w:r>
    </w:p>
    <w:p w14:paraId="44ABBD5A" w14:textId="104D5BAB" w:rsidR="00627896" w:rsidRPr="006D00B7" w:rsidRDefault="00627896" w:rsidP="00627896">
      <w:pPr>
        <w:widowControl w:val="0"/>
        <w:pBdr>
          <w:top w:val="nil"/>
          <w:left w:val="nil"/>
          <w:bottom w:val="nil"/>
          <w:right w:val="nil"/>
          <w:between w:val="nil"/>
          <w:bar w:val="nil"/>
        </w:pBdr>
        <w:tabs>
          <w:tab w:val="left" w:pos="567"/>
        </w:tabs>
        <w:contextualSpacing/>
        <w:jc w:val="both"/>
        <w:rPr>
          <w:sz w:val="22"/>
          <w:szCs w:val="22"/>
          <w:lang w:val="lt-LT"/>
        </w:rPr>
      </w:pPr>
      <w:r w:rsidRPr="00627896">
        <w:rPr>
          <w:sz w:val="22"/>
          <w:szCs w:val="22"/>
          <w:lang w:val="lt-LT"/>
        </w:rPr>
        <w:t>2.8. P</w:t>
      </w:r>
      <w:r w:rsidR="009B3AB4">
        <w:rPr>
          <w:sz w:val="22"/>
          <w:szCs w:val="22"/>
          <w:lang w:val="lt-LT"/>
        </w:rPr>
        <w:t>aslaugų teikimo</w:t>
      </w:r>
      <w:r w:rsidRPr="00627896">
        <w:rPr>
          <w:sz w:val="22"/>
          <w:szCs w:val="22"/>
          <w:lang w:val="lt-LT"/>
        </w:rPr>
        <w:t xml:space="preserve"> sutarties sąlygos sutarties galiojimo laikotarpiu negali būti keičiamos, išskyrus tokias sutarties sąlygas, kurias pakeitus nebūtų pažeisti Viešųjų pirkimų įstatymo 17 straipsnyje nustatyti principai ir tikslai, bei esant Viešųjų pirkimų įstatymo 89 straipsnyje nustatytoms sąlygoms.</w:t>
      </w:r>
      <w:r w:rsidRPr="00627896">
        <w:rPr>
          <w:sz w:val="20"/>
          <w:szCs w:val="20"/>
          <w:lang w:val="lt-LT"/>
        </w:rPr>
        <w:t xml:space="preserve"> </w:t>
      </w:r>
      <w:r w:rsidRPr="00627896">
        <w:rPr>
          <w:sz w:val="22"/>
          <w:szCs w:val="22"/>
          <w:lang w:val="lt-LT"/>
        </w:rPr>
        <w:t>Sutarties sąlygų keitimu nebus laikomi techninio pobūdžio Sutarties pakeitimai (pavyzdžiui, Šalių rekvizitai, klaidos ir pan.) ir Sutarties sąlygų koregavimas joje numatytomis aplinkybėmis, jeigu šios aplinkybės nustatytos aiškiai ir nedviprasmiškai bei buvo pateiktos pirkimo sąlygose.</w:t>
      </w:r>
    </w:p>
    <w:p w14:paraId="0B8C0814" w14:textId="77777777" w:rsidR="001B43AB" w:rsidRPr="006D00B7" w:rsidRDefault="001B43AB" w:rsidP="001B43AB">
      <w:pPr>
        <w:tabs>
          <w:tab w:val="left" w:pos="567"/>
        </w:tabs>
        <w:jc w:val="both"/>
        <w:rPr>
          <w:sz w:val="22"/>
          <w:szCs w:val="22"/>
          <w:lang w:val="lt-LT" w:eastAsia="lt-LT"/>
        </w:rPr>
      </w:pPr>
    </w:p>
    <w:p w14:paraId="161EADB3" w14:textId="77777777" w:rsidR="001B43AB" w:rsidRPr="006D00B7" w:rsidRDefault="000A35AF" w:rsidP="001B43AB">
      <w:pPr>
        <w:widowControl w:val="0"/>
        <w:numPr>
          <w:ilvl w:val="0"/>
          <w:numId w:val="7"/>
        </w:numPr>
        <w:tabs>
          <w:tab w:val="left" w:pos="567"/>
        </w:tabs>
        <w:jc w:val="center"/>
        <w:outlineLvl w:val="0"/>
        <w:rPr>
          <w:b/>
          <w:sz w:val="22"/>
          <w:szCs w:val="22"/>
          <w:lang w:val="lt-LT" w:eastAsia="lt-LT"/>
        </w:rPr>
      </w:pPr>
      <w:r w:rsidRPr="006D00B7">
        <w:rPr>
          <w:b/>
          <w:sz w:val="22"/>
          <w:szCs w:val="22"/>
          <w:lang w:val="lt-LT" w:eastAsia="lt-LT"/>
        </w:rPr>
        <w:t xml:space="preserve"> </w:t>
      </w:r>
      <w:r w:rsidR="001B43AB" w:rsidRPr="006D00B7">
        <w:rPr>
          <w:b/>
          <w:sz w:val="22"/>
          <w:szCs w:val="22"/>
          <w:lang w:val="lt-LT" w:eastAsia="lt-LT"/>
        </w:rPr>
        <w:t>TEIKIAMOS PASLAUGOS</w:t>
      </w:r>
    </w:p>
    <w:p w14:paraId="31FA7BFA" w14:textId="77777777" w:rsidR="001B43AB" w:rsidRPr="006D00B7" w:rsidRDefault="001B43AB" w:rsidP="001B43AB">
      <w:pPr>
        <w:tabs>
          <w:tab w:val="left" w:pos="567"/>
        </w:tabs>
        <w:rPr>
          <w:sz w:val="22"/>
          <w:szCs w:val="22"/>
          <w:lang w:val="lt-LT" w:eastAsia="lt-LT"/>
        </w:rPr>
      </w:pPr>
    </w:p>
    <w:p w14:paraId="7172F863" w14:textId="77777777" w:rsidR="00DC04BD" w:rsidRPr="00BC59B9" w:rsidRDefault="00DC04BD" w:rsidP="00DC04BD">
      <w:pPr>
        <w:widowControl w:val="0"/>
        <w:pBdr>
          <w:top w:val="nil"/>
          <w:left w:val="nil"/>
          <w:bottom w:val="nil"/>
          <w:right w:val="nil"/>
          <w:between w:val="nil"/>
          <w:bar w:val="nil"/>
        </w:pBdr>
        <w:tabs>
          <w:tab w:val="left" w:pos="0"/>
          <w:tab w:val="left" w:pos="567"/>
        </w:tabs>
        <w:suppressAutoHyphens/>
        <w:jc w:val="both"/>
        <w:rPr>
          <w:rFonts w:eastAsia="Calibri"/>
          <w:sz w:val="22"/>
          <w:szCs w:val="22"/>
          <w:lang w:val="lt-LT" w:eastAsia="lt-LT"/>
        </w:rPr>
      </w:pPr>
      <w:r w:rsidRPr="00BC59B9">
        <w:rPr>
          <w:sz w:val="22"/>
          <w:szCs w:val="22"/>
          <w:lang w:val="lt-LT"/>
        </w:rPr>
        <w:t>3.1. Šia Sutartimi Paslaugų teikėjas įsipareigoja suteikti Paslaugas, kurių detali specifikacija, preliminarūs kiekiai ir įkainiai nustatyti šios Sutarties priede Nr.1.</w:t>
      </w:r>
    </w:p>
    <w:p w14:paraId="62AFF49C" w14:textId="77777777" w:rsidR="00DC04BD" w:rsidRPr="00E57311" w:rsidRDefault="00DC04BD" w:rsidP="00DC04BD">
      <w:pPr>
        <w:widowControl w:val="0"/>
        <w:pBdr>
          <w:top w:val="nil"/>
          <w:left w:val="nil"/>
          <w:bottom w:val="nil"/>
          <w:right w:val="nil"/>
          <w:between w:val="nil"/>
          <w:bar w:val="nil"/>
        </w:pBdr>
        <w:tabs>
          <w:tab w:val="left" w:pos="0"/>
          <w:tab w:val="left" w:pos="567"/>
        </w:tabs>
        <w:suppressAutoHyphens/>
        <w:jc w:val="both"/>
        <w:rPr>
          <w:rFonts w:eastAsia="Calibri"/>
          <w:sz w:val="22"/>
          <w:szCs w:val="22"/>
          <w:lang w:val="lt-LT" w:eastAsia="lt-LT"/>
        </w:rPr>
      </w:pPr>
      <w:r w:rsidRPr="00BC59B9">
        <w:rPr>
          <w:rFonts w:eastAsia="Calibri"/>
          <w:sz w:val="22"/>
          <w:szCs w:val="22"/>
          <w:lang w:val="lt-LT" w:eastAsia="lt-LT"/>
        </w:rPr>
        <w:t xml:space="preserve">3.2. Perkamų pagal Sutartį Paslaugų vertė negali viršyti atskirų sutarties dalių pradinių verčių, nurodytų šios Sutarties </w:t>
      </w:r>
      <w:r w:rsidRPr="00E57311">
        <w:rPr>
          <w:rFonts w:eastAsia="Calibri"/>
          <w:sz w:val="22"/>
          <w:szCs w:val="22"/>
          <w:lang w:val="lt-LT" w:eastAsia="lt-LT"/>
        </w:rPr>
        <w:t>priede Nr.1, ir pradinės sutarties vertės, nustatytos Sutarties 2.2 p. Sutarties vykdymo metu įsigyjamų Paslaugų kiekiai priklauso nuo faktinių Užsakovo užsakymų. Užsakovas gali išpirkti mažesnį arba didesnį kiekį nei nurodyti  preliminarūs kiekiai.</w:t>
      </w:r>
    </w:p>
    <w:p w14:paraId="353779A5" w14:textId="73900D5C" w:rsidR="007626EF" w:rsidRPr="007626EF" w:rsidRDefault="007626EF" w:rsidP="007626EF">
      <w:pPr>
        <w:widowControl w:val="0"/>
        <w:pBdr>
          <w:top w:val="nil"/>
          <w:left w:val="nil"/>
          <w:bottom w:val="nil"/>
          <w:right w:val="nil"/>
          <w:between w:val="nil"/>
          <w:bar w:val="nil"/>
        </w:pBdr>
        <w:shd w:val="clear" w:color="auto" w:fill="FFFFFF"/>
        <w:tabs>
          <w:tab w:val="left" w:pos="0"/>
          <w:tab w:val="left" w:pos="567"/>
        </w:tabs>
        <w:suppressAutoHyphens/>
        <w:jc w:val="both"/>
        <w:rPr>
          <w:rFonts w:eastAsia="Calibri"/>
          <w:sz w:val="22"/>
          <w:szCs w:val="22"/>
          <w:lang w:val="lt-LT" w:eastAsia="lt-LT"/>
        </w:rPr>
      </w:pPr>
      <w:r>
        <w:rPr>
          <w:rFonts w:eastAsia="Calibri"/>
          <w:sz w:val="22"/>
          <w:szCs w:val="22"/>
          <w:lang w:val="lt-LT" w:eastAsia="lt-LT"/>
        </w:rPr>
        <w:t>3.3. Užsakovas</w:t>
      </w:r>
      <w:r w:rsidRPr="007626EF">
        <w:rPr>
          <w:rFonts w:eastAsia="Calibri"/>
          <w:sz w:val="22"/>
          <w:szCs w:val="22"/>
          <w:lang w:val="lt-LT" w:eastAsia="lt-LT"/>
        </w:rPr>
        <w:t xml:space="preserve"> numato galimybę įsigyti Sutartimi įsigyjamų P</w:t>
      </w:r>
      <w:r>
        <w:rPr>
          <w:rFonts w:eastAsia="Calibri"/>
          <w:sz w:val="22"/>
          <w:szCs w:val="22"/>
          <w:lang w:val="lt-LT" w:eastAsia="lt-LT"/>
        </w:rPr>
        <w:t>aslaugų</w:t>
      </w:r>
      <w:r w:rsidRPr="007626EF">
        <w:rPr>
          <w:rFonts w:eastAsia="Calibri"/>
          <w:sz w:val="22"/>
          <w:szCs w:val="22"/>
          <w:lang w:val="lt-LT" w:eastAsia="lt-LT"/>
        </w:rPr>
        <w:t xml:space="preserve"> sąraše nenurodytų, tačiau su pirkimo objektu susijusių P</w:t>
      </w:r>
      <w:r>
        <w:rPr>
          <w:rFonts w:eastAsia="Calibri"/>
          <w:sz w:val="22"/>
          <w:szCs w:val="22"/>
          <w:lang w:val="lt-LT" w:eastAsia="lt-LT"/>
        </w:rPr>
        <w:t>aslaugų</w:t>
      </w:r>
      <w:r w:rsidRPr="007626EF">
        <w:rPr>
          <w:rFonts w:eastAsia="Calibri"/>
          <w:sz w:val="22"/>
          <w:szCs w:val="22"/>
          <w:lang w:val="lt-LT" w:eastAsia="lt-LT"/>
        </w:rPr>
        <w:t xml:space="preserve"> (toliau – Nenumatytos p</w:t>
      </w:r>
      <w:r>
        <w:rPr>
          <w:rFonts w:eastAsia="Calibri"/>
          <w:sz w:val="22"/>
          <w:szCs w:val="22"/>
          <w:lang w:val="lt-LT" w:eastAsia="lt-LT"/>
        </w:rPr>
        <w:t>aslaugos</w:t>
      </w:r>
      <w:r w:rsidRPr="007626EF">
        <w:rPr>
          <w:rFonts w:eastAsia="Calibri"/>
          <w:sz w:val="22"/>
          <w:szCs w:val="22"/>
          <w:lang w:val="lt-LT" w:eastAsia="lt-LT"/>
        </w:rPr>
        <w:t>) neviršijant 10 (dešimt) proc. pradinės Sutarties vertės (jos nedidinant).</w:t>
      </w:r>
      <w:r w:rsidR="00CB6944">
        <w:rPr>
          <w:rFonts w:eastAsia="Calibri"/>
          <w:sz w:val="22"/>
          <w:szCs w:val="22"/>
          <w:lang w:val="lt-LT" w:eastAsia="lt-LT"/>
        </w:rPr>
        <w:t xml:space="preserve"> </w:t>
      </w:r>
      <w:r w:rsidRPr="007626EF">
        <w:rPr>
          <w:rFonts w:eastAsia="Calibri"/>
          <w:sz w:val="22"/>
          <w:szCs w:val="22"/>
          <w:lang w:val="lt-LT" w:eastAsia="lt-LT"/>
        </w:rPr>
        <w:t>Už Nenumatytas p</w:t>
      </w:r>
      <w:r>
        <w:rPr>
          <w:rFonts w:eastAsia="Calibri"/>
          <w:sz w:val="22"/>
          <w:szCs w:val="22"/>
          <w:lang w:val="lt-LT" w:eastAsia="lt-LT"/>
        </w:rPr>
        <w:t>aslaugas</w:t>
      </w:r>
      <w:r w:rsidRPr="007626EF">
        <w:rPr>
          <w:rFonts w:eastAsia="Calibri"/>
          <w:sz w:val="22"/>
          <w:szCs w:val="22"/>
          <w:lang w:val="lt-LT" w:eastAsia="lt-LT"/>
        </w:rPr>
        <w:t xml:space="preserve"> bus apmokama ne didesnėmis nei užsakymo dieną tiekėjo prekybos vietoje, kataloge ar interneto svetainėje nurodytomis galiojančiomis šių </w:t>
      </w:r>
      <w:r>
        <w:rPr>
          <w:rFonts w:eastAsia="Calibri"/>
          <w:sz w:val="22"/>
          <w:szCs w:val="22"/>
          <w:lang w:val="lt-LT" w:eastAsia="lt-LT"/>
        </w:rPr>
        <w:t>paslaugų</w:t>
      </w:r>
      <w:r w:rsidRPr="007626EF">
        <w:rPr>
          <w:rFonts w:eastAsia="Calibri"/>
          <w:sz w:val="22"/>
          <w:szCs w:val="22"/>
          <w:lang w:val="lt-LT" w:eastAsia="lt-LT"/>
        </w:rPr>
        <w:t xml:space="preserve"> kainomis arba, jei tokios kainos neskelbiamos, </w:t>
      </w:r>
      <w:r>
        <w:rPr>
          <w:rFonts w:eastAsia="Calibri"/>
          <w:sz w:val="22"/>
          <w:szCs w:val="22"/>
          <w:lang w:val="lt-LT" w:eastAsia="lt-LT"/>
        </w:rPr>
        <w:t>Paslaugų tei</w:t>
      </w:r>
      <w:r w:rsidRPr="007626EF">
        <w:rPr>
          <w:rFonts w:eastAsia="Calibri"/>
          <w:sz w:val="22"/>
          <w:szCs w:val="22"/>
          <w:lang w:val="lt-LT" w:eastAsia="lt-LT"/>
        </w:rPr>
        <w:t>kėjo pasiūlytomis, konkurencingomis ir rinką atitinkančiomis kainomis. Nenumatytų p</w:t>
      </w:r>
      <w:r>
        <w:rPr>
          <w:rFonts w:eastAsia="Calibri"/>
          <w:sz w:val="22"/>
          <w:szCs w:val="22"/>
          <w:lang w:val="lt-LT" w:eastAsia="lt-LT"/>
        </w:rPr>
        <w:t>aslaugų</w:t>
      </w:r>
      <w:r w:rsidRPr="007626EF">
        <w:rPr>
          <w:rFonts w:eastAsia="Calibri"/>
          <w:sz w:val="22"/>
          <w:szCs w:val="22"/>
          <w:lang w:val="lt-LT" w:eastAsia="lt-LT"/>
        </w:rPr>
        <w:t xml:space="preserve"> kaina su </w:t>
      </w:r>
      <w:r>
        <w:rPr>
          <w:rFonts w:eastAsia="Calibri"/>
          <w:sz w:val="22"/>
          <w:szCs w:val="22"/>
          <w:lang w:val="lt-LT" w:eastAsia="lt-LT"/>
        </w:rPr>
        <w:t>Užsakovu</w:t>
      </w:r>
      <w:r w:rsidRPr="007626EF">
        <w:rPr>
          <w:rFonts w:eastAsia="Calibri"/>
          <w:sz w:val="22"/>
          <w:szCs w:val="22"/>
          <w:lang w:val="lt-LT" w:eastAsia="lt-LT"/>
        </w:rPr>
        <w:t xml:space="preserve"> turi būti derinama iš anksto. Gavęs </w:t>
      </w:r>
      <w:r>
        <w:rPr>
          <w:rFonts w:eastAsia="Calibri"/>
          <w:sz w:val="22"/>
          <w:szCs w:val="22"/>
          <w:lang w:val="lt-LT" w:eastAsia="lt-LT"/>
        </w:rPr>
        <w:t>Paslaugų teikėjo</w:t>
      </w:r>
      <w:r w:rsidRPr="007626EF">
        <w:rPr>
          <w:rFonts w:eastAsia="Calibri"/>
          <w:sz w:val="22"/>
          <w:szCs w:val="22"/>
          <w:lang w:val="lt-LT" w:eastAsia="lt-LT"/>
        </w:rPr>
        <w:t xml:space="preserve"> pateiktas Nenumatytų p</w:t>
      </w:r>
      <w:r>
        <w:rPr>
          <w:rFonts w:eastAsia="Calibri"/>
          <w:sz w:val="22"/>
          <w:szCs w:val="22"/>
          <w:lang w:val="lt-LT" w:eastAsia="lt-LT"/>
        </w:rPr>
        <w:t>aslaugų</w:t>
      </w:r>
      <w:r w:rsidRPr="007626EF">
        <w:rPr>
          <w:rFonts w:eastAsia="Calibri"/>
          <w:sz w:val="22"/>
          <w:szCs w:val="22"/>
          <w:lang w:val="lt-LT" w:eastAsia="lt-LT"/>
        </w:rPr>
        <w:t xml:space="preserve"> kainas (komercinį pasiūlymą), </w:t>
      </w:r>
      <w:r>
        <w:rPr>
          <w:rFonts w:eastAsia="Calibri"/>
          <w:sz w:val="22"/>
          <w:szCs w:val="22"/>
          <w:lang w:val="lt-LT" w:eastAsia="lt-LT"/>
        </w:rPr>
        <w:t>Užsakovas</w:t>
      </w:r>
      <w:r w:rsidRPr="007626EF">
        <w:rPr>
          <w:rFonts w:eastAsia="Calibri"/>
          <w:sz w:val="22"/>
          <w:szCs w:val="22"/>
          <w:lang w:val="lt-LT" w:eastAsia="lt-LT"/>
        </w:rPr>
        <w:t xml:space="preserve"> atlieka rinkos kainų tyrimą (apklausą telefonu ir / ar raštu, ir / ar paiešką elektroninėje erdvėje ar kt.), tokiu būdu įvertindamas, ar </w:t>
      </w:r>
      <w:r>
        <w:rPr>
          <w:rFonts w:eastAsia="Calibri"/>
          <w:sz w:val="22"/>
          <w:szCs w:val="22"/>
          <w:lang w:val="lt-LT" w:eastAsia="lt-LT"/>
        </w:rPr>
        <w:t>Paslaugų tei</w:t>
      </w:r>
      <w:r w:rsidRPr="007626EF">
        <w:rPr>
          <w:rFonts w:eastAsia="Calibri"/>
          <w:sz w:val="22"/>
          <w:szCs w:val="22"/>
          <w:lang w:val="lt-LT" w:eastAsia="lt-LT"/>
        </w:rPr>
        <w:t>kėjo pateiktos Nenumatytų p</w:t>
      </w:r>
      <w:r>
        <w:rPr>
          <w:rFonts w:eastAsia="Calibri"/>
          <w:sz w:val="22"/>
          <w:szCs w:val="22"/>
          <w:lang w:val="lt-LT" w:eastAsia="lt-LT"/>
        </w:rPr>
        <w:t>aslaugų</w:t>
      </w:r>
      <w:r w:rsidRPr="007626EF">
        <w:rPr>
          <w:rFonts w:eastAsia="Calibri"/>
          <w:sz w:val="22"/>
          <w:szCs w:val="22"/>
          <w:lang w:val="lt-LT" w:eastAsia="lt-LT"/>
        </w:rPr>
        <w:t xml:space="preserve"> kainos atitinka rinkos kainas. Nustačius, kad </w:t>
      </w:r>
      <w:r>
        <w:rPr>
          <w:rFonts w:eastAsia="Calibri"/>
          <w:sz w:val="22"/>
          <w:szCs w:val="22"/>
          <w:lang w:val="lt-LT" w:eastAsia="lt-LT"/>
        </w:rPr>
        <w:t>Paslaugų tei</w:t>
      </w:r>
      <w:r w:rsidRPr="007626EF">
        <w:rPr>
          <w:rFonts w:eastAsia="Calibri"/>
          <w:sz w:val="22"/>
          <w:szCs w:val="22"/>
          <w:lang w:val="lt-LT" w:eastAsia="lt-LT"/>
        </w:rPr>
        <w:t>kėjo pasiūlytos Nenumatytų p</w:t>
      </w:r>
      <w:r>
        <w:rPr>
          <w:rFonts w:eastAsia="Calibri"/>
          <w:sz w:val="22"/>
          <w:szCs w:val="22"/>
          <w:lang w:val="lt-LT" w:eastAsia="lt-LT"/>
        </w:rPr>
        <w:t>aslaugų</w:t>
      </w:r>
      <w:r w:rsidRPr="007626EF">
        <w:rPr>
          <w:rFonts w:eastAsia="Calibri"/>
          <w:sz w:val="22"/>
          <w:szCs w:val="22"/>
          <w:lang w:val="lt-LT" w:eastAsia="lt-LT"/>
        </w:rPr>
        <w:t xml:space="preserve"> kainos yra didesnės nei rinkos, </w:t>
      </w:r>
      <w:r>
        <w:rPr>
          <w:rFonts w:eastAsia="Calibri"/>
          <w:sz w:val="22"/>
          <w:szCs w:val="22"/>
          <w:lang w:val="lt-LT" w:eastAsia="lt-LT"/>
        </w:rPr>
        <w:t>Užsakovas</w:t>
      </w:r>
      <w:r w:rsidRPr="007626EF">
        <w:rPr>
          <w:rFonts w:eastAsia="Calibri"/>
          <w:sz w:val="22"/>
          <w:szCs w:val="22"/>
          <w:lang w:val="lt-LT" w:eastAsia="lt-LT"/>
        </w:rPr>
        <w:t xml:space="preserve"> prašo </w:t>
      </w:r>
      <w:r>
        <w:rPr>
          <w:rFonts w:eastAsia="Calibri"/>
          <w:sz w:val="22"/>
          <w:szCs w:val="22"/>
          <w:lang w:val="lt-LT" w:eastAsia="lt-LT"/>
        </w:rPr>
        <w:t>Paslaugų tei</w:t>
      </w:r>
      <w:r w:rsidRPr="007626EF">
        <w:rPr>
          <w:rFonts w:eastAsia="Calibri"/>
          <w:sz w:val="22"/>
          <w:szCs w:val="22"/>
          <w:lang w:val="lt-LT" w:eastAsia="lt-LT"/>
        </w:rPr>
        <w:t xml:space="preserve">kėjo jas sumažinti. </w:t>
      </w:r>
      <w:r>
        <w:rPr>
          <w:rFonts w:eastAsia="Calibri"/>
          <w:sz w:val="22"/>
          <w:szCs w:val="22"/>
          <w:lang w:val="lt-LT" w:eastAsia="lt-LT"/>
        </w:rPr>
        <w:t>Paslaugų tei</w:t>
      </w:r>
      <w:r w:rsidRPr="007626EF">
        <w:rPr>
          <w:rFonts w:eastAsia="Calibri"/>
          <w:sz w:val="22"/>
          <w:szCs w:val="22"/>
          <w:lang w:val="lt-LT" w:eastAsia="lt-LT"/>
        </w:rPr>
        <w:t>kėjui nesutikus sumažinti Nenumatytų p</w:t>
      </w:r>
      <w:r>
        <w:rPr>
          <w:rFonts w:eastAsia="Calibri"/>
          <w:sz w:val="22"/>
          <w:szCs w:val="22"/>
          <w:lang w:val="lt-LT" w:eastAsia="lt-LT"/>
        </w:rPr>
        <w:t>aslaugų</w:t>
      </w:r>
      <w:r w:rsidRPr="007626EF">
        <w:rPr>
          <w:rFonts w:eastAsia="Calibri"/>
          <w:sz w:val="22"/>
          <w:szCs w:val="22"/>
          <w:lang w:val="lt-LT" w:eastAsia="lt-LT"/>
        </w:rPr>
        <w:t xml:space="preserve"> kainos iki rinkos kainos, </w:t>
      </w:r>
      <w:r>
        <w:rPr>
          <w:rFonts w:eastAsia="Calibri"/>
          <w:sz w:val="22"/>
          <w:szCs w:val="22"/>
          <w:lang w:val="lt-LT" w:eastAsia="lt-LT"/>
        </w:rPr>
        <w:t>Užsakovas</w:t>
      </w:r>
      <w:r w:rsidRPr="007626EF">
        <w:rPr>
          <w:rFonts w:eastAsia="Calibri"/>
          <w:sz w:val="22"/>
          <w:szCs w:val="22"/>
          <w:lang w:val="lt-LT" w:eastAsia="lt-LT"/>
        </w:rPr>
        <w:t xml:space="preserve"> pasilieka teisę nenumatytas p</w:t>
      </w:r>
      <w:r>
        <w:rPr>
          <w:rFonts w:eastAsia="Calibri"/>
          <w:sz w:val="22"/>
          <w:szCs w:val="22"/>
          <w:lang w:val="lt-LT" w:eastAsia="lt-LT"/>
        </w:rPr>
        <w:t>aslaugas</w:t>
      </w:r>
      <w:r w:rsidRPr="007626EF">
        <w:rPr>
          <w:rFonts w:eastAsia="Calibri"/>
          <w:sz w:val="22"/>
          <w:szCs w:val="22"/>
          <w:lang w:val="lt-LT" w:eastAsia="lt-LT"/>
        </w:rPr>
        <w:t xml:space="preserve"> įsigyti atskiru pirkimu.</w:t>
      </w:r>
    </w:p>
    <w:p w14:paraId="1347EE40" w14:textId="77777777" w:rsidR="00DC04BD" w:rsidRPr="00E14B75" w:rsidRDefault="00DC04BD" w:rsidP="00DC04BD">
      <w:pPr>
        <w:widowControl w:val="0"/>
        <w:pBdr>
          <w:top w:val="nil"/>
          <w:left w:val="nil"/>
          <w:bottom w:val="nil"/>
          <w:right w:val="nil"/>
          <w:between w:val="nil"/>
          <w:bar w:val="nil"/>
        </w:pBdr>
        <w:shd w:val="clear" w:color="auto" w:fill="FFFFFF"/>
        <w:tabs>
          <w:tab w:val="left" w:pos="0"/>
          <w:tab w:val="left" w:pos="567"/>
        </w:tabs>
        <w:suppressAutoHyphens/>
        <w:jc w:val="both"/>
        <w:rPr>
          <w:rFonts w:eastAsia="Calibri"/>
          <w:sz w:val="22"/>
          <w:szCs w:val="22"/>
          <w:lang w:eastAsia="lt-LT"/>
        </w:rPr>
      </w:pPr>
    </w:p>
    <w:p w14:paraId="498BBE1A" w14:textId="77777777" w:rsidR="001B43AB" w:rsidRPr="006D00B7" w:rsidRDefault="000A35AF" w:rsidP="001B43AB">
      <w:pPr>
        <w:widowControl w:val="0"/>
        <w:numPr>
          <w:ilvl w:val="0"/>
          <w:numId w:val="7"/>
        </w:numPr>
        <w:tabs>
          <w:tab w:val="left" w:pos="426"/>
          <w:tab w:val="left" w:pos="567"/>
          <w:tab w:val="left" w:pos="2552"/>
          <w:tab w:val="left" w:pos="4111"/>
          <w:tab w:val="center" w:pos="4320"/>
          <w:tab w:val="right" w:pos="8640"/>
        </w:tabs>
        <w:jc w:val="center"/>
        <w:rPr>
          <w:b/>
          <w:sz w:val="22"/>
          <w:szCs w:val="22"/>
          <w:lang w:val="lt-LT" w:eastAsia="lt-LT"/>
        </w:rPr>
      </w:pPr>
      <w:r w:rsidRPr="006D00B7">
        <w:rPr>
          <w:b/>
          <w:sz w:val="22"/>
          <w:szCs w:val="22"/>
          <w:lang w:val="lt-LT" w:eastAsia="lt-LT"/>
        </w:rPr>
        <w:t xml:space="preserve"> </w:t>
      </w:r>
      <w:r w:rsidR="001B43AB" w:rsidRPr="006D00B7">
        <w:rPr>
          <w:b/>
          <w:sz w:val="22"/>
          <w:szCs w:val="22"/>
          <w:lang w:val="lt-LT" w:eastAsia="lt-LT"/>
        </w:rPr>
        <w:t>PASLAUGŲ ATLIKIMO TVARKA</w:t>
      </w:r>
    </w:p>
    <w:p w14:paraId="1108D5C6" w14:textId="77777777" w:rsidR="001B43AB" w:rsidRPr="006D00B7" w:rsidRDefault="001B43AB" w:rsidP="001B43AB">
      <w:pPr>
        <w:widowControl w:val="0"/>
        <w:tabs>
          <w:tab w:val="left" w:pos="567"/>
          <w:tab w:val="left" w:pos="1296"/>
          <w:tab w:val="center" w:pos="4320"/>
          <w:tab w:val="right" w:pos="8640"/>
        </w:tabs>
        <w:jc w:val="center"/>
        <w:rPr>
          <w:sz w:val="22"/>
          <w:szCs w:val="22"/>
          <w:lang w:val="lt-LT" w:eastAsia="lt-LT"/>
        </w:rPr>
      </w:pPr>
    </w:p>
    <w:p w14:paraId="1AFDB6BE" w14:textId="77777777" w:rsidR="001B43AB" w:rsidRPr="006D00B7" w:rsidRDefault="001B43AB" w:rsidP="009F78A6">
      <w:pPr>
        <w:widowControl w:val="0"/>
        <w:tabs>
          <w:tab w:val="left" w:pos="284"/>
          <w:tab w:val="left" w:pos="567"/>
        </w:tabs>
        <w:jc w:val="both"/>
        <w:rPr>
          <w:sz w:val="22"/>
          <w:szCs w:val="22"/>
          <w:lang w:val="lt-LT" w:eastAsia="lt-LT"/>
        </w:rPr>
      </w:pPr>
      <w:r w:rsidRPr="006D00B7">
        <w:rPr>
          <w:sz w:val="22"/>
          <w:szCs w:val="22"/>
          <w:lang w:val="lt-LT" w:eastAsia="lt-LT"/>
        </w:rPr>
        <w:t xml:space="preserve">4.1. </w:t>
      </w:r>
      <w:r w:rsidR="00D2625B" w:rsidRPr="006D00B7">
        <w:rPr>
          <w:sz w:val="22"/>
          <w:szCs w:val="22"/>
          <w:lang w:val="lt-LT" w:eastAsia="lt-LT"/>
        </w:rPr>
        <w:t xml:space="preserve">Paslaugų teikėjas </w:t>
      </w:r>
      <w:r w:rsidRPr="006D00B7">
        <w:rPr>
          <w:sz w:val="22"/>
          <w:szCs w:val="22"/>
          <w:lang w:val="lt-LT" w:eastAsia="lt-LT"/>
        </w:rPr>
        <w:t>įsipareigoja atlikti Paslaugas pagal su laboratorijomis iš anksto suderintą  grafiką.</w:t>
      </w:r>
    </w:p>
    <w:p w14:paraId="12585824" w14:textId="77777777" w:rsidR="001B43AB" w:rsidRPr="006D00B7" w:rsidRDefault="00D2625B" w:rsidP="009F78A6">
      <w:pPr>
        <w:widowControl w:val="0"/>
        <w:tabs>
          <w:tab w:val="left" w:pos="284"/>
          <w:tab w:val="left" w:pos="567"/>
        </w:tabs>
        <w:jc w:val="both"/>
        <w:rPr>
          <w:sz w:val="22"/>
          <w:szCs w:val="22"/>
          <w:lang w:val="lt-LT" w:eastAsia="lt-LT"/>
        </w:rPr>
      </w:pPr>
      <w:r w:rsidRPr="006D00B7">
        <w:rPr>
          <w:sz w:val="22"/>
          <w:szCs w:val="22"/>
          <w:lang w:val="lt-LT" w:eastAsia="lt-LT"/>
        </w:rPr>
        <w:t>4.2. Paslaugų</w:t>
      </w:r>
      <w:r w:rsidR="001B43AB" w:rsidRPr="006D00B7">
        <w:rPr>
          <w:sz w:val="22"/>
          <w:szCs w:val="22"/>
          <w:lang w:val="lt-LT" w:eastAsia="lt-LT"/>
        </w:rPr>
        <w:t xml:space="preserve"> atlikimo viet</w:t>
      </w:r>
      <w:r w:rsidRPr="006D00B7">
        <w:rPr>
          <w:sz w:val="22"/>
          <w:szCs w:val="22"/>
          <w:lang w:val="lt-LT" w:eastAsia="lt-LT"/>
        </w:rPr>
        <w:t>a</w:t>
      </w:r>
      <w:r w:rsidR="001B43AB" w:rsidRPr="006D00B7">
        <w:rPr>
          <w:sz w:val="22"/>
          <w:szCs w:val="22"/>
          <w:lang w:val="lt-LT" w:eastAsia="lt-LT"/>
        </w:rPr>
        <w:t>:</w:t>
      </w:r>
    </w:p>
    <w:p w14:paraId="623A0AA2" w14:textId="7FACC43E" w:rsidR="001B43AB" w:rsidRPr="006D00B7" w:rsidRDefault="001B43AB" w:rsidP="009F78A6">
      <w:pPr>
        <w:widowControl w:val="0"/>
        <w:tabs>
          <w:tab w:val="left" w:pos="284"/>
          <w:tab w:val="left" w:pos="567"/>
        </w:tabs>
        <w:jc w:val="both"/>
        <w:rPr>
          <w:sz w:val="22"/>
          <w:szCs w:val="22"/>
          <w:lang w:val="lt-LT" w:eastAsia="lt-LT"/>
        </w:rPr>
      </w:pPr>
      <w:r w:rsidRPr="00DF7526">
        <w:rPr>
          <w:sz w:val="22"/>
          <w:szCs w:val="22"/>
          <w:lang w:val="lt-LT" w:eastAsia="lt-LT"/>
        </w:rPr>
        <w:t>– VšĮ Vilniaus universiteto ligoninė Santar</w:t>
      </w:r>
      <w:r w:rsidR="00300368" w:rsidRPr="00DF7526">
        <w:rPr>
          <w:sz w:val="22"/>
          <w:szCs w:val="22"/>
          <w:lang w:val="lt-LT" w:eastAsia="lt-LT"/>
        </w:rPr>
        <w:t>os</w:t>
      </w:r>
      <w:r w:rsidRPr="00DF7526">
        <w:rPr>
          <w:sz w:val="22"/>
          <w:szCs w:val="22"/>
          <w:lang w:val="lt-LT" w:eastAsia="lt-LT"/>
        </w:rPr>
        <w:t xml:space="preserve"> klinikos (Santariškių g. </w:t>
      </w:r>
      <w:r w:rsidR="002F5C52">
        <w:rPr>
          <w:sz w:val="22"/>
          <w:szCs w:val="22"/>
          <w:lang w:val="lt-LT" w:eastAsia="lt-LT"/>
        </w:rPr>
        <w:t>7</w:t>
      </w:r>
      <w:r w:rsidR="00673B4C" w:rsidRPr="00DF7526">
        <w:rPr>
          <w:sz w:val="22"/>
          <w:szCs w:val="22"/>
          <w:lang w:val="lt-LT" w:eastAsia="lt-LT"/>
        </w:rPr>
        <w:t xml:space="preserve">, </w:t>
      </w:r>
      <w:r w:rsidRPr="00DF7526">
        <w:rPr>
          <w:sz w:val="22"/>
          <w:szCs w:val="22"/>
          <w:lang w:val="lt-LT" w:eastAsia="lt-LT"/>
        </w:rPr>
        <w:t>Vilnius)</w:t>
      </w:r>
      <w:r w:rsidR="0048306A">
        <w:rPr>
          <w:sz w:val="22"/>
          <w:szCs w:val="22"/>
          <w:lang w:val="lt-LT" w:eastAsia="lt-LT"/>
        </w:rPr>
        <w:t>.</w:t>
      </w:r>
    </w:p>
    <w:p w14:paraId="67B6D379" w14:textId="77777777" w:rsidR="009F78A6" w:rsidRPr="006D00B7" w:rsidRDefault="009F78A6" w:rsidP="009F78A6">
      <w:pPr>
        <w:widowControl w:val="0"/>
        <w:pBdr>
          <w:top w:val="nil"/>
          <w:left w:val="nil"/>
          <w:bottom w:val="nil"/>
          <w:right w:val="nil"/>
          <w:between w:val="nil"/>
          <w:bar w:val="nil"/>
        </w:pBdr>
        <w:tabs>
          <w:tab w:val="left" w:pos="0"/>
          <w:tab w:val="left" w:pos="567"/>
        </w:tabs>
        <w:suppressAutoHyphens/>
        <w:ind w:right="-1"/>
        <w:jc w:val="both"/>
        <w:rPr>
          <w:rFonts w:eastAsia="Calibri"/>
          <w:sz w:val="22"/>
          <w:szCs w:val="22"/>
          <w:lang w:val="lt-LT"/>
        </w:rPr>
      </w:pPr>
      <w:r w:rsidRPr="006D00B7">
        <w:rPr>
          <w:rFonts w:eastAsia="Calibri"/>
          <w:sz w:val="22"/>
          <w:szCs w:val="22"/>
          <w:lang w:val="lt-LT"/>
        </w:rPr>
        <w:t>4.3. Paslaugų teikėjo  atstovas, atsakingas už sutarties vykdymą: ................ (vardas, pavardė, tel., el. paštas)</w:t>
      </w:r>
    </w:p>
    <w:p w14:paraId="6BDBB500" w14:textId="3219F0CE" w:rsidR="009F78A6" w:rsidRPr="000040F9" w:rsidRDefault="009F78A6" w:rsidP="000040F9">
      <w:pPr>
        <w:widowControl w:val="0"/>
        <w:pBdr>
          <w:top w:val="nil"/>
          <w:left w:val="nil"/>
          <w:bottom w:val="nil"/>
          <w:right w:val="nil"/>
          <w:between w:val="nil"/>
          <w:bar w:val="nil"/>
        </w:pBdr>
        <w:tabs>
          <w:tab w:val="left" w:pos="0"/>
          <w:tab w:val="left" w:pos="567"/>
        </w:tabs>
        <w:suppressAutoHyphens/>
        <w:ind w:right="-1"/>
        <w:jc w:val="both"/>
        <w:rPr>
          <w:rFonts w:eastAsia="Calibri"/>
          <w:sz w:val="22"/>
          <w:szCs w:val="22"/>
          <w:lang w:val="lt-LT"/>
        </w:rPr>
      </w:pPr>
      <w:r w:rsidRPr="000040F9">
        <w:rPr>
          <w:rFonts w:eastAsia="Calibri"/>
          <w:sz w:val="22"/>
          <w:szCs w:val="22"/>
          <w:lang w:val="lt-LT"/>
        </w:rPr>
        <w:t xml:space="preserve">Užsakovo atstovas, atsakingas už sutarties vykdymą: </w:t>
      </w:r>
      <w:r w:rsidR="00CC6A87">
        <w:rPr>
          <w:rFonts w:eastAsia="Calibri"/>
          <w:sz w:val="22"/>
          <w:szCs w:val="22"/>
          <w:lang w:val="lt-LT"/>
        </w:rPr>
        <w:t>Audronė Eidukaitė</w:t>
      </w:r>
      <w:r w:rsidR="002E02F1" w:rsidRPr="002E02F1">
        <w:rPr>
          <w:rFonts w:eastAsia="Calibri"/>
          <w:sz w:val="22"/>
          <w:szCs w:val="22"/>
          <w:lang w:val="lt-LT"/>
        </w:rPr>
        <w:t>, tel. +370</w:t>
      </w:r>
      <w:r w:rsidR="00CC6A87">
        <w:rPr>
          <w:rFonts w:eastAsia="Calibri"/>
          <w:sz w:val="22"/>
          <w:szCs w:val="22"/>
          <w:lang w:val="lt-LT"/>
        </w:rPr>
        <w:t xml:space="preserve"> </w:t>
      </w:r>
      <w:r w:rsidR="002E02F1" w:rsidRPr="002E02F1">
        <w:rPr>
          <w:rFonts w:eastAsia="Calibri"/>
          <w:sz w:val="22"/>
          <w:szCs w:val="22"/>
          <w:lang w:val="lt-LT"/>
        </w:rPr>
        <w:t>52</w:t>
      </w:r>
      <w:r w:rsidR="00CC6A87">
        <w:rPr>
          <w:rFonts w:eastAsia="Calibri"/>
          <w:sz w:val="22"/>
          <w:szCs w:val="22"/>
          <w:lang w:val="lt-LT"/>
        </w:rPr>
        <w:t>492408</w:t>
      </w:r>
      <w:r w:rsidR="002E02F1" w:rsidRPr="002E02F1">
        <w:rPr>
          <w:rFonts w:eastAsia="Calibri"/>
          <w:sz w:val="22"/>
          <w:szCs w:val="22"/>
          <w:lang w:val="lt-LT"/>
        </w:rPr>
        <w:t xml:space="preserve">, </w:t>
      </w:r>
      <w:hyperlink r:id="rId7" w:history="1">
        <w:r w:rsidR="00CC6A87" w:rsidRPr="0041289A">
          <w:rPr>
            <w:rStyle w:val="Hyperlink"/>
            <w:rFonts w:eastAsia="Calibri"/>
            <w:sz w:val="22"/>
            <w:szCs w:val="22"/>
            <w:lang w:val="lt-LT"/>
          </w:rPr>
          <w:t>audrone.eidukaite@santa.lt</w:t>
        </w:r>
      </w:hyperlink>
      <w:r w:rsidR="002E02F1">
        <w:rPr>
          <w:rFonts w:eastAsia="Calibri"/>
          <w:sz w:val="22"/>
          <w:szCs w:val="22"/>
          <w:lang w:val="lt-LT"/>
        </w:rPr>
        <w:t xml:space="preserve"> </w:t>
      </w:r>
    </w:p>
    <w:p w14:paraId="66BBBE5A" w14:textId="77777777" w:rsidR="009F78A6" w:rsidRPr="006D00B7" w:rsidRDefault="009F78A6" w:rsidP="009F78A6">
      <w:pPr>
        <w:widowControl w:val="0"/>
        <w:pBdr>
          <w:top w:val="nil"/>
          <w:left w:val="nil"/>
          <w:bottom w:val="nil"/>
          <w:right w:val="nil"/>
          <w:between w:val="nil"/>
          <w:bar w:val="nil"/>
        </w:pBdr>
        <w:tabs>
          <w:tab w:val="left" w:pos="0"/>
          <w:tab w:val="left" w:pos="567"/>
        </w:tabs>
        <w:suppressAutoHyphens/>
        <w:ind w:right="-1"/>
        <w:jc w:val="both"/>
        <w:rPr>
          <w:rFonts w:eastAsia="Calibri"/>
          <w:sz w:val="22"/>
          <w:szCs w:val="22"/>
          <w:lang w:val="lt-LT"/>
        </w:rPr>
      </w:pPr>
      <w:r w:rsidRPr="006D00B7">
        <w:rPr>
          <w:rFonts w:eastAsia="Calibri"/>
          <w:sz w:val="22"/>
          <w:szCs w:val="22"/>
          <w:lang w:val="lt-LT"/>
        </w:rPr>
        <w:t xml:space="preserve">Užsakovo atstovas, atsakingas  už sutarties ir jos pakeitimų paskelbimą pagal Lietuvos Respublikos viešųjų pirkimų įstatymo 86 straipsnio 9 dalies nuostatas: Viešųjų pirkimų skyriaus specialistas Remigijus Andžius tel. +370 52365042, el. pašto adresas: </w:t>
      </w:r>
      <w:hyperlink r:id="rId8" w:history="1">
        <w:r w:rsidRPr="006D00B7">
          <w:rPr>
            <w:rStyle w:val="Hyperlink"/>
            <w:rFonts w:eastAsia="Calibri"/>
            <w:sz w:val="22"/>
            <w:szCs w:val="22"/>
            <w:lang w:val="lt-LT"/>
          </w:rPr>
          <w:t>remigijus.andzius@santa.lt</w:t>
        </w:r>
      </w:hyperlink>
      <w:r w:rsidRPr="006D00B7">
        <w:rPr>
          <w:rFonts w:eastAsia="Calibri"/>
          <w:sz w:val="22"/>
          <w:szCs w:val="22"/>
          <w:lang w:val="lt-LT"/>
        </w:rPr>
        <w:t xml:space="preserve">. </w:t>
      </w:r>
    </w:p>
    <w:p w14:paraId="4B827E8D" w14:textId="77777777" w:rsidR="001B43AB" w:rsidRPr="006D00B7" w:rsidRDefault="001B43AB" w:rsidP="009F78A6">
      <w:pPr>
        <w:tabs>
          <w:tab w:val="num" w:pos="360"/>
        </w:tabs>
        <w:jc w:val="both"/>
        <w:rPr>
          <w:sz w:val="22"/>
          <w:szCs w:val="22"/>
          <w:lang w:val="lt-LT" w:eastAsia="lt-LT"/>
        </w:rPr>
      </w:pPr>
    </w:p>
    <w:p w14:paraId="683DCABA" w14:textId="77777777" w:rsidR="001B43AB" w:rsidRPr="006D00B7" w:rsidRDefault="001B43AB" w:rsidP="001B43AB">
      <w:pPr>
        <w:numPr>
          <w:ilvl w:val="0"/>
          <w:numId w:val="7"/>
        </w:numPr>
        <w:jc w:val="center"/>
        <w:rPr>
          <w:b/>
          <w:sz w:val="22"/>
          <w:szCs w:val="22"/>
          <w:lang w:val="lt-LT" w:eastAsia="lt-LT"/>
        </w:rPr>
      </w:pPr>
      <w:r w:rsidRPr="006D00B7">
        <w:rPr>
          <w:b/>
          <w:sz w:val="22"/>
          <w:szCs w:val="22"/>
          <w:lang w:val="lt-LT" w:eastAsia="lt-LT"/>
        </w:rPr>
        <w:t>PASLAUGŲ KOKYBĖ IR GARANTIJA</w:t>
      </w:r>
    </w:p>
    <w:p w14:paraId="259723CE" w14:textId="77777777" w:rsidR="001B43AB" w:rsidRPr="006D00B7" w:rsidRDefault="001B43AB" w:rsidP="001B43AB">
      <w:pPr>
        <w:ind w:left="360"/>
        <w:rPr>
          <w:b/>
          <w:sz w:val="22"/>
          <w:szCs w:val="22"/>
          <w:lang w:val="lt-LT" w:eastAsia="lt-LT"/>
        </w:rPr>
      </w:pPr>
    </w:p>
    <w:p w14:paraId="32454E55" w14:textId="77777777" w:rsidR="001B43AB" w:rsidRPr="006D00B7" w:rsidRDefault="001B43AB" w:rsidP="001B43AB">
      <w:pPr>
        <w:jc w:val="both"/>
        <w:rPr>
          <w:b/>
          <w:iCs/>
          <w:sz w:val="22"/>
          <w:szCs w:val="22"/>
          <w:lang w:val="lt-LT" w:eastAsia="lt-LT"/>
        </w:rPr>
      </w:pPr>
      <w:r w:rsidRPr="006D00B7">
        <w:rPr>
          <w:iCs/>
          <w:sz w:val="22"/>
          <w:szCs w:val="22"/>
          <w:lang w:val="lt-LT" w:eastAsia="lt-LT"/>
        </w:rPr>
        <w:t>5.1.</w:t>
      </w:r>
      <w:r w:rsidRPr="006D00B7">
        <w:rPr>
          <w:b/>
          <w:iCs/>
          <w:sz w:val="22"/>
          <w:szCs w:val="22"/>
          <w:lang w:val="lt-LT" w:eastAsia="lt-LT"/>
        </w:rPr>
        <w:t xml:space="preserve"> </w:t>
      </w:r>
      <w:r w:rsidRPr="006D00B7">
        <w:rPr>
          <w:iCs/>
          <w:sz w:val="22"/>
          <w:szCs w:val="22"/>
          <w:lang w:val="lt-LT" w:eastAsia="lt-LT"/>
        </w:rPr>
        <w:t>Paslaugų kokybė turi atitikti galiojančius standartus, technines sąlygas ar kitus norminius aktus.</w:t>
      </w:r>
      <w:r w:rsidRPr="006D00B7">
        <w:rPr>
          <w:b/>
          <w:iCs/>
          <w:sz w:val="22"/>
          <w:szCs w:val="22"/>
          <w:lang w:val="lt-LT" w:eastAsia="lt-LT"/>
        </w:rPr>
        <w:t xml:space="preserve"> </w:t>
      </w:r>
    </w:p>
    <w:p w14:paraId="27DAEB12" w14:textId="77777777" w:rsidR="001B43AB" w:rsidRPr="006D00B7" w:rsidRDefault="001B43AB" w:rsidP="001B43AB">
      <w:pPr>
        <w:jc w:val="both"/>
        <w:rPr>
          <w:sz w:val="22"/>
          <w:szCs w:val="22"/>
          <w:lang w:val="lt-LT" w:eastAsia="lt-LT"/>
        </w:rPr>
      </w:pPr>
      <w:r w:rsidRPr="006D00B7">
        <w:rPr>
          <w:sz w:val="22"/>
          <w:szCs w:val="22"/>
          <w:lang w:val="lt-LT" w:eastAsia="lt-LT"/>
        </w:rPr>
        <w:t xml:space="preserve">5.2. Paslaugų kokybės </w:t>
      </w:r>
      <w:r w:rsidR="00792E25">
        <w:rPr>
          <w:sz w:val="22"/>
          <w:szCs w:val="22"/>
          <w:lang w:val="lt-LT" w:eastAsia="lt-LT"/>
        </w:rPr>
        <w:t>dokumentai saugomi pas Paslaugų teikėją</w:t>
      </w:r>
      <w:r w:rsidRPr="006D00B7">
        <w:rPr>
          <w:sz w:val="22"/>
          <w:szCs w:val="22"/>
          <w:lang w:val="lt-LT" w:eastAsia="lt-LT"/>
        </w:rPr>
        <w:t>, kuris Užsakovui pateikia dokumentų kopijas.</w:t>
      </w:r>
    </w:p>
    <w:p w14:paraId="1478E35D" w14:textId="77777777" w:rsidR="001B43AB" w:rsidRPr="006D00B7" w:rsidRDefault="001B43AB" w:rsidP="001B43AB">
      <w:pPr>
        <w:widowControl w:val="0"/>
        <w:tabs>
          <w:tab w:val="left" w:pos="567"/>
        </w:tabs>
        <w:jc w:val="both"/>
        <w:rPr>
          <w:b/>
          <w:sz w:val="22"/>
          <w:szCs w:val="22"/>
          <w:lang w:val="lt-LT" w:eastAsia="lt-LT"/>
        </w:rPr>
      </w:pPr>
    </w:p>
    <w:p w14:paraId="7CB727BF" w14:textId="09F8C58C" w:rsidR="006D00B7" w:rsidRDefault="006D00B7" w:rsidP="006D00B7">
      <w:pPr>
        <w:pStyle w:val="ListParagraph"/>
        <w:numPr>
          <w:ilvl w:val="0"/>
          <w:numId w:val="7"/>
        </w:numPr>
        <w:pBdr>
          <w:top w:val="nil"/>
          <w:left w:val="nil"/>
          <w:bottom w:val="nil"/>
          <w:right w:val="nil"/>
          <w:between w:val="nil"/>
          <w:bar w:val="nil"/>
        </w:pBdr>
        <w:tabs>
          <w:tab w:val="left" w:pos="426"/>
        </w:tabs>
        <w:jc w:val="center"/>
        <w:rPr>
          <w:rFonts w:ascii="Times New Roman" w:hAnsi="Times New Roman"/>
          <w:b/>
          <w:sz w:val="22"/>
          <w:szCs w:val="22"/>
          <w:lang w:val="lt-LT" w:eastAsia="lt-LT"/>
        </w:rPr>
      </w:pPr>
      <w:r w:rsidRPr="006D00B7">
        <w:rPr>
          <w:rFonts w:ascii="Times New Roman" w:hAnsi="Times New Roman"/>
          <w:b/>
          <w:sz w:val="22"/>
          <w:szCs w:val="22"/>
          <w:lang w:val="lt-LT" w:eastAsia="lt-LT"/>
        </w:rPr>
        <w:t>SUTARTIES ĮVYKDYMO UŽTIKRINIMAS, ATSAKOMYBĖ</w:t>
      </w:r>
    </w:p>
    <w:p w14:paraId="27BF348C" w14:textId="77777777" w:rsidR="003E644D" w:rsidRPr="006D00B7" w:rsidRDefault="003E644D" w:rsidP="003E644D">
      <w:pPr>
        <w:pStyle w:val="ListParagraph"/>
        <w:pBdr>
          <w:top w:val="nil"/>
          <w:left w:val="nil"/>
          <w:bottom w:val="nil"/>
          <w:right w:val="nil"/>
          <w:between w:val="nil"/>
          <w:bar w:val="nil"/>
        </w:pBdr>
        <w:tabs>
          <w:tab w:val="left" w:pos="426"/>
        </w:tabs>
        <w:rPr>
          <w:rFonts w:ascii="Times New Roman" w:hAnsi="Times New Roman"/>
          <w:b/>
          <w:sz w:val="22"/>
          <w:szCs w:val="22"/>
          <w:lang w:val="lt-LT" w:eastAsia="lt-LT"/>
        </w:rPr>
      </w:pPr>
    </w:p>
    <w:p w14:paraId="4EA9D0B0" w14:textId="77777777" w:rsidR="003E644D" w:rsidRPr="003E644D" w:rsidRDefault="003E644D" w:rsidP="003E644D">
      <w:pPr>
        <w:pBdr>
          <w:top w:val="nil"/>
          <w:left w:val="nil"/>
          <w:bottom w:val="nil"/>
          <w:right w:val="nil"/>
          <w:between w:val="nil"/>
          <w:bar w:val="nil"/>
        </w:pBdr>
        <w:tabs>
          <w:tab w:val="left" w:pos="426"/>
        </w:tabs>
        <w:contextualSpacing/>
        <w:jc w:val="both"/>
        <w:rPr>
          <w:iCs/>
          <w:sz w:val="22"/>
          <w:szCs w:val="22"/>
          <w:lang w:val="lt-LT"/>
        </w:rPr>
      </w:pPr>
      <w:r w:rsidRPr="003E644D">
        <w:rPr>
          <w:iCs/>
          <w:sz w:val="22"/>
          <w:szCs w:val="22"/>
          <w:lang w:val="lt-LT"/>
        </w:rPr>
        <w:t>6.1.</w:t>
      </w:r>
      <w:r w:rsidRPr="003E644D">
        <w:rPr>
          <w:iCs/>
          <w:sz w:val="22"/>
          <w:szCs w:val="22"/>
          <w:lang w:val="lt-LT"/>
        </w:rPr>
        <w:tab/>
        <w:t>Sutarties įvykdymo užtikrinimo priemonė yra netesybos. Jei Paslaugų teikėjas dėl savo kaltės vėluoja suteikti Paslaugas techninėje specifikacijoje ir sutarties 4 dalyje numatytais terminais, Užsakovas turi teisę be rašytinio įspėjimo ir nesumažindamas kitų savo teisių gynimo priemonių, numatytų sutartyje, pradėti skaičiuoti delspinigius už kiekvieną vėluojamą Paslaugų suteikimo dieną. Paslaugų teikėjo vėluojamos suteikti Paslaugos kaina mažinama 0,02 % nuo vėluojamų suteikti Paslaugų vertės Eur be PVM už kiekvieną termino praleidimo dieną. Delspinigių suma išskaičiuojama iš Paslaugų teikėjui mokėtinų sumų.</w:t>
      </w:r>
    </w:p>
    <w:p w14:paraId="63B7D2B1" w14:textId="77777777" w:rsidR="003E644D" w:rsidRPr="003E644D" w:rsidRDefault="003E644D" w:rsidP="003E644D">
      <w:pPr>
        <w:pBdr>
          <w:top w:val="nil"/>
          <w:left w:val="nil"/>
          <w:bottom w:val="nil"/>
          <w:right w:val="nil"/>
          <w:between w:val="nil"/>
          <w:bar w:val="nil"/>
        </w:pBdr>
        <w:tabs>
          <w:tab w:val="left" w:pos="426"/>
        </w:tabs>
        <w:contextualSpacing/>
        <w:jc w:val="both"/>
        <w:rPr>
          <w:iCs/>
          <w:sz w:val="22"/>
          <w:szCs w:val="22"/>
          <w:lang w:val="lt-LT"/>
        </w:rPr>
      </w:pPr>
      <w:r w:rsidRPr="003E644D">
        <w:rPr>
          <w:iCs/>
          <w:sz w:val="22"/>
          <w:szCs w:val="22"/>
          <w:lang w:val="lt-LT"/>
        </w:rPr>
        <w:t>6.2.</w:t>
      </w:r>
      <w:r w:rsidRPr="003E644D">
        <w:rPr>
          <w:iCs/>
          <w:sz w:val="22"/>
          <w:szCs w:val="22"/>
          <w:lang w:val="lt-LT"/>
        </w:rPr>
        <w:tab/>
        <w:t xml:space="preserve">Jei Paslaugų teikėjas iš esmės </w:t>
      </w:r>
      <w:r w:rsidRPr="00A726C1">
        <w:rPr>
          <w:iCs/>
          <w:sz w:val="22"/>
          <w:szCs w:val="22"/>
          <w:lang w:val="lt-LT"/>
        </w:rPr>
        <w:t>pažeidžia Sutartį 9.2.</w:t>
      </w:r>
      <w:r w:rsidRPr="003E644D">
        <w:rPr>
          <w:iCs/>
          <w:sz w:val="22"/>
          <w:szCs w:val="22"/>
          <w:lang w:val="lt-LT"/>
        </w:rPr>
        <w:t>p. nurodytais atvejais, Užsakovas turi teisę taikyti 10 % sutarties pradinės vertės Eur be PVM baudą.</w:t>
      </w:r>
    </w:p>
    <w:p w14:paraId="1E1AB994" w14:textId="77777777" w:rsidR="003E644D" w:rsidRPr="003E644D" w:rsidRDefault="003E644D" w:rsidP="003E644D">
      <w:pPr>
        <w:pBdr>
          <w:top w:val="nil"/>
          <w:left w:val="nil"/>
          <w:bottom w:val="nil"/>
          <w:right w:val="nil"/>
          <w:between w:val="nil"/>
          <w:bar w:val="nil"/>
        </w:pBdr>
        <w:tabs>
          <w:tab w:val="left" w:pos="426"/>
        </w:tabs>
        <w:contextualSpacing/>
        <w:jc w:val="both"/>
        <w:rPr>
          <w:iCs/>
          <w:sz w:val="22"/>
          <w:szCs w:val="22"/>
          <w:lang w:val="lt-LT"/>
        </w:rPr>
      </w:pPr>
      <w:r w:rsidRPr="003E644D">
        <w:rPr>
          <w:iCs/>
          <w:sz w:val="22"/>
          <w:szCs w:val="22"/>
          <w:lang w:val="lt-LT"/>
        </w:rPr>
        <w:lastRenderedPageBreak/>
        <w:t>6.3.</w:t>
      </w:r>
      <w:r w:rsidRPr="003E644D">
        <w:rPr>
          <w:iCs/>
          <w:sz w:val="22"/>
          <w:szCs w:val="22"/>
          <w:lang w:val="lt-LT"/>
        </w:rPr>
        <w:tab/>
        <w:t>Jei Užsakovas dėl savo kaltės vėluoja atsiskaityti su Paslaugų teikėju per sutarties 7.1 p. numatytą terminą, Paslaugų teikėjas turi teisę iš Užsakovo reikalauti sumokėti 0,02 % dydžio delspinigius nuo nesumokėtos sumos Eur be PVM.</w:t>
      </w:r>
    </w:p>
    <w:p w14:paraId="024E1E1D" w14:textId="77777777" w:rsidR="003E644D" w:rsidRPr="003E644D" w:rsidRDefault="003E644D" w:rsidP="003E644D">
      <w:pPr>
        <w:pBdr>
          <w:top w:val="nil"/>
          <w:left w:val="nil"/>
          <w:bottom w:val="nil"/>
          <w:right w:val="nil"/>
          <w:between w:val="nil"/>
          <w:bar w:val="nil"/>
        </w:pBdr>
        <w:tabs>
          <w:tab w:val="left" w:pos="426"/>
        </w:tabs>
        <w:contextualSpacing/>
        <w:rPr>
          <w:iCs/>
          <w:sz w:val="22"/>
          <w:szCs w:val="22"/>
          <w:lang w:val="lt-LT"/>
        </w:rPr>
      </w:pPr>
      <w:r w:rsidRPr="003E644D">
        <w:rPr>
          <w:iCs/>
          <w:sz w:val="22"/>
          <w:szCs w:val="22"/>
          <w:lang w:val="lt-LT"/>
        </w:rPr>
        <w:t xml:space="preserve"> </w:t>
      </w:r>
    </w:p>
    <w:p w14:paraId="09E5EC9F" w14:textId="1CC46CCC" w:rsidR="003E644D" w:rsidRPr="003E644D" w:rsidRDefault="003E644D" w:rsidP="003E644D">
      <w:pPr>
        <w:pStyle w:val="ListParagraph"/>
        <w:numPr>
          <w:ilvl w:val="0"/>
          <w:numId w:val="7"/>
        </w:numPr>
        <w:pBdr>
          <w:top w:val="nil"/>
          <w:left w:val="nil"/>
          <w:bottom w:val="nil"/>
          <w:right w:val="nil"/>
          <w:between w:val="nil"/>
          <w:bar w:val="nil"/>
        </w:pBdr>
        <w:tabs>
          <w:tab w:val="left" w:pos="426"/>
        </w:tabs>
        <w:jc w:val="center"/>
        <w:rPr>
          <w:rFonts w:ascii="Times New Roman" w:hAnsi="Times New Roman"/>
          <w:b/>
          <w:bCs/>
          <w:iCs/>
          <w:sz w:val="22"/>
          <w:szCs w:val="22"/>
          <w:lang w:val="lt-LT"/>
        </w:rPr>
      </w:pPr>
      <w:r w:rsidRPr="003E644D">
        <w:rPr>
          <w:rFonts w:ascii="Times New Roman" w:hAnsi="Times New Roman"/>
          <w:b/>
          <w:bCs/>
          <w:iCs/>
          <w:sz w:val="22"/>
          <w:szCs w:val="22"/>
          <w:lang w:val="lt-LT"/>
        </w:rPr>
        <w:t>ATSISKAITYMAS TARP ŠALIŲ</w:t>
      </w:r>
    </w:p>
    <w:p w14:paraId="075681F6" w14:textId="77777777" w:rsidR="003E644D" w:rsidRPr="003E644D" w:rsidRDefault="003E644D" w:rsidP="003E644D">
      <w:pPr>
        <w:pBdr>
          <w:top w:val="nil"/>
          <w:left w:val="nil"/>
          <w:bottom w:val="nil"/>
          <w:right w:val="nil"/>
          <w:between w:val="nil"/>
          <w:bar w:val="nil"/>
        </w:pBdr>
        <w:tabs>
          <w:tab w:val="left" w:pos="426"/>
        </w:tabs>
        <w:ind w:left="360"/>
        <w:rPr>
          <w:iCs/>
          <w:sz w:val="22"/>
          <w:szCs w:val="22"/>
          <w:lang w:val="lt-LT"/>
        </w:rPr>
      </w:pPr>
    </w:p>
    <w:p w14:paraId="7A7B1718" w14:textId="0E7A7A10" w:rsidR="003E644D" w:rsidRPr="003E644D" w:rsidRDefault="003E644D" w:rsidP="001D2D30">
      <w:pPr>
        <w:pBdr>
          <w:top w:val="nil"/>
          <w:left w:val="nil"/>
          <w:bottom w:val="nil"/>
          <w:right w:val="nil"/>
          <w:between w:val="nil"/>
          <w:bar w:val="nil"/>
        </w:pBdr>
        <w:tabs>
          <w:tab w:val="left" w:pos="426"/>
        </w:tabs>
        <w:contextualSpacing/>
        <w:jc w:val="both"/>
        <w:rPr>
          <w:iCs/>
          <w:sz w:val="22"/>
          <w:szCs w:val="22"/>
          <w:lang w:val="lt-LT"/>
        </w:rPr>
      </w:pPr>
      <w:r w:rsidRPr="003E644D">
        <w:rPr>
          <w:iCs/>
          <w:sz w:val="22"/>
          <w:szCs w:val="22"/>
          <w:lang w:val="lt-LT"/>
        </w:rPr>
        <w:t>7.1.</w:t>
      </w:r>
      <w:r w:rsidRPr="003E644D">
        <w:rPr>
          <w:iCs/>
          <w:sz w:val="22"/>
          <w:szCs w:val="22"/>
          <w:lang w:val="lt-LT"/>
        </w:rPr>
        <w:tab/>
        <w:t xml:space="preserve">Užsakovas apmoka Paslaugų teikėjui už Paslaugas pagal gautas PVM sąskaitas faktūras per 30 dienų nuo paslaugų gavimo ir sąskaitos faktūros pateikimo dienos. Jei mokėjimai pagal </w:t>
      </w:r>
      <w:r w:rsidR="001D2D30">
        <w:rPr>
          <w:iCs/>
          <w:sz w:val="22"/>
          <w:szCs w:val="22"/>
          <w:lang w:val="lt-LT"/>
        </w:rPr>
        <w:t>s</w:t>
      </w:r>
      <w:r w:rsidRPr="003E644D">
        <w:rPr>
          <w:iCs/>
          <w:sz w:val="22"/>
          <w:szCs w:val="22"/>
          <w:lang w:val="lt-LT"/>
        </w:rPr>
        <w:t>utartis visiškai arba iš dalies atliekami iš tarpinių finansuojančių organizacijų gautomis lėšomis, taip pat kitomis objektyviai pagrįstomis aplinkybėmis</w:t>
      </w:r>
      <w:r w:rsidR="001D2D30">
        <w:rPr>
          <w:iCs/>
          <w:sz w:val="22"/>
          <w:szCs w:val="22"/>
          <w:lang w:val="lt-LT"/>
        </w:rPr>
        <w:t>,</w:t>
      </w:r>
      <w:r w:rsidRPr="003E644D">
        <w:rPr>
          <w:iCs/>
          <w:sz w:val="22"/>
          <w:szCs w:val="22"/>
          <w:lang w:val="lt-LT"/>
        </w:rPr>
        <w:t xml:space="preserve"> atsiskaitymo terminas Užsakovo gali būti pratęstas iki 60 dienų nuo paslaugų gavimo ir sąskaitos faktūros pateikimo dienos. </w:t>
      </w:r>
    </w:p>
    <w:p w14:paraId="5F31DB58" w14:textId="3039556E" w:rsidR="003E644D" w:rsidRPr="003E644D" w:rsidRDefault="003E644D" w:rsidP="001D2D30">
      <w:pPr>
        <w:pBdr>
          <w:top w:val="nil"/>
          <w:left w:val="nil"/>
          <w:bottom w:val="nil"/>
          <w:right w:val="nil"/>
          <w:between w:val="nil"/>
          <w:bar w:val="nil"/>
        </w:pBdr>
        <w:tabs>
          <w:tab w:val="left" w:pos="426"/>
        </w:tabs>
        <w:contextualSpacing/>
        <w:jc w:val="both"/>
        <w:rPr>
          <w:iCs/>
          <w:sz w:val="22"/>
          <w:szCs w:val="22"/>
          <w:lang w:val="lt-LT"/>
        </w:rPr>
      </w:pPr>
      <w:r w:rsidRPr="003E644D">
        <w:rPr>
          <w:iCs/>
          <w:sz w:val="22"/>
          <w:szCs w:val="22"/>
          <w:lang w:val="lt-LT"/>
        </w:rPr>
        <w:t>7.2.</w:t>
      </w:r>
      <w:r w:rsidRPr="003E644D">
        <w:rPr>
          <w:iCs/>
          <w:sz w:val="22"/>
          <w:szCs w:val="22"/>
          <w:lang w:val="lt-LT"/>
        </w:rPr>
        <w:tab/>
        <w:t xml:space="preserve">Pridėtinės vertės mokesčio sąskaitos faktūros, kreditiniai ir debetiniai dokumentai bei avansinės sąskaitos turi būti teikiami naudojantis informacinės sistemos </w:t>
      </w:r>
      <w:r w:rsidR="00E265A4">
        <w:rPr>
          <w:iCs/>
          <w:sz w:val="22"/>
          <w:szCs w:val="22"/>
          <w:lang w:val="lt-LT"/>
        </w:rPr>
        <w:t>SABIS</w:t>
      </w:r>
      <w:r w:rsidRPr="003E644D">
        <w:rPr>
          <w:iCs/>
          <w:sz w:val="22"/>
          <w:szCs w:val="22"/>
          <w:lang w:val="lt-LT"/>
        </w:rPr>
        <w:t xml:space="preserve"> priemonėmis. Mokėjimo dokumentų nepateikus </w:t>
      </w:r>
      <w:r w:rsidR="00E265A4">
        <w:rPr>
          <w:iCs/>
          <w:sz w:val="22"/>
          <w:szCs w:val="22"/>
          <w:lang w:val="lt-LT"/>
        </w:rPr>
        <w:t>nurodytomis</w:t>
      </w:r>
      <w:r w:rsidRPr="003E644D">
        <w:rPr>
          <w:iCs/>
          <w:sz w:val="22"/>
          <w:szCs w:val="22"/>
          <w:lang w:val="lt-LT"/>
        </w:rPr>
        <w:t xml:space="preserve"> priemonėmis, Užsakovas turi teisę neatlikti mokėjimo.</w:t>
      </w:r>
    </w:p>
    <w:p w14:paraId="16B8A0E7" w14:textId="77777777" w:rsidR="003E644D" w:rsidRPr="001D2D30" w:rsidRDefault="003E644D" w:rsidP="001D2D30">
      <w:pPr>
        <w:pBdr>
          <w:top w:val="nil"/>
          <w:left w:val="nil"/>
          <w:bottom w:val="nil"/>
          <w:right w:val="nil"/>
          <w:between w:val="nil"/>
          <w:bar w:val="nil"/>
        </w:pBdr>
        <w:tabs>
          <w:tab w:val="left" w:pos="426"/>
        </w:tabs>
        <w:contextualSpacing/>
        <w:jc w:val="both"/>
        <w:rPr>
          <w:iCs/>
          <w:sz w:val="22"/>
          <w:szCs w:val="22"/>
          <w:lang w:val="lt-LT"/>
        </w:rPr>
      </w:pPr>
      <w:r w:rsidRPr="001D2D30">
        <w:rPr>
          <w:iCs/>
          <w:sz w:val="22"/>
          <w:szCs w:val="22"/>
          <w:lang w:val="lt-LT"/>
        </w:rPr>
        <w:t>7.3.</w:t>
      </w:r>
      <w:r w:rsidRPr="001D2D30">
        <w:rPr>
          <w:iCs/>
          <w:sz w:val="22"/>
          <w:szCs w:val="22"/>
          <w:lang w:val="lt-LT"/>
        </w:rPr>
        <w:tab/>
        <w:t>Užsakovas numato tiesioginio atsiskaitymo su subtiekėjais galimybę, vadovaujantis šiame punkte nustatyta tvarka. Užsakovas ne vėliau kaip per 3 darbo dienas nuo šios Sutarties 11.5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440180E7" w14:textId="77777777" w:rsidR="003E644D" w:rsidRPr="001D2D30" w:rsidRDefault="003E644D" w:rsidP="001D2D30">
      <w:pPr>
        <w:pBdr>
          <w:top w:val="nil"/>
          <w:left w:val="nil"/>
          <w:bottom w:val="nil"/>
          <w:right w:val="nil"/>
          <w:between w:val="nil"/>
          <w:bar w:val="nil"/>
        </w:pBdr>
        <w:tabs>
          <w:tab w:val="left" w:pos="426"/>
        </w:tabs>
        <w:contextualSpacing/>
        <w:jc w:val="both"/>
        <w:rPr>
          <w:iCs/>
          <w:sz w:val="22"/>
          <w:szCs w:val="22"/>
          <w:lang w:val="lt-LT"/>
        </w:rPr>
      </w:pPr>
      <w:r w:rsidRPr="001D2D30">
        <w:rPr>
          <w:iCs/>
          <w:sz w:val="22"/>
          <w:szCs w:val="22"/>
          <w:lang w:val="lt-LT"/>
        </w:rPr>
        <w:t>7.4.</w:t>
      </w:r>
      <w:r w:rsidRPr="001D2D30">
        <w:rPr>
          <w:iCs/>
          <w:sz w:val="22"/>
          <w:szCs w:val="22"/>
          <w:lang w:val="lt-LT"/>
        </w:rPr>
        <w:tab/>
        <w:t>Sudarius pirkimo sutartį, tačiau ne vėliau negu pirkimo sutartis pradedama vykdyti, Paslaugų teikėjas įsipareigoja Užsakovui pranešti tuo metu žinomų subtiekėjų pavadinimus, kontaktinius duomenis ir jų atstovus. Užsakovas taip pat reikalauja, kad Paslaugų teikėjas informuotų apie minėtos informacijos pasikeitimus visu pirkimo sutarties vykdymo metu, taip pat apie naujus subtiekėjus, kuriuos jis ketina pasitelkti vėliau. Jeigu taikomos 7.5 p. nuostatos, kartu su informacija apie naujus subtiekėjus pateikiami ir subtiekėjo pašalinimo pagrindų nebuvimą patvirtinantys dokumentai.</w:t>
      </w:r>
    </w:p>
    <w:p w14:paraId="08BB0699" w14:textId="77777777" w:rsidR="003E644D" w:rsidRPr="001D2D30" w:rsidRDefault="003E644D" w:rsidP="001D2D30">
      <w:pPr>
        <w:pBdr>
          <w:top w:val="nil"/>
          <w:left w:val="nil"/>
          <w:bottom w:val="nil"/>
          <w:right w:val="nil"/>
          <w:between w:val="nil"/>
          <w:bar w:val="nil"/>
        </w:pBdr>
        <w:tabs>
          <w:tab w:val="left" w:pos="426"/>
        </w:tabs>
        <w:contextualSpacing/>
        <w:jc w:val="both"/>
        <w:rPr>
          <w:iCs/>
          <w:sz w:val="22"/>
          <w:szCs w:val="22"/>
          <w:lang w:val="lt-LT"/>
        </w:rPr>
      </w:pPr>
      <w:r w:rsidRPr="001D2D30">
        <w:rPr>
          <w:iCs/>
          <w:sz w:val="22"/>
          <w:szCs w:val="22"/>
          <w:lang w:val="lt-LT"/>
        </w:rPr>
        <w:t>7.5.</w:t>
      </w:r>
      <w:r w:rsidRPr="001D2D30">
        <w:rPr>
          <w:iCs/>
          <w:sz w:val="22"/>
          <w:szCs w:val="22"/>
          <w:lang w:val="lt-LT"/>
        </w:rPr>
        <w:tab/>
        <w:t>Tais atvejais, kai Paslaugų teikėjas nesiremia subtiekėjo pajėgumais, Užsakovas gali patikrinti, ar nėra Paslaugų teikėjo subtiekėjo pašalinimo pagrindų. Tokiu atveju, jeigu subtiekėjo padėtis atitinka bent vieną nustatytą pašalinimo pagrindą, Užsakovas reikalauja, kad Paslaugų teikėjas per Užsakovo nustatytą terminą pakeistų minėtą subtiekėją reikalavimus atitinkančiu subtiekėju.</w:t>
      </w:r>
    </w:p>
    <w:p w14:paraId="197CB6BC" w14:textId="77777777" w:rsidR="006D00B7" w:rsidRPr="006D00B7" w:rsidRDefault="006D00B7" w:rsidP="006D00B7">
      <w:pPr>
        <w:pBdr>
          <w:top w:val="nil"/>
          <w:left w:val="nil"/>
          <w:bottom w:val="nil"/>
          <w:right w:val="nil"/>
          <w:between w:val="nil"/>
          <w:bar w:val="nil"/>
        </w:pBdr>
        <w:tabs>
          <w:tab w:val="left" w:pos="426"/>
        </w:tabs>
        <w:contextualSpacing/>
        <w:rPr>
          <w:i/>
          <w:sz w:val="22"/>
          <w:szCs w:val="22"/>
          <w:lang w:val="lt-LT"/>
        </w:rPr>
      </w:pPr>
    </w:p>
    <w:p w14:paraId="3FB5B333" w14:textId="77777777" w:rsidR="001B43AB" w:rsidRPr="00792E25" w:rsidRDefault="00792E25" w:rsidP="00792E25">
      <w:pPr>
        <w:widowControl w:val="0"/>
        <w:tabs>
          <w:tab w:val="left" w:pos="567"/>
        </w:tabs>
        <w:ind w:left="360"/>
        <w:contextualSpacing/>
        <w:jc w:val="center"/>
        <w:rPr>
          <w:b/>
          <w:sz w:val="22"/>
          <w:szCs w:val="22"/>
          <w:lang w:val="lt-LT"/>
        </w:rPr>
      </w:pPr>
      <w:r w:rsidRPr="00792E25">
        <w:rPr>
          <w:b/>
          <w:sz w:val="22"/>
          <w:szCs w:val="22"/>
          <w:lang w:val="lt-LT"/>
        </w:rPr>
        <w:t xml:space="preserve">8. </w:t>
      </w:r>
      <w:r w:rsidR="008E79DE" w:rsidRPr="00792E25">
        <w:rPr>
          <w:b/>
          <w:sz w:val="22"/>
          <w:szCs w:val="22"/>
          <w:lang w:val="lt-LT"/>
        </w:rPr>
        <w:t xml:space="preserve"> </w:t>
      </w:r>
      <w:r w:rsidR="001B43AB" w:rsidRPr="00792E25">
        <w:rPr>
          <w:b/>
          <w:sz w:val="22"/>
          <w:szCs w:val="22"/>
          <w:lang w:val="lt-LT"/>
        </w:rPr>
        <w:t>FORCE MAJEURE</w:t>
      </w:r>
    </w:p>
    <w:p w14:paraId="38A887C4" w14:textId="77777777" w:rsidR="001B43AB" w:rsidRPr="006D00B7" w:rsidRDefault="001B43AB" w:rsidP="001B43AB">
      <w:pPr>
        <w:widowControl w:val="0"/>
        <w:tabs>
          <w:tab w:val="left" w:pos="567"/>
        </w:tabs>
        <w:jc w:val="center"/>
        <w:rPr>
          <w:sz w:val="22"/>
          <w:szCs w:val="22"/>
          <w:lang w:val="lt-LT" w:eastAsia="lt-LT"/>
        </w:rPr>
      </w:pPr>
    </w:p>
    <w:p w14:paraId="346D34AF" w14:textId="1F682CE9" w:rsidR="001B43AB" w:rsidRPr="006D00B7" w:rsidRDefault="001B43AB" w:rsidP="001B43AB">
      <w:pPr>
        <w:widowControl w:val="0"/>
        <w:tabs>
          <w:tab w:val="left" w:pos="284"/>
          <w:tab w:val="left" w:pos="567"/>
        </w:tabs>
        <w:jc w:val="both"/>
        <w:rPr>
          <w:sz w:val="22"/>
          <w:szCs w:val="22"/>
          <w:lang w:val="lt-LT" w:eastAsia="lt-LT"/>
        </w:rPr>
      </w:pPr>
      <w:r w:rsidRPr="006D00B7">
        <w:rPr>
          <w:sz w:val="22"/>
          <w:szCs w:val="22"/>
          <w:lang w:val="lt-LT" w:eastAsia="lt-LT"/>
        </w:rPr>
        <w:t>8.1.</w:t>
      </w:r>
      <w:r w:rsidRPr="006D00B7">
        <w:rPr>
          <w:i/>
          <w:sz w:val="22"/>
          <w:szCs w:val="22"/>
          <w:lang w:val="lt-LT" w:eastAsia="lt-LT"/>
        </w:rPr>
        <w:t xml:space="preserve"> Force Majeure</w:t>
      </w:r>
      <w:r w:rsidRPr="006D00B7">
        <w:rPr>
          <w:sz w:val="22"/>
          <w:szCs w:val="22"/>
          <w:lang w:val="lt-LT" w:eastAsia="lt-LT"/>
        </w:rPr>
        <w:t xml:space="preserve"> sąlygos taikomos vadovaujantis LR Vyriausybės 1996 m. liepos 15d. nutarimu Nr. 840 patvirtintomis „</w:t>
      </w:r>
      <w:r w:rsidR="00D16B6B" w:rsidRPr="00D16B6B">
        <w:rPr>
          <w:sz w:val="22"/>
          <w:szCs w:val="22"/>
          <w:lang w:val="lt-LT" w:eastAsia="lt-LT"/>
        </w:rPr>
        <w:t>Dėl Atleidimo nuo atsakomybės esant nenugalimos jėgos (force majeure) aplinkybėms taisyklių patvirtinimo”</w:t>
      </w:r>
      <w:r w:rsidRPr="006D00B7">
        <w:rPr>
          <w:sz w:val="22"/>
          <w:szCs w:val="22"/>
          <w:lang w:val="lt-LT" w:eastAsia="lt-LT"/>
        </w:rPr>
        <w:t xml:space="preserve"> taisykl</w:t>
      </w:r>
      <w:r w:rsidR="00D16B6B">
        <w:rPr>
          <w:sz w:val="22"/>
          <w:szCs w:val="22"/>
          <w:lang w:val="lt-LT" w:eastAsia="lt-LT"/>
        </w:rPr>
        <w:t>ių nuostatomis</w:t>
      </w:r>
      <w:r w:rsidRPr="006D00B7">
        <w:rPr>
          <w:sz w:val="22"/>
          <w:szCs w:val="22"/>
          <w:lang w:val="lt-LT" w:eastAsia="lt-LT"/>
        </w:rPr>
        <w:t>.</w:t>
      </w:r>
    </w:p>
    <w:p w14:paraId="5C8AE62E" w14:textId="77777777" w:rsidR="001B43AB" w:rsidRPr="006D00B7" w:rsidRDefault="001B43AB" w:rsidP="001B43AB">
      <w:pPr>
        <w:widowControl w:val="0"/>
        <w:tabs>
          <w:tab w:val="left" w:pos="567"/>
        </w:tabs>
        <w:jc w:val="center"/>
        <w:rPr>
          <w:sz w:val="22"/>
          <w:szCs w:val="22"/>
          <w:lang w:val="lt-LT" w:eastAsia="lt-LT"/>
        </w:rPr>
      </w:pPr>
    </w:p>
    <w:p w14:paraId="57AD4CEC" w14:textId="77777777" w:rsidR="001B43AB" w:rsidRPr="006D00B7" w:rsidRDefault="000040F9" w:rsidP="000040F9">
      <w:pPr>
        <w:widowControl w:val="0"/>
        <w:tabs>
          <w:tab w:val="left" w:pos="567"/>
        </w:tabs>
        <w:ind w:left="360"/>
        <w:contextualSpacing/>
        <w:jc w:val="center"/>
        <w:rPr>
          <w:b/>
          <w:sz w:val="22"/>
          <w:szCs w:val="22"/>
          <w:lang w:val="lt-LT"/>
        </w:rPr>
      </w:pPr>
      <w:r>
        <w:rPr>
          <w:b/>
          <w:sz w:val="22"/>
          <w:szCs w:val="22"/>
          <w:lang w:val="lt-LT"/>
        </w:rPr>
        <w:t xml:space="preserve">9. </w:t>
      </w:r>
      <w:r w:rsidR="00CB7817" w:rsidRPr="006D00B7">
        <w:rPr>
          <w:b/>
          <w:sz w:val="22"/>
          <w:szCs w:val="22"/>
          <w:lang w:val="lt-LT"/>
        </w:rPr>
        <w:t xml:space="preserve"> </w:t>
      </w:r>
      <w:r w:rsidR="001B43AB" w:rsidRPr="006D00B7">
        <w:rPr>
          <w:b/>
          <w:sz w:val="22"/>
          <w:szCs w:val="22"/>
          <w:lang w:val="lt-LT"/>
        </w:rPr>
        <w:t>SUTARTIES GALIOJIMAS IR NUTRAUKIMAS</w:t>
      </w:r>
    </w:p>
    <w:p w14:paraId="2E6CEE40" w14:textId="77777777" w:rsidR="001B43AB" w:rsidRPr="006D00B7" w:rsidRDefault="001B43AB" w:rsidP="001B43AB">
      <w:pPr>
        <w:widowControl w:val="0"/>
        <w:tabs>
          <w:tab w:val="left" w:pos="567"/>
        </w:tabs>
        <w:jc w:val="center"/>
        <w:rPr>
          <w:sz w:val="22"/>
          <w:szCs w:val="22"/>
          <w:lang w:val="lt-LT" w:eastAsia="lt-LT"/>
        </w:rPr>
      </w:pPr>
    </w:p>
    <w:p w14:paraId="23FCD209" w14:textId="77777777" w:rsidR="00627896" w:rsidRPr="00627896" w:rsidRDefault="00627896" w:rsidP="00627896">
      <w:pPr>
        <w:jc w:val="both"/>
        <w:rPr>
          <w:sz w:val="22"/>
          <w:szCs w:val="22"/>
          <w:lang w:val="lt-LT"/>
        </w:rPr>
      </w:pPr>
      <w:r w:rsidRPr="00627896">
        <w:rPr>
          <w:sz w:val="22"/>
          <w:szCs w:val="22"/>
          <w:lang w:val="lt-LT"/>
        </w:rPr>
        <w:t xml:space="preserve">9.1. Sutartis įsigalioja Šalims ją pasirašius ir galioja iki visiško Šalių tarpusavio įsipareigojimų pagal šią Sutartį įvykdymo, bet ne ilgiau kaip 38 (trisdešimt aštuoni)  mėnesius (įskaičiuotas atsiskaitymas tarp šalių pagal Sutarties 6.1 p.). Sutarties vykdymo (paslaugų teikimo) terminas 36 (trisdešimt šeši)  mėnesiai nuo Sutarties įsigaliojimo </w:t>
      </w:r>
      <w:r>
        <w:rPr>
          <w:sz w:val="22"/>
          <w:szCs w:val="22"/>
          <w:lang w:val="lt-LT"/>
        </w:rPr>
        <w:t>datos.</w:t>
      </w:r>
    </w:p>
    <w:p w14:paraId="3512735E" w14:textId="77777777" w:rsidR="001B43AB" w:rsidRPr="006D00B7" w:rsidRDefault="001B43AB" w:rsidP="000040F9">
      <w:pPr>
        <w:widowControl w:val="0"/>
        <w:tabs>
          <w:tab w:val="left" w:pos="284"/>
          <w:tab w:val="left" w:pos="567"/>
        </w:tabs>
        <w:jc w:val="both"/>
        <w:rPr>
          <w:sz w:val="22"/>
          <w:szCs w:val="22"/>
          <w:lang w:val="lt-LT" w:eastAsia="lt-LT"/>
        </w:rPr>
      </w:pPr>
      <w:r w:rsidRPr="006D00B7">
        <w:rPr>
          <w:sz w:val="22"/>
          <w:szCs w:val="22"/>
          <w:lang w:val="lt-LT" w:eastAsia="lt-LT"/>
        </w:rPr>
        <w:t>9.2. Užsakovas turi teisę vienašališkai nutraukti Sutartį</w:t>
      </w:r>
      <w:r w:rsidR="00501BF1" w:rsidRPr="006D00B7">
        <w:rPr>
          <w:sz w:val="22"/>
          <w:szCs w:val="22"/>
          <w:lang w:val="lt-LT"/>
        </w:rPr>
        <w:t xml:space="preserve"> įspėjęs </w:t>
      </w:r>
      <w:r w:rsidR="00457524" w:rsidRPr="006D00B7">
        <w:rPr>
          <w:sz w:val="22"/>
          <w:szCs w:val="22"/>
          <w:lang w:val="lt-LT"/>
        </w:rPr>
        <w:t>Paslaugų teikėją</w:t>
      </w:r>
      <w:r w:rsidR="00501BF1" w:rsidRPr="006D00B7">
        <w:rPr>
          <w:sz w:val="22"/>
          <w:szCs w:val="22"/>
          <w:lang w:val="lt-LT"/>
        </w:rPr>
        <w:t xml:space="preserve"> prieš 15 darbo dienų</w:t>
      </w:r>
      <w:r w:rsidRPr="006D00B7">
        <w:rPr>
          <w:sz w:val="22"/>
          <w:szCs w:val="22"/>
          <w:lang w:val="lt-LT" w:eastAsia="lt-LT"/>
        </w:rPr>
        <w:t xml:space="preserve">, jeigu </w:t>
      </w:r>
      <w:r w:rsidR="00457524" w:rsidRPr="006D00B7">
        <w:rPr>
          <w:sz w:val="22"/>
          <w:szCs w:val="22"/>
          <w:lang w:val="lt-LT" w:eastAsia="lt-LT"/>
        </w:rPr>
        <w:t xml:space="preserve">Paslaugų teikėjas </w:t>
      </w:r>
      <w:r w:rsidRPr="006D00B7">
        <w:rPr>
          <w:sz w:val="22"/>
          <w:szCs w:val="22"/>
          <w:lang w:val="lt-LT" w:eastAsia="lt-LT"/>
        </w:rPr>
        <w:t>ją iš esmės pažeidė:</w:t>
      </w:r>
    </w:p>
    <w:p w14:paraId="1FE0BDA9" w14:textId="77777777" w:rsidR="001B43AB" w:rsidRPr="006D00B7" w:rsidRDefault="001B43AB" w:rsidP="000040F9">
      <w:pPr>
        <w:widowControl w:val="0"/>
        <w:tabs>
          <w:tab w:val="left" w:pos="284"/>
          <w:tab w:val="left" w:pos="567"/>
        </w:tabs>
        <w:jc w:val="both"/>
        <w:rPr>
          <w:sz w:val="22"/>
          <w:szCs w:val="22"/>
          <w:lang w:val="lt-LT" w:eastAsia="lt-LT"/>
        </w:rPr>
      </w:pPr>
      <w:r w:rsidRPr="006D00B7">
        <w:rPr>
          <w:sz w:val="22"/>
          <w:szCs w:val="22"/>
          <w:lang w:val="lt-LT" w:eastAsia="lt-LT"/>
        </w:rPr>
        <w:t>9.2.1. atliktos Paslaugos yra netinkamos kokybės ir jos trūkumų neįmanoma pašalinti per protingą ir Užsakovui priimtiną terminą;</w:t>
      </w:r>
    </w:p>
    <w:p w14:paraId="0BD8AE13" w14:textId="77777777" w:rsidR="001B43AB" w:rsidRPr="006D00B7" w:rsidRDefault="00457524" w:rsidP="000040F9">
      <w:pPr>
        <w:widowControl w:val="0"/>
        <w:numPr>
          <w:ilvl w:val="2"/>
          <w:numId w:val="8"/>
        </w:numPr>
        <w:tabs>
          <w:tab w:val="left" w:pos="284"/>
          <w:tab w:val="left" w:pos="567"/>
        </w:tabs>
        <w:ind w:left="0" w:firstLine="0"/>
        <w:jc w:val="both"/>
        <w:rPr>
          <w:sz w:val="22"/>
          <w:szCs w:val="22"/>
          <w:lang w:val="lt-LT"/>
        </w:rPr>
      </w:pPr>
      <w:r w:rsidRPr="006D00B7">
        <w:rPr>
          <w:sz w:val="22"/>
          <w:szCs w:val="22"/>
          <w:lang w:val="lt-LT"/>
        </w:rPr>
        <w:t>Paslaugų teikėjas</w:t>
      </w:r>
      <w:r w:rsidR="001B43AB" w:rsidRPr="006D00B7">
        <w:rPr>
          <w:sz w:val="22"/>
          <w:szCs w:val="22"/>
          <w:lang w:val="lt-LT"/>
        </w:rPr>
        <w:t xml:space="preserve"> nurodytu terminu neatliko paslaugų. </w:t>
      </w:r>
    </w:p>
    <w:p w14:paraId="129AD2CA" w14:textId="77777777" w:rsidR="001B43AB" w:rsidRPr="006D00B7" w:rsidRDefault="00457524" w:rsidP="000040F9">
      <w:pPr>
        <w:widowControl w:val="0"/>
        <w:numPr>
          <w:ilvl w:val="1"/>
          <w:numId w:val="8"/>
        </w:numPr>
        <w:tabs>
          <w:tab w:val="left" w:pos="284"/>
          <w:tab w:val="left" w:pos="567"/>
          <w:tab w:val="left" w:pos="1701"/>
        </w:tabs>
        <w:ind w:left="0" w:firstLine="0"/>
        <w:jc w:val="both"/>
        <w:rPr>
          <w:sz w:val="22"/>
          <w:szCs w:val="22"/>
          <w:lang w:val="lt-LT"/>
        </w:rPr>
      </w:pPr>
      <w:r w:rsidRPr="006D00B7">
        <w:rPr>
          <w:sz w:val="22"/>
          <w:szCs w:val="22"/>
          <w:lang w:val="lt-LT"/>
        </w:rPr>
        <w:t xml:space="preserve">Paslaugų teikėjas </w:t>
      </w:r>
      <w:r w:rsidR="001B43AB" w:rsidRPr="006D00B7">
        <w:rPr>
          <w:sz w:val="22"/>
          <w:szCs w:val="22"/>
          <w:lang w:val="lt-LT"/>
        </w:rPr>
        <w:t>turi teisę vienašališkai nutraukti Sutartį</w:t>
      </w:r>
      <w:r w:rsidR="00501BF1" w:rsidRPr="006D00B7">
        <w:rPr>
          <w:sz w:val="22"/>
          <w:szCs w:val="22"/>
          <w:lang w:val="lt-LT"/>
        </w:rPr>
        <w:t xml:space="preserve"> įspėjęs </w:t>
      </w:r>
      <w:r w:rsidRPr="006D00B7">
        <w:rPr>
          <w:sz w:val="22"/>
          <w:szCs w:val="22"/>
          <w:lang w:val="lt-LT"/>
        </w:rPr>
        <w:t>Užsakovą</w:t>
      </w:r>
      <w:r w:rsidR="00501BF1" w:rsidRPr="006D00B7">
        <w:rPr>
          <w:sz w:val="22"/>
          <w:szCs w:val="22"/>
          <w:lang w:val="lt-LT"/>
        </w:rPr>
        <w:t xml:space="preserve"> prieš 15 darbo dienų</w:t>
      </w:r>
      <w:r w:rsidR="001B43AB" w:rsidRPr="006D00B7">
        <w:rPr>
          <w:sz w:val="22"/>
          <w:szCs w:val="22"/>
          <w:lang w:val="lt-LT"/>
        </w:rPr>
        <w:t>, jeigu Užsakovas ją iš esmės pažeidė:</w:t>
      </w:r>
    </w:p>
    <w:p w14:paraId="58955896" w14:textId="77777777" w:rsidR="001B43AB" w:rsidRPr="006D00B7" w:rsidRDefault="001B43AB" w:rsidP="000040F9">
      <w:pPr>
        <w:widowControl w:val="0"/>
        <w:tabs>
          <w:tab w:val="left" w:pos="284"/>
          <w:tab w:val="left" w:pos="567"/>
        </w:tabs>
        <w:jc w:val="both"/>
        <w:rPr>
          <w:sz w:val="22"/>
          <w:szCs w:val="22"/>
          <w:lang w:val="lt-LT" w:eastAsia="lt-LT"/>
        </w:rPr>
      </w:pPr>
      <w:r w:rsidRPr="006D00B7">
        <w:rPr>
          <w:sz w:val="22"/>
          <w:szCs w:val="22"/>
          <w:lang w:val="lt-LT" w:eastAsia="lt-LT"/>
        </w:rPr>
        <w:t>9.3.1. Užsakovas daugiau kaip du kartus laiku nesumokėjo už Paslaugas, kai jos buvo atliktos nustatytais terminais;</w:t>
      </w:r>
    </w:p>
    <w:p w14:paraId="74745E16" w14:textId="77777777" w:rsidR="001B43AB" w:rsidRPr="006D00B7" w:rsidRDefault="001B43AB" w:rsidP="000040F9">
      <w:pPr>
        <w:widowControl w:val="0"/>
        <w:numPr>
          <w:ilvl w:val="2"/>
          <w:numId w:val="8"/>
        </w:numPr>
        <w:tabs>
          <w:tab w:val="left" w:pos="284"/>
          <w:tab w:val="left" w:pos="567"/>
        </w:tabs>
        <w:ind w:left="0" w:firstLine="0"/>
        <w:jc w:val="both"/>
        <w:rPr>
          <w:sz w:val="22"/>
          <w:szCs w:val="22"/>
          <w:lang w:val="lt-LT" w:eastAsia="lt-LT"/>
        </w:rPr>
      </w:pPr>
      <w:r w:rsidRPr="006D00B7">
        <w:rPr>
          <w:sz w:val="22"/>
          <w:szCs w:val="22"/>
          <w:lang w:val="lt-LT" w:eastAsia="lt-LT"/>
        </w:rPr>
        <w:t>Užsakovas daugiau kaip du kartus nepriėmė tinkamoms kokybės Paslaugų, kai jos buvo atliktos nustatytais terminais.</w:t>
      </w:r>
    </w:p>
    <w:p w14:paraId="2F4A6BE7" w14:textId="39D6B24A" w:rsidR="001B43AB" w:rsidRDefault="001B43AB" w:rsidP="000040F9">
      <w:pPr>
        <w:widowControl w:val="0"/>
        <w:numPr>
          <w:ilvl w:val="1"/>
          <w:numId w:val="8"/>
        </w:numPr>
        <w:tabs>
          <w:tab w:val="left" w:pos="284"/>
          <w:tab w:val="left" w:pos="567"/>
        </w:tabs>
        <w:ind w:left="0" w:firstLine="0"/>
        <w:jc w:val="both"/>
        <w:rPr>
          <w:sz w:val="22"/>
          <w:szCs w:val="22"/>
          <w:lang w:val="lt-LT" w:eastAsia="lt-LT"/>
        </w:rPr>
      </w:pPr>
      <w:r w:rsidRPr="006D00B7">
        <w:rPr>
          <w:sz w:val="22"/>
          <w:szCs w:val="22"/>
          <w:lang w:val="lt-LT" w:eastAsia="lt-LT"/>
        </w:rPr>
        <w:t>Sutartis taip pat gali būti nutraukta Šalių raštišku susitarimu.</w:t>
      </w:r>
    </w:p>
    <w:p w14:paraId="7C829938" w14:textId="414E2E7D" w:rsidR="0048306A" w:rsidRDefault="0048306A" w:rsidP="0048306A">
      <w:pPr>
        <w:widowControl w:val="0"/>
        <w:tabs>
          <w:tab w:val="left" w:pos="284"/>
          <w:tab w:val="left" w:pos="567"/>
        </w:tabs>
        <w:jc w:val="both"/>
        <w:rPr>
          <w:sz w:val="22"/>
          <w:szCs w:val="22"/>
          <w:lang w:val="lt-LT" w:eastAsia="lt-LT"/>
        </w:rPr>
      </w:pPr>
    </w:p>
    <w:p w14:paraId="1BF87319" w14:textId="77777777" w:rsidR="0048306A" w:rsidRPr="0048306A" w:rsidRDefault="0048306A" w:rsidP="0048306A">
      <w:pPr>
        <w:numPr>
          <w:ilvl w:val="0"/>
          <w:numId w:val="11"/>
        </w:numPr>
        <w:pBdr>
          <w:top w:val="nil"/>
          <w:left w:val="nil"/>
          <w:bottom w:val="nil"/>
          <w:right w:val="nil"/>
          <w:between w:val="nil"/>
          <w:bar w:val="nil"/>
        </w:pBdr>
        <w:spacing w:line="276" w:lineRule="auto"/>
        <w:contextualSpacing/>
        <w:jc w:val="center"/>
        <w:rPr>
          <w:rFonts w:eastAsia="Arial Unicode MS"/>
          <w:b/>
          <w:sz w:val="22"/>
          <w:szCs w:val="22"/>
          <w:bdr w:val="nil"/>
          <w:lang w:val="lt-LT"/>
        </w:rPr>
      </w:pPr>
      <w:bookmarkStart w:id="0" w:name="_Hlk147308105"/>
      <w:bookmarkStart w:id="1" w:name="_Hlk146291731"/>
      <w:r w:rsidRPr="0048306A">
        <w:rPr>
          <w:rFonts w:eastAsia="Arial Unicode MS"/>
          <w:b/>
          <w:sz w:val="22"/>
          <w:szCs w:val="22"/>
          <w:bdr w:val="nil"/>
          <w:lang w:val="lt-LT"/>
        </w:rPr>
        <w:t>ASMENS DUOMENŲ APSAUGA</w:t>
      </w:r>
    </w:p>
    <w:p w14:paraId="25644BD8" w14:textId="77777777" w:rsidR="0048306A" w:rsidRPr="0048306A" w:rsidRDefault="0048306A" w:rsidP="0048306A">
      <w:pPr>
        <w:pBdr>
          <w:top w:val="nil"/>
          <w:left w:val="nil"/>
          <w:bottom w:val="nil"/>
          <w:right w:val="nil"/>
          <w:between w:val="nil"/>
          <w:bar w:val="nil"/>
        </w:pBdr>
        <w:spacing w:line="276" w:lineRule="auto"/>
        <w:ind w:left="786"/>
        <w:contextualSpacing/>
        <w:rPr>
          <w:rFonts w:eastAsia="Arial Unicode MS"/>
          <w:b/>
          <w:sz w:val="16"/>
          <w:szCs w:val="16"/>
          <w:bdr w:val="nil"/>
          <w:lang w:val="lt-LT"/>
        </w:rPr>
      </w:pPr>
    </w:p>
    <w:p w14:paraId="13BE5512" w14:textId="77777777" w:rsidR="0048306A" w:rsidRPr="0048306A" w:rsidRDefault="0048306A" w:rsidP="0048306A">
      <w:pPr>
        <w:pBdr>
          <w:top w:val="nil"/>
          <w:left w:val="nil"/>
          <w:bottom w:val="nil"/>
          <w:right w:val="nil"/>
          <w:between w:val="nil"/>
          <w:bar w:val="nil"/>
        </w:pBdr>
        <w:jc w:val="both"/>
        <w:rPr>
          <w:rFonts w:eastAsia="Arial Unicode MS"/>
          <w:sz w:val="22"/>
          <w:bdr w:val="nil"/>
          <w:lang w:val="lt-LT"/>
        </w:rPr>
      </w:pPr>
      <w:r w:rsidRPr="0048306A">
        <w:rPr>
          <w:rFonts w:eastAsia="Arial Unicode MS"/>
          <w:sz w:val="22"/>
          <w:bdr w:val="nil"/>
          <w:lang w:val="en-US"/>
        </w:rPr>
        <w:t>10</w:t>
      </w:r>
      <w:r w:rsidRPr="0048306A">
        <w:rPr>
          <w:rFonts w:eastAsia="Arial Unicode MS"/>
          <w:sz w:val="22"/>
          <w:bdr w:val="nil"/>
          <w:lang w:val="lt-LT"/>
        </w:rPr>
        <w:t xml:space="preserve">.1.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w:t>
      </w:r>
      <w:r w:rsidRPr="0048306A">
        <w:rPr>
          <w:rFonts w:eastAsia="Arial Unicode MS"/>
          <w:sz w:val="22"/>
          <w:bdr w:val="nil"/>
          <w:lang w:val="lt-LT"/>
        </w:rPr>
        <w:lastRenderedPageBreak/>
        <w:t>taikomų įstatymų reikalavimų ir užtikrinti, kad duomenų subjektai būtų tinkamai informuoti apie jų asmens duomenų tvarkymą.</w:t>
      </w:r>
    </w:p>
    <w:p w14:paraId="07D23E7A" w14:textId="77777777" w:rsidR="0048306A" w:rsidRPr="0048306A" w:rsidRDefault="0048306A" w:rsidP="0048306A">
      <w:pPr>
        <w:pBdr>
          <w:top w:val="nil"/>
          <w:left w:val="nil"/>
          <w:bottom w:val="nil"/>
          <w:right w:val="nil"/>
          <w:between w:val="nil"/>
          <w:bar w:val="nil"/>
        </w:pBdr>
        <w:jc w:val="both"/>
        <w:rPr>
          <w:rFonts w:eastAsia="Arial Unicode MS"/>
          <w:sz w:val="22"/>
          <w:bdr w:val="nil"/>
          <w:lang w:val="lt-LT"/>
        </w:rPr>
      </w:pPr>
      <w:r w:rsidRPr="0048306A">
        <w:rPr>
          <w:rFonts w:eastAsia="Arial Unicode MS"/>
          <w:sz w:val="22"/>
          <w:bdr w:val="nil"/>
          <w:lang w:val="lt-LT"/>
        </w:rPr>
        <w:t>10.2. 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w:t>
      </w:r>
    </w:p>
    <w:p w14:paraId="27B384DF" w14:textId="77777777" w:rsidR="0048306A" w:rsidRPr="0048306A" w:rsidRDefault="0048306A" w:rsidP="0048306A">
      <w:pPr>
        <w:pBdr>
          <w:top w:val="nil"/>
          <w:left w:val="nil"/>
          <w:bottom w:val="nil"/>
          <w:right w:val="nil"/>
          <w:between w:val="nil"/>
          <w:bar w:val="nil"/>
        </w:pBdr>
        <w:jc w:val="both"/>
        <w:rPr>
          <w:rFonts w:eastAsia="Arial Unicode MS"/>
          <w:sz w:val="22"/>
          <w:bdr w:val="nil"/>
          <w:lang w:val="lt-LT"/>
        </w:rPr>
      </w:pPr>
      <w:r w:rsidRPr="0048306A">
        <w:rPr>
          <w:rFonts w:eastAsia="Arial Unicode MS"/>
          <w:sz w:val="22"/>
          <w:bdr w:val="nil"/>
          <w:lang w:val="lt-LT"/>
        </w:rPr>
        <w:t>10.3. Šalis privalo informuoti kitą Šalį apie bet kokius atstovų ir kito personalo bei jų asmens duomenų pasikeitimus, jei šie duomenys buvo perduoti kitai Šaliai.</w:t>
      </w:r>
      <w:bookmarkEnd w:id="0"/>
    </w:p>
    <w:bookmarkEnd w:id="1"/>
    <w:p w14:paraId="6F5A4C4C" w14:textId="77777777" w:rsidR="0048306A" w:rsidRPr="006D00B7" w:rsidRDefault="0048306A" w:rsidP="0048306A">
      <w:pPr>
        <w:widowControl w:val="0"/>
        <w:tabs>
          <w:tab w:val="left" w:pos="284"/>
          <w:tab w:val="left" w:pos="567"/>
        </w:tabs>
        <w:jc w:val="both"/>
        <w:rPr>
          <w:sz w:val="22"/>
          <w:szCs w:val="22"/>
          <w:lang w:val="lt-LT" w:eastAsia="lt-LT"/>
        </w:rPr>
      </w:pPr>
    </w:p>
    <w:p w14:paraId="463EC816" w14:textId="20DB98ED" w:rsidR="0048306A" w:rsidRPr="0048306A" w:rsidRDefault="0048306A" w:rsidP="0048306A">
      <w:pPr>
        <w:pStyle w:val="ListParagraph"/>
        <w:widowControl w:val="0"/>
        <w:numPr>
          <w:ilvl w:val="0"/>
          <w:numId w:val="11"/>
        </w:numPr>
        <w:pBdr>
          <w:top w:val="nil"/>
          <w:left w:val="nil"/>
          <w:bottom w:val="nil"/>
          <w:right w:val="nil"/>
          <w:between w:val="nil"/>
          <w:bar w:val="nil"/>
        </w:pBdr>
        <w:tabs>
          <w:tab w:val="left" w:pos="426"/>
          <w:tab w:val="left" w:pos="567"/>
        </w:tabs>
        <w:jc w:val="center"/>
        <w:rPr>
          <w:rFonts w:ascii="Times New Roman" w:eastAsia="Arial Unicode MS" w:hAnsi="Times New Roman"/>
          <w:b/>
          <w:sz w:val="22"/>
          <w:szCs w:val="22"/>
          <w:bdr w:val="nil"/>
          <w:lang w:val="lt-LT"/>
        </w:rPr>
      </w:pPr>
      <w:r w:rsidRPr="0048306A">
        <w:rPr>
          <w:rFonts w:ascii="Times New Roman" w:eastAsia="Arial Unicode MS" w:hAnsi="Times New Roman"/>
          <w:b/>
          <w:sz w:val="22"/>
          <w:szCs w:val="22"/>
          <w:bdr w:val="nil"/>
          <w:lang w:val="lt-LT"/>
        </w:rPr>
        <w:t>KITOS SĄLYGOS</w:t>
      </w:r>
    </w:p>
    <w:p w14:paraId="36637711" w14:textId="77777777" w:rsidR="0048306A" w:rsidRPr="0048306A" w:rsidRDefault="0048306A" w:rsidP="0048306A">
      <w:pPr>
        <w:pStyle w:val="ListParagraph"/>
        <w:widowControl w:val="0"/>
        <w:pBdr>
          <w:top w:val="nil"/>
          <w:left w:val="nil"/>
          <w:bottom w:val="nil"/>
          <w:right w:val="nil"/>
          <w:between w:val="nil"/>
          <w:bar w:val="nil"/>
        </w:pBdr>
        <w:tabs>
          <w:tab w:val="left" w:pos="426"/>
          <w:tab w:val="left" w:pos="567"/>
        </w:tabs>
        <w:ind w:left="1146"/>
        <w:rPr>
          <w:rFonts w:eastAsia="Arial Unicode MS"/>
          <w:b/>
          <w:sz w:val="22"/>
          <w:szCs w:val="22"/>
          <w:bdr w:val="nil"/>
          <w:lang w:val="lt-LT"/>
        </w:rPr>
      </w:pPr>
    </w:p>
    <w:p w14:paraId="718EC3A3" w14:textId="77777777" w:rsidR="0048306A" w:rsidRPr="0048306A" w:rsidRDefault="0048306A" w:rsidP="0048306A">
      <w:pPr>
        <w:widowControl w:val="0"/>
        <w:pBdr>
          <w:top w:val="nil"/>
          <w:left w:val="nil"/>
          <w:bottom w:val="nil"/>
          <w:right w:val="nil"/>
          <w:between w:val="nil"/>
          <w:bar w:val="nil"/>
        </w:pBdr>
        <w:tabs>
          <w:tab w:val="left" w:pos="0"/>
          <w:tab w:val="left" w:pos="426"/>
          <w:tab w:val="left" w:pos="567"/>
        </w:tabs>
        <w:suppressAutoHyphens/>
        <w:jc w:val="both"/>
        <w:rPr>
          <w:rFonts w:eastAsia="Arial Unicode MS"/>
          <w:sz w:val="22"/>
          <w:szCs w:val="22"/>
          <w:bdr w:val="nil"/>
          <w:lang w:val="lt-LT"/>
        </w:rPr>
      </w:pPr>
      <w:r w:rsidRPr="0048306A">
        <w:rPr>
          <w:rFonts w:eastAsia="Arial Unicode MS"/>
          <w:sz w:val="22"/>
          <w:szCs w:val="22"/>
          <w:bdr w:val="nil"/>
          <w:lang w:val="lt-LT"/>
        </w:rPr>
        <w:t xml:space="preserve">11.1. Sutarties vykdymo metu Paslaugų teikėjo gauta informacija ir dokumentai yra konfidencialūs. Be išankstinio raštiško Užsakovo leidimo Paslaugų teikėjas neskelbia ir neatskleidžia jokių sutarties nuostatų, išskyrus atvejus, kai tai būtina vykdant sutartį. </w:t>
      </w:r>
    </w:p>
    <w:p w14:paraId="0CF447A4" w14:textId="77777777" w:rsidR="0048306A" w:rsidRPr="0048306A" w:rsidRDefault="0048306A" w:rsidP="0048306A">
      <w:pPr>
        <w:widowControl w:val="0"/>
        <w:pBdr>
          <w:top w:val="nil"/>
          <w:left w:val="nil"/>
          <w:bottom w:val="nil"/>
          <w:right w:val="nil"/>
          <w:between w:val="nil"/>
          <w:bar w:val="nil"/>
        </w:pBdr>
        <w:tabs>
          <w:tab w:val="left" w:pos="0"/>
          <w:tab w:val="left" w:pos="426"/>
          <w:tab w:val="left" w:pos="567"/>
        </w:tabs>
        <w:suppressAutoHyphens/>
        <w:jc w:val="both"/>
        <w:rPr>
          <w:rFonts w:eastAsia="Arial Unicode MS"/>
          <w:sz w:val="22"/>
          <w:szCs w:val="22"/>
          <w:bdr w:val="nil"/>
          <w:lang w:val="lt-LT"/>
        </w:rPr>
      </w:pPr>
      <w:r w:rsidRPr="0048306A">
        <w:rPr>
          <w:rFonts w:eastAsia="Arial Unicode MS"/>
          <w:sz w:val="22"/>
          <w:szCs w:val="22"/>
          <w:bdr w:val="nil"/>
          <w:lang w:val="lt-LT"/>
        </w:rPr>
        <w:t xml:space="preserve">11.2. Ginčai, kylantys tarp šalių, sprendžiami šalių derybomis, o nepavykus jų išspręsti – teismine tvarka Lietuvos Respublikos teismuose. </w:t>
      </w:r>
      <w:bookmarkStart w:id="2" w:name="_Hlk146292676"/>
    </w:p>
    <w:p w14:paraId="126D2923" w14:textId="77777777" w:rsidR="0048306A" w:rsidRPr="0048306A" w:rsidRDefault="0048306A" w:rsidP="0048306A">
      <w:pPr>
        <w:widowControl w:val="0"/>
        <w:pBdr>
          <w:top w:val="nil"/>
          <w:left w:val="nil"/>
          <w:bottom w:val="nil"/>
          <w:right w:val="nil"/>
          <w:between w:val="nil"/>
          <w:bar w:val="nil"/>
        </w:pBdr>
        <w:tabs>
          <w:tab w:val="left" w:pos="0"/>
          <w:tab w:val="left" w:pos="426"/>
          <w:tab w:val="left" w:pos="567"/>
        </w:tabs>
        <w:suppressAutoHyphens/>
        <w:jc w:val="both"/>
        <w:rPr>
          <w:rFonts w:eastAsia="Arial Unicode MS"/>
          <w:sz w:val="22"/>
          <w:szCs w:val="22"/>
          <w:bdr w:val="nil"/>
          <w:lang w:val="lt-LT"/>
        </w:rPr>
      </w:pPr>
      <w:r w:rsidRPr="0048306A">
        <w:rPr>
          <w:rFonts w:eastAsia="Arial Unicode MS"/>
          <w:sz w:val="22"/>
          <w:szCs w:val="22"/>
          <w:bdr w:val="nil"/>
          <w:lang w:val="lt-LT"/>
        </w:rPr>
        <w:t>11.3. Sutartis sudaryta lietuvių kalba ir pasirašoma kvalifikuotais elektroniniais parašais. Sutartis, pasirašyta kvalifikuotu elektroniniu parašu, turi vienodą juridinę galią, kaip ir fiziniu parašu pasirašyta sutartis</w:t>
      </w:r>
      <w:bookmarkEnd w:id="2"/>
      <w:r w:rsidRPr="0048306A">
        <w:rPr>
          <w:rFonts w:eastAsia="Arial Unicode MS"/>
          <w:sz w:val="22"/>
          <w:szCs w:val="22"/>
          <w:bdr w:val="nil"/>
          <w:lang w:val="lt-LT"/>
        </w:rPr>
        <w:t>.</w:t>
      </w:r>
    </w:p>
    <w:p w14:paraId="00CFCCEE" w14:textId="77777777" w:rsidR="0048306A" w:rsidRPr="0048306A" w:rsidRDefault="0048306A" w:rsidP="0048306A">
      <w:pPr>
        <w:widowControl w:val="0"/>
        <w:pBdr>
          <w:top w:val="nil"/>
          <w:left w:val="nil"/>
          <w:bottom w:val="nil"/>
          <w:right w:val="nil"/>
          <w:between w:val="nil"/>
          <w:bar w:val="nil"/>
        </w:pBdr>
        <w:tabs>
          <w:tab w:val="left" w:pos="0"/>
          <w:tab w:val="left" w:pos="426"/>
          <w:tab w:val="left" w:pos="567"/>
        </w:tabs>
        <w:suppressAutoHyphens/>
        <w:jc w:val="both"/>
        <w:rPr>
          <w:rFonts w:eastAsia="Arial Unicode MS"/>
          <w:sz w:val="22"/>
          <w:szCs w:val="22"/>
          <w:bdr w:val="nil"/>
          <w:lang w:val="lt-LT"/>
        </w:rPr>
      </w:pPr>
      <w:r w:rsidRPr="0048306A">
        <w:rPr>
          <w:rFonts w:eastAsia="Arial Unicode MS"/>
          <w:sz w:val="22"/>
          <w:szCs w:val="22"/>
          <w:bdr w:val="nil"/>
          <w:lang w:val="lt-LT"/>
        </w:rPr>
        <w:t>11.4. Paslaugų teikėjas patvirtina, kad jis turi teisę ir tinkamą kvalifikaciją teikti Paslaugas.</w:t>
      </w:r>
    </w:p>
    <w:p w14:paraId="3EF57631" w14:textId="77777777" w:rsidR="0048306A" w:rsidRPr="0048306A" w:rsidRDefault="0048306A" w:rsidP="0048306A">
      <w:pPr>
        <w:widowControl w:val="0"/>
        <w:pBdr>
          <w:top w:val="nil"/>
          <w:left w:val="nil"/>
          <w:bottom w:val="nil"/>
          <w:right w:val="nil"/>
          <w:between w:val="nil"/>
          <w:bar w:val="nil"/>
        </w:pBdr>
        <w:tabs>
          <w:tab w:val="left" w:pos="0"/>
          <w:tab w:val="left" w:pos="426"/>
          <w:tab w:val="left" w:pos="567"/>
        </w:tabs>
        <w:suppressAutoHyphens/>
        <w:jc w:val="both"/>
        <w:rPr>
          <w:rFonts w:eastAsia="Arial Unicode MS"/>
          <w:sz w:val="22"/>
          <w:szCs w:val="22"/>
          <w:bdr w:val="nil"/>
          <w:lang w:val="lt-LT"/>
        </w:rPr>
      </w:pPr>
      <w:r w:rsidRPr="0048306A">
        <w:rPr>
          <w:rFonts w:eastAsia="Calibri"/>
          <w:sz w:val="22"/>
          <w:szCs w:val="22"/>
          <w:bdr w:val="nil"/>
          <w:lang w:val="lt-LT"/>
        </w:rPr>
        <w:t xml:space="preserve">11.5. Ne vėliau negu pirkimo sutartis pradedama vykdyti, Paslaugų teikėjas įsipareigoja Užsakovui pranešti tuo metu žinomų subtiekėjų pavadinimus, kontaktinius duomenis ir jų atstovus. </w:t>
      </w:r>
    </w:p>
    <w:p w14:paraId="75DC3F5C" w14:textId="2DFFE9AB" w:rsidR="0048306A" w:rsidRPr="0048306A" w:rsidRDefault="0048306A" w:rsidP="00521369">
      <w:pPr>
        <w:widowControl w:val="0"/>
        <w:pBdr>
          <w:top w:val="nil"/>
          <w:left w:val="nil"/>
          <w:bottom w:val="nil"/>
          <w:right w:val="nil"/>
          <w:between w:val="nil"/>
          <w:bar w:val="nil"/>
        </w:pBdr>
        <w:tabs>
          <w:tab w:val="left" w:pos="0"/>
          <w:tab w:val="left" w:pos="426"/>
          <w:tab w:val="left" w:pos="567"/>
        </w:tabs>
        <w:suppressAutoHyphens/>
        <w:jc w:val="both"/>
        <w:rPr>
          <w:rFonts w:eastAsia="Arial Unicode MS"/>
          <w:sz w:val="22"/>
          <w:bdr w:val="nil"/>
          <w:lang w:val="lt-LT"/>
        </w:rPr>
      </w:pPr>
      <w:r w:rsidRPr="0048306A">
        <w:rPr>
          <w:rFonts w:eastAsia="Calibri"/>
          <w:sz w:val="22"/>
          <w:szCs w:val="22"/>
          <w:bdr w:val="nil"/>
          <w:lang w:val="lt-LT"/>
        </w:rPr>
        <w:t xml:space="preserve">11.6. Paslaugų teikėjas taip pat įsipareigoja Užsakovui pranešti nurodytų subtiekėjų pasikeitimus pirkimo sutarties vykdymo metu, taip pat apie naujus subtiekėjus, kuriuos jis ketina pasitelkti vėliau. Jei Paslaugų teikėjas pirkimo procedūros vykdymo metu rėmėsi subtiekėjų kvalifikacija, tai, norėdamas pakeisti subtiekėją, Paslaugų teikėjas privalo Užsakovui pateikti naujo subtiekėjo pašalinimo pagrindų nebuvimą ir kvalifikacijos atitikimą patvirtinančius dokumentus. Jei Paslaugų teikėjas pirkimo metu nesirėmė subtiekėjo pajėgumais, Užsakovas gali patikrinti, ar nėra LR Viešųjų pirkimų įstatyme nurodytų naujojo subtiekėjo pašalinimo pagrindų. Jeigu Paslaugų teikėjo kvalifikacija dėl teisės verstis atitinkama veikla nebuvo tikrinama arba tikrinama ne visa apimtimi, Paslaugų teikėjas Užsakovui įsipareigoja, kad pirkimo sutartį vykdys tik tokią teisę turintys asmenys, ir Užsakovui pareikalavus pateiks tai patvirtinančius dokumentus. </w:t>
      </w:r>
      <w:r w:rsidRPr="0048306A">
        <w:rPr>
          <w:rFonts w:eastAsia="Arial Unicode MS"/>
          <w:i/>
          <w:iCs/>
          <w:sz w:val="22"/>
          <w:bdr w:val="nil"/>
          <w:lang w:val="lt-LT"/>
        </w:rPr>
        <w:t>Paslaugų teikėjas nenurodė, kad pasitelks subtiekėjus. arba Paslaugų teikėjas nurodė šiuos subtiekėjus: [įvardinti] šioms Sutarties objekto dalims [nurodyti]. (nereikiama išbraukti)</w:t>
      </w:r>
    </w:p>
    <w:p w14:paraId="3F6C3FC1" w14:textId="205ECCB7" w:rsidR="00237130" w:rsidRPr="001C5EFA" w:rsidRDefault="00237130" w:rsidP="00237130">
      <w:pPr>
        <w:widowControl w:val="0"/>
        <w:pBdr>
          <w:top w:val="nil"/>
          <w:left w:val="nil"/>
          <w:bottom w:val="nil"/>
          <w:right w:val="nil"/>
          <w:between w:val="nil"/>
          <w:bar w:val="nil"/>
        </w:pBdr>
        <w:tabs>
          <w:tab w:val="left" w:pos="426"/>
        </w:tabs>
        <w:jc w:val="both"/>
        <w:rPr>
          <w:rFonts w:eastAsia="Arial Unicode MS"/>
          <w:sz w:val="22"/>
          <w:szCs w:val="22"/>
          <w:bdr w:val="nil"/>
          <w:lang w:val="lt-LT"/>
        </w:rPr>
      </w:pPr>
      <w:r>
        <w:rPr>
          <w:rFonts w:eastAsia="Arial Unicode MS"/>
          <w:sz w:val="22"/>
          <w:szCs w:val="22"/>
          <w:bdr w:val="nil"/>
          <w:lang w:val="lt-LT"/>
        </w:rPr>
        <w:t>11.7.</w:t>
      </w:r>
      <w:r w:rsidRPr="00237130">
        <w:rPr>
          <w:color w:val="000000"/>
          <w:kern w:val="2"/>
          <w:sz w:val="22"/>
          <w:szCs w:val="22"/>
          <w:shd w:val="clear" w:color="auto" w:fill="FFFFFF"/>
          <w:lang w:val="lt-LT"/>
        </w:rPr>
        <w:t xml:space="preserve"> </w:t>
      </w:r>
      <w:r w:rsidRPr="00237130">
        <w:rPr>
          <w:rFonts w:eastAsia="Arial Unicode MS"/>
          <w:sz w:val="22"/>
          <w:szCs w:val="22"/>
          <w:bdr w:val="nil"/>
          <w:lang w:val="lt-LT"/>
        </w:rPr>
        <w:t xml:space="preserve">Aplinkosauginiai kriterijai nustatomi vadovaujantis Aplinkos apsaugos kriterijų taikymo, vykdant žaliuosius pirkimus, tvarkos aprašo, patvirtinto 2011 m. birželio 28 d. įsakymu </w:t>
      </w:r>
      <w:r w:rsidRPr="00237130">
        <w:rPr>
          <w:rFonts w:eastAsia="Arial Unicode MS"/>
          <w:sz w:val="22"/>
          <w:szCs w:val="22"/>
          <w:bdr w:val="nil"/>
          <w:lang w:val="en-US"/>
        </w:rPr>
        <w:t>D1-508</w:t>
      </w:r>
      <w:r w:rsidRPr="00237130">
        <w:rPr>
          <w:rFonts w:eastAsia="Arial Unicode MS"/>
          <w:sz w:val="22"/>
          <w:szCs w:val="22"/>
          <w:bdr w:val="nil"/>
          <w:lang w:val="lt-LT"/>
        </w:rPr>
        <w:t xml:space="preserve"> „Dėl Aplinkos apsaugos kriterijų taikymo, vykdant žaliuosius pirkimus, tvarkos aprašo patvirtinimo“ (toliau – Tvarkos aprašas) 4.4.4  papunkčiu. Jeigu </w:t>
      </w:r>
      <w:r>
        <w:rPr>
          <w:rFonts w:eastAsia="Arial Unicode MS"/>
          <w:sz w:val="22"/>
          <w:szCs w:val="22"/>
          <w:bdr w:val="nil"/>
          <w:lang w:val="lt-LT"/>
        </w:rPr>
        <w:t>priemonė, skirta Paslaugoms atlikti,</w:t>
      </w:r>
      <w:r w:rsidRPr="00237130">
        <w:rPr>
          <w:rFonts w:eastAsia="Arial Unicode MS"/>
          <w:sz w:val="22"/>
          <w:szCs w:val="22"/>
          <w:bdr w:val="nil"/>
          <w:lang w:val="lt-LT"/>
        </w:rPr>
        <w:t xml:space="preserve"> supakuojam</w:t>
      </w:r>
      <w:r>
        <w:rPr>
          <w:rFonts w:eastAsia="Arial Unicode MS"/>
          <w:sz w:val="22"/>
          <w:szCs w:val="22"/>
          <w:bdr w:val="nil"/>
          <w:lang w:val="lt-LT"/>
        </w:rPr>
        <w:t>a</w:t>
      </w:r>
      <w:r w:rsidRPr="00237130">
        <w:rPr>
          <w:rFonts w:eastAsia="Arial Unicode MS"/>
          <w:sz w:val="22"/>
          <w:szCs w:val="22"/>
          <w:bdr w:val="nil"/>
          <w:lang w:val="lt-LT"/>
        </w:rPr>
        <w:t xml:space="preserve"> į antrinę pakuotę, ji turi būti perdirbamoji pakuotė pagal Lietuvos Respublikos mokesčio už aplinkos teršimą įstatymo nuostatas. </w:t>
      </w:r>
      <w:r w:rsidRPr="001C5EFA">
        <w:rPr>
          <w:rFonts w:eastAsia="Arial Unicode MS"/>
          <w:sz w:val="22"/>
          <w:szCs w:val="22"/>
          <w:bdr w:val="nil"/>
          <w:lang w:val="lt-LT"/>
        </w:rPr>
        <w:t xml:space="preserve">Sutarties vykdymo metu, Užsakovui paprašius, Paslaugų teikėjas pateikia priemonių/mėginių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w:t>
      </w:r>
      <w:r w:rsidR="001C5EFA">
        <w:rPr>
          <w:rFonts w:eastAsia="Arial Unicode MS"/>
          <w:sz w:val="22"/>
          <w:szCs w:val="22"/>
          <w:bdr w:val="nil"/>
          <w:lang w:val="lt-LT"/>
        </w:rPr>
        <w:t>sutarties vykdymą</w:t>
      </w:r>
      <w:r w:rsidRPr="001C5EFA">
        <w:rPr>
          <w:rFonts w:eastAsia="Arial Unicode MS"/>
          <w:sz w:val="22"/>
          <w:szCs w:val="22"/>
          <w:bdr w:val="nil"/>
          <w:lang w:val="lt-LT"/>
        </w:rPr>
        <w:t xml:space="preserve"> atsakingas </w:t>
      </w:r>
      <w:r w:rsidR="001C5EFA" w:rsidRPr="001C5EFA">
        <w:rPr>
          <w:rFonts w:eastAsia="Arial Unicode MS"/>
          <w:sz w:val="22"/>
          <w:szCs w:val="22"/>
          <w:bdr w:val="nil"/>
          <w:lang w:val="lt-LT"/>
        </w:rPr>
        <w:t>Užsakovo</w:t>
      </w:r>
      <w:r w:rsidRPr="001C5EFA">
        <w:rPr>
          <w:rFonts w:eastAsia="Arial Unicode MS"/>
          <w:sz w:val="22"/>
          <w:szCs w:val="22"/>
          <w:bdr w:val="nil"/>
          <w:lang w:val="lt-LT"/>
        </w:rPr>
        <w:t xml:space="preserve"> atstovas, nurodytas šios Sutarties </w:t>
      </w:r>
      <w:r w:rsidR="001C5EFA" w:rsidRPr="001C5EFA">
        <w:rPr>
          <w:rFonts w:eastAsia="Arial Unicode MS"/>
          <w:sz w:val="22"/>
          <w:szCs w:val="22"/>
          <w:bdr w:val="nil"/>
          <w:lang w:val="lt-LT"/>
        </w:rPr>
        <w:t>4</w:t>
      </w:r>
      <w:r w:rsidRPr="001C5EFA">
        <w:rPr>
          <w:rFonts w:eastAsia="Arial Unicode MS"/>
          <w:sz w:val="22"/>
          <w:szCs w:val="22"/>
          <w:bdr w:val="nil"/>
          <w:lang w:val="lt-LT"/>
        </w:rPr>
        <w:t>.</w:t>
      </w:r>
      <w:r w:rsidR="001C5EFA" w:rsidRPr="001C5EFA">
        <w:rPr>
          <w:rFonts w:eastAsia="Arial Unicode MS"/>
          <w:sz w:val="22"/>
          <w:szCs w:val="22"/>
          <w:bdr w:val="nil"/>
          <w:lang w:val="lt-LT"/>
        </w:rPr>
        <w:t>3</w:t>
      </w:r>
      <w:r w:rsidRPr="001C5EFA">
        <w:rPr>
          <w:rFonts w:eastAsia="Arial Unicode MS"/>
          <w:sz w:val="22"/>
          <w:szCs w:val="22"/>
          <w:bdr w:val="nil"/>
          <w:lang w:val="lt-LT"/>
        </w:rPr>
        <w:t xml:space="preserve"> punkte</w:t>
      </w:r>
      <w:r w:rsidR="001C5EFA">
        <w:rPr>
          <w:rFonts w:eastAsia="Arial Unicode MS"/>
          <w:sz w:val="22"/>
          <w:szCs w:val="22"/>
          <w:bdr w:val="nil"/>
          <w:lang w:val="lt-LT"/>
        </w:rPr>
        <w:t>,</w:t>
      </w:r>
      <w:r w:rsidRPr="001C5EFA">
        <w:rPr>
          <w:rFonts w:eastAsia="Arial Unicode MS"/>
          <w:sz w:val="22"/>
          <w:szCs w:val="22"/>
          <w:bdr w:val="nil"/>
          <w:lang w:val="lt-LT"/>
        </w:rPr>
        <w:t xml:space="preserve"> patikrina </w:t>
      </w:r>
      <w:r w:rsidR="001C5EFA" w:rsidRPr="001C5EFA">
        <w:rPr>
          <w:rFonts w:eastAsia="Arial Unicode MS"/>
          <w:sz w:val="22"/>
          <w:szCs w:val="22"/>
          <w:bdr w:val="nil"/>
          <w:lang w:val="lt-LT"/>
        </w:rPr>
        <w:t>Paslaugų teik</w:t>
      </w:r>
      <w:r w:rsidRPr="001C5EFA">
        <w:rPr>
          <w:rFonts w:eastAsia="Arial Unicode MS"/>
          <w:sz w:val="22"/>
          <w:szCs w:val="22"/>
          <w:bdr w:val="nil"/>
          <w:lang w:val="lt-LT"/>
        </w:rPr>
        <w:t xml:space="preserve">ėjo pateiktus įrodymus dėl šiame punkte nustatytų reikalavimų laikymosi. Nustačius, kad </w:t>
      </w:r>
      <w:r w:rsidR="001C5EFA" w:rsidRPr="001C5EFA">
        <w:rPr>
          <w:rFonts w:eastAsia="Arial Unicode MS"/>
          <w:sz w:val="22"/>
          <w:szCs w:val="22"/>
          <w:bdr w:val="nil"/>
          <w:lang w:val="lt-LT"/>
        </w:rPr>
        <w:t>Paslaugų tei</w:t>
      </w:r>
      <w:r w:rsidRPr="001C5EFA">
        <w:rPr>
          <w:rFonts w:eastAsia="Arial Unicode MS"/>
          <w:sz w:val="22"/>
          <w:szCs w:val="22"/>
          <w:bdr w:val="nil"/>
          <w:lang w:val="lt-LT"/>
        </w:rPr>
        <w:t xml:space="preserve">kėjas šiame punkte nustatytų reikalavimų nesilaiko, </w:t>
      </w:r>
      <w:r w:rsidR="001C5EFA" w:rsidRPr="001C5EFA">
        <w:rPr>
          <w:rFonts w:eastAsia="Arial Unicode MS"/>
          <w:sz w:val="22"/>
          <w:szCs w:val="22"/>
          <w:bdr w:val="nil"/>
          <w:lang w:val="lt-LT"/>
        </w:rPr>
        <w:t>Užsakovo</w:t>
      </w:r>
      <w:r w:rsidRPr="001C5EFA">
        <w:rPr>
          <w:rFonts w:eastAsia="Arial Unicode MS"/>
          <w:sz w:val="22"/>
          <w:szCs w:val="22"/>
          <w:bdr w:val="nil"/>
          <w:lang w:val="lt-LT"/>
        </w:rPr>
        <w:t xml:space="preserve"> atstovas turi teisę priemonių/mėginių nepriimti ir laikyti, kad priemonės/mėginiai paslaugoms atlikti turi trūkumų, kuriuos </w:t>
      </w:r>
      <w:r w:rsidR="001C5EFA" w:rsidRPr="001C5EFA">
        <w:rPr>
          <w:rFonts w:eastAsia="Arial Unicode MS"/>
          <w:sz w:val="22"/>
          <w:szCs w:val="22"/>
          <w:bdr w:val="nil"/>
          <w:lang w:val="lt-LT"/>
        </w:rPr>
        <w:t>Paslaugų tei</w:t>
      </w:r>
      <w:r w:rsidRPr="001C5EFA">
        <w:rPr>
          <w:rFonts w:eastAsia="Arial Unicode MS"/>
          <w:sz w:val="22"/>
          <w:szCs w:val="22"/>
          <w:bdr w:val="nil"/>
          <w:lang w:val="lt-LT"/>
        </w:rPr>
        <w:t>kėjas privalo ištaisyti</w:t>
      </w:r>
      <w:r w:rsidR="001C5EFA" w:rsidRPr="001C5EFA">
        <w:rPr>
          <w:rFonts w:eastAsia="Arial Unicode MS"/>
          <w:sz w:val="22"/>
          <w:szCs w:val="22"/>
          <w:bdr w:val="nil"/>
          <w:lang w:val="lt-LT"/>
        </w:rPr>
        <w:t>.</w:t>
      </w:r>
      <w:r w:rsidRPr="001C5EFA">
        <w:rPr>
          <w:rFonts w:eastAsia="Arial Unicode MS"/>
          <w:sz w:val="22"/>
          <w:szCs w:val="22"/>
          <w:bdr w:val="nil"/>
          <w:lang w:val="lt-LT"/>
        </w:rPr>
        <w:t xml:space="preserve"> </w:t>
      </w:r>
    </w:p>
    <w:p w14:paraId="1D77A476" w14:textId="36D6934D" w:rsidR="0048306A" w:rsidRPr="0048306A" w:rsidRDefault="0048306A" w:rsidP="0048306A">
      <w:pPr>
        <w:widowControl w:val="0"/>
        <w:pBdr>
          <w:top w:val="nil"/>
          <w:left w:val="nil"/>
          <w:bottom w:val="nil"/>
          <w:right w:val="nil"/>
          <w:between w:val="nil"/>
          <w:bar w:val="nil"/>
        </w:pBdr>
        <w:tabs>
          <w:tab w:val="left" w:pos="426"/>
        </w:tabs>
        <w:jc w:val="both"/>
        <w:rPr>
          <w:rFonts w:eastAsia="Arial Unicode MS"/>
          <w:sz w:val="22"/>
          <w:szCs w:val="22"/>
          <w:bdr w:val="nil"/>
          <w:lang w:val="lt-LT"/>
        </w:rPr>
      </w:pPr>
    </w:p>
    <w:p w14:paraId="11ECF60C" w14:textId="77777777" w:rsidR="0048306A" w:rsidRPr="0048306A" w:rsidRDefault="0048306A" w:rsidP="0048306A">
      <w:pPr>
        <w:widowControl w:val="0"/>
        <w:pBdr>
          <w:top w:val="nil"/>
          <w:left w:val="nil"/>
          <w:bottom w:val="nil"/>
          <w:right w:val="nil"/>
          <w:between w:val="nil"/>
          <w:bar w:val="nil"/>
        </w:pBdr>
        <w:tabs>
          <w:tab w:val="left" w:pos="426"/>
        </w:tabs>
        <w:jc w:val="both"/>
        <w:rPr>
          <w:rFonts w:eastAsia="Arial Unicode MS"/>
          <w:sz w:val="22"/>
          <w:szCs w:val="22"/>
          <w:bdr w:val="nil"/>
          <w:lang w:val="lt-LT"/>
        </w:rPr>
      </w:pPr>
      <w:r w:rsidRPr="0048306A">
        <w:rPr>
          <w:rFonts w:eastAsia="Arial Unicode MS"/>
          <w:sz w:val="22"/>
          <w:szCs w:val="22"/>
          <w:bdr w:val="nil"/>
          <w:lang w:val="lt-LT"/>
        </w:rPr>
        <w:t>PRIDEDAMA. Techninė specifikacija ir paslaugų įkainiai.</w:t>
      </w:r>
    </w:p>
    <w:p w14:paraId="551A44C6" w14:textId="77777777" w:rsidR="001B43AB" w:rsidRPr="006D00B7" w:rsidRDefault="001B43AB" w:rsidP="000040F9">
      <w:pPr>
        <w:widowControl w:val="0"/>
        <w:tabs>
          <w:tab w:val="left" w:pos="284"/>
          <w:tab w:val="left" w:pos="567"/>
        </w:tabs>
        <w:jc w:val="both"/>
        <w:rPr>
          <w:sz w:val="22"/>
          <w:szCs w:val="22"/>
          <w:lang w:val="lt-LT" w:eastAsia="lt-LT"/>
        </w:rPr>
      </w:pPr>
    </w:p>
    <w:p w14:paraId="3AAE63A5" w14:textId="4203D63F" w:rsidR="000040F9" w:rsidRPr="00D62ABD" w:rsidRDefault="000040F9" w:rsidP="000040F9">
      <w:pPr>
        <w:widowControl w:val="0"/>
        <w:pBdr>
          <w:top w:val="nil"/>
          <w:left w:val="nil"/>
          <w:bottom w:val="nil"/>
          <w:right w:val="nil"/>
          <w:between w:val="nil"/>
          <w:bar w:val="nil"/>
        </w:pBdr>
        <w:tabs>
          <w:tab w:val="left" w:pos="567"/>
        </w:tabs>
        <w:contextualSpacing/>
        <w:jc w:val="center"/>
        <w:rPr>
          <w:b/>
          <w:sz w:val="22"/>
          <w:szCs w:val="22"/>
        </w:rPr>
      </w:pPr>
      <w:r>
        <w:rPr>
          <w:b/>
          <w:sz w:val="22"/>
          <w:szCs w:val="22"/>
        </w:rPr>
        <w:t>1</w:t>
      </w:r>
      <w:r w:rsidR="00521369">
        <w:rPr>
          <w:b/>
          <w:sz w:val="22"/>
          <w:szCs w:val="22"/>
        </w:rPr>
        <w:t>2</w:t>
      </w:r>
      <w:r>
        <w:rPr>
          <w:b/>
          <w:sz w:val="22"/>
          <w:szCs w:val="22"/>
        </w:rPr>
        <w:t xml:space="preserve">. </w:t>
      </w:r>
      <w:r w:rsidRPr="00D62ABD">
        <w:rPr>
          <w:b/>
          <w:sz w:val="22"/>
          <w:szCs w:val="22"/>
        </w:rPr>
        <w:t>ŠALIŲ ADRESAI IR REKVIZITAI</w:t>
      </w:r>
    </w:p>
    <w:p w14:paraId="4F318E60" w14:textId="77777777" w:rsidR="000040F9" w:rsidRPr="00D62ABD" w:rsidRDefault="000040F9" w:rsidP="000040F9">
      <w:pPr>
        <w:widowControl w:val="0"/>
        <w:tabs>
          <w:tab w:val="left" w:pos="567"/>
        </w:tabs>
        <w:ind w:left="360"/>
        <w:contextualSpacing/>
        <w:rPr>
          <w:b/>
          <w:sz w:val="22"/>
          <w:szCs w:val="22"/>
        </w:rPr>
      </w:pPr>
    </w:p>
    <w:tbl>
      <w:tblPr>
        <w:tblW w:w="0" w:type="auto"/>
        <w:tblLook w:val="04A0" w:firstRow="1" w:lastRow="0" w:firstColumn="1" w:lastColumn="0" w:noHBand="0" w:noVBand="1"/>
      </w:tblPr>
      <w:tblGrid>
        <w:gridCol w:w="4650"/>
        <w:gridCol w:w="4920"/>
      </w:tblGrid>
      <w:tr w:rsidR="000040F9" w:rsidRPr="00760BC1" w14:paraId="6ABF92A2" w14:textId="77777777" w:rsidTr="00737075">
        <w:tc>
          <w:tcPr>
            <w:tcW w:w="4650" w:type="dxa"/>
          </w:tcPr>
          <w:p w14:paraId="3B2FE61F" w14:textId="77777777" w:rsidR="000040F9" w:rsidRPr="00760BC1" w:rsidRDefault="000040F9" w:rsidP="00737075">
            <w:pPr>
              <w:snapToGrid w:val="0"/>
              <w:ind w:right="113"/>
              <w:jc w:val="both"/>
              <w:rPr>
                <w:b/>
                <w:sz w:val="22"/>
                <w:szCs w:val="22"/>
                <w:lang w:val="lt-LT"/>
              </w:rPr>
            </w:pPr>
            <w:r w:rsidRPr="00760BC1">
              <w:rPr>
                <w:b/>
                <w:sz w:val="22"/>
                <w:szCs w:val="22"/>
                <w:lang w:val="lt-LT"/>
              </w:rPr>
              <w:t>Paslaugų teikėjas</w:t>
            </w:r>
            <w:r w:rsidR="00DC04BD" w:rsidRPr="00760BC1">
              <w:rPr>
                <w:b/>
                <w:sz w:val="22"/>
                <w:szCs w:val="22"/>
                <w:lang w:val="lt-LT"/>
              </w:rPr>
              <w:t>:</w:t>
            </w:r>
          </w:p>
          <w:p w14:paraId="379C06A8" w14:textId="77777777" w:rsidR="000040F9" w:rsidRPr="00760BC1" w:rsidRDefault="000040F9" w:rsidP="00737075">
            <w:pPr>
              <w:snapToGrid w:val="0"/>
              <w:ind w:right="113"/>
              <w:jc w:val="both"/>
              <w:rPr>
                <w:sz w:val="22"/>
                <w:szCs w:val="22"/>
                <w:lang w:val="lt-LT"/>
              </w:rPr>
            </w:pPr>
          </w:p>
          <w:p w14:paraId="77B83B3C" w14:textId="77777777" w:rsidR="000040F9" w:rsidRPr="00760BC1" w:rsidRDefault="000040F9" w:rsidP="00737075">
            <w:pPr>
              <w:jc w:val="both"/>
              <w:rPr>
                <w:rFonts w:eastAsia="Calibri"/>
                <w:sz w:val="22"/>
                <w:szCs w:val="22"/>
                <w:lang w:val="lt-LT"/>
              </w:rPr>
            </w:pPr>
          </w:p>
        </w:tc>
        <w:tc>
          <w:tcPr>
            <w:tcW w:w="4920" w:type="dxa"/>
          </w:tcPr>
          <w:p w14:paraId="71C575B0" w14:textId="77777777" w:rsidR="000040F9" w:rsidRPr="00760BC1" w:rsidRDefault="000040F9" w:rsidP="00737075">
            <w:pPr>
              <w:jc w:val="both"/>
              <w:rPr>
                <w:b/>
                <w:bCs/>
                <w:sz w:val="22"/>
                <w:szCs w:val="22"/>
                <w:lang w:val="lt-LT"/>
              </w:rPr>
            </w:pPr>
            <w:r w:rsidRPr="00760BC1">
              <w:rPr>
                <w:b/>
                <w:bCs/>
                <w:sz w:val="22"/>
                <w:szCs w:val="22"/>
                <w:lang w:val="lt-LT"/>
              </w:rPr>
              <w:t>Užsakovas</w:t>
            </w:r>
            <w:r w:rsidR="00DC04BD" w:rsidRPr="00760BC1">
              <w:rPr>
                <w:b/>
                <w:bCs/>
                <w:sz w:val="22"/>
                <w:szCs w:val="22"/>
                <w:lang w:val="lt-LT"/>
              </w:rPr>
              <w:t>:</w:t>
            </w:r>
          </w:p>
          <w:p w14:paraId="3F40DBBF" w14:textId="77777777" w:rsidR="000040F9" w:rsidRPr="00760BC1" w:rsidRDefault="000040F9" w:rsidP="00737075">
            <w:pPr>
              <w:jc w:val="both"/>
              <w:rPr>
                <w:sz w:val="22"/>
                <w:szCs w:val="22"/>
                <w:lang w:val="lt-LT"/>
              </w:rPr>
            </w:pPr>
            <w:r w:rsidRPr="00760BC1">
              <w:rPr>
                <w:sz w:val="22"/>
                <w:szCs w:val="22"/>
                <w:lang w:val="lt-LT"/>
              </w:rPr>
              <w:t>VšĮ Vilniaus universiteto ligoninė Santaros klinikos</w:t>
            </w:r>
          </w:p>
          <w:p w14:paraId="363AFD23" w14:textId="421D0CAE" w:rsidR="000040F9" w:rsidRPr="00760BC1" w:rsidRDefault="000040F9" w:rsidP="00737075">
            <w:pPr>
              <w:jc w:val="both"/>
              <w:rPr>
                <w:sz w:val="22"/>
                <w:szCs w:val="22"/>
                <w:lang w:val="lt-LT"/>
              </w:rPr>
            </w:pPr>
            <w:r w:rsidRPr="00760BC1">
              <w:rPr>
                <w:sz w:val="22"/>
                <w:szCs w:val="22"/>
                <w:lang w:val="lt-LT"/>
              </w:rPr>
              <w:t>Santariškių g. 2, LT-08</w:t>
            </w:r>
            <w:r w:rsidR="00521369" w:rsidRPr="00760BC1">
              <w:rPr>
                <w:sz w:val="22"/>
                <w:szCs w:val="22"/>
                <w:lang w:val="lt-LT"/>
              </w:rPr>
              <w:t>406</w:t>
            </w:r>
            <w:r w:rsidRPr="00760BC1">
              <w:rPr>
                <w:sz w:val="22"/>
                <w:szCs w:val="22"/>
                <w:lang w:val="lt-LT"/>
              </w:rPr>
              <w:t xml:space="preserve"> Vilnius</w:t>
            </w:r>
          </w:p>
          <w:p w14:paraId="100DFDE3" w14:textId="77777777" w:rsidR="000040F9" w:rsidRPr="00760BC1" w:rsidRDefault="000040F9" w:rsidP="00737075">
            <w:pPr>
              <w:jc w:val="both"/>
              <w:rPr>
                <w:sz w:val="22"/>
                <w:szCs w:val="22"/>
                <w:lang w:val="lt-LT"/>
              </w:rPr>
            </w:pPr>
            <w:r w:rsidRPr="00760BC1">
              <w:rPr>
                <w:sz w:val="22"/>
                <w:szCs w:val="22"/>
                <w:lang w:val="lt-LT"/>
              </w:rPr>
              <w:t xml:space="preserve">Įmonės kodas 124364561 </w:t>
            </w:r>
          </w:p>
          <w:p w14:paraId="03D19C99" w14:textId="77777777" w:rsidR="000040F9" w:rsidRPr="00760BC1" w:rsidRDefault="000040F9" w:rsidP="00737075">
            <w:pPr>
              <w:jc w:val="both"/>
              <w:rPr>
                <w:sz w:val="22"/>
                <w:szCs w:val="22"/>
                <w:lang w:val="lt-LT"/>
              </w:rPr>
            </w:pPr>
            <w:r w:rsidRPr="00760BC1">
              <w:rPr>
                <w:sz w:val="22"/>
                <w:szCs w:val="22"/>
                <w:lang w:val="lt-LT"/>
              </w:rPr>
              <w:t>PVM mok. kodas LT243645610</w:t>
            </w:r>
          </w:p>
          <w:p w14:paraId="1B7156BA" w14:textId="77777777" w:rsidR="000040F9" w:rsidRPr="00760BC1" w:rsidRDefault="000040F9" w:rsidP="00737075">
            <w:pPr>
              <w:jc w:val="both"/>
              <w:rPr>
                <w:sz w:val="22"/>
                <w:szCs w:val="22"/>
                <w:lang w:val="lt-LT"/>
              </w:rPr>
            </w:pPr>
            <w:r w:rsidRPr="00760BC1">
              <w:rPr>
                <w:sz w:val="22"/>
                <w:szCs w:val="22"/>
                <w:lang w:val="lt-LT"/>
              </w:rPr>
              <w:t xml:space="preserve">a. s. LT71 7300 0100 0249 2260 </w:t>
            </w:r>
          </w:p>
          <w:p w14:paraId="6618D970" w14:textId="77777777" w:rsidR="000040F9" w:rsidRPr="00760BC1" w:rsidRDefault="000040F9" w:rsidP="00737075">
            <w:pPr>
              <w:jc w:val="both"/>
              <w:rPr>
                <w:sz w:val="22"/>
                <w:szCs w:val="22"/>
                <w:lang w:val="lt-LT"/>
              </w:rPr>
            </w:pPr>
            <w:r w:rsidRPr="00760BC1">
              <w:rPr>
                <w:sz w:val="22"/>
                <w:szCs w:val="22"/>
                <w:lang w:val="lt-LT"/>
              </w:rPr>
              <w:t>AB „Swedbank“, b. k. 73000</w:t>
            </w:r>
          </w:p>
          <w:p w14:paraId="625A7C8C" w14:textId="77777777" w:rsidR="000040F9" w:rsidRPr="00760BC1" w:rsidRDefault="000040F9" w:rsidP="00737075">
            <w:pPr>
              <w:jc w:val="both"/>
              <w:rPr>
                <w:sz w:val="22"/>
                <w:szCs w:val="22"/>
                <w:lang w:val="lt-LT"/>
              </w:rPr>
            </w:pPr>
          </w:p>
          <w:p w14:paraId="4468DF0D" w14:textId="77777777" w:rsidR="000040F9" w:rsidRPr="00760BC1" w:rsidRDefault="000040F9" w:rsidP="00737075">
            <w:pPr>
              <w:jc w:val="both"/>
              <w:rPr>
                <w:sz w:val="22"/>
                <w:szCs w:val="22"/>
                <w:lang w:val="lt-LT"/>
              </w:rPr>
            </w:pPr>
            <w:r w:rsidRPr="00760BC1">
              <w:rPr>
                <w:sz w:val="22"/>
                <w:szCs w:val="22"/>
                <w:lang w:val="lt-LT"/>
              </w:rPr>
              <w:t>Generalinis direktorius</w:t>
            </w:r>
          </w:p>
          <w:p w14:paraId="249106D3" w14:textId="52F138FB" w:rsidR="000040F9" w:rsidRPr="00760BC1" w:rsidRDefault="009F3A7B" w:rsidP="00521369">
            <w:pPr>
              <w:jc w:val="both"/>
              <w:rPr>
                <w:sz w:val="22"/>
                <w:szCs w:val="22"/>
                <w:lang w:val="lt-LT"/>
              </w:rPr>
            </w:pPr>
            <w:r w:rsidRPr="00760BC1">
              <w:rPr>
                <w:sz w:val="22"/>
                <w:szCs w:val="22"/>
                <w:lang w:val="lt-LT"/>
              </w:rPr>
              <w:t>Tomas Jovaiša</w:t>
            </w:r>
          </w:p>
        </w:tc>
      </w:tr>
    </w:tbl>
    <w:p w14:paraId="526943B7" w14:textId="77777777" w:rsidR="000040F9" w:rsidRPr="006D00B7" w:rsidRDefault="000040F9" w:rsidP="00F065D6">
      <w:pPr>
        <w:tabs>
          <w:tab w:val="left" w:pos="1800"/>
        </w:tabs>
        <w:jc w:val="right"/>
        <w:rPr>
          <w:sz w:val="22"/>
          <w:szCs w:val="22"/>
          <w:lang w:val="lt-LT"/>
        </w:rPr>
        <w:sectPr w:rsidR="000040F9" w:rsidRPr="006D00B7" w:rsidSect="00504A40">
          <w:headerReference w:type="even" r:id="rId9"/>
          <w:footerReference w:type="even" r:id="rId10"/>
          <w:footerReference w:type="default" r:id="rId11"/>
          <w:footerReference w:type="first" r:id="rId12"/>
          <w:footnotePr>
            <w:pos w:val="beneathText"/>
          </w:footnotePr>
          <w:pgSz w:w="11905" w:h="16837"/>
          <w:pgMar w:top="851" w:right="567" w:bottom="142" w:left="1134" w:header="567" w:footer="193" w:gutter="0"/>
          <w:cols w:space="1296"/>
          <w:docGrid w:linePitch="360"/>
        </w:sectPr>
      </w:pPr>
    </w:p>
    <w:p w14:paraId="2B57AEC8" w14:textId="77777777" w:rsidR="008945C1" w:rsidRPr="008945C1" w:rsidRDefault="008945C1" w:rsidP="00F065D6">
      <w:pPr>
        <w:jc w:val="right"/>
        <w:rPr>
          <w:sz w:val="22"/>
          <w:szCs w:val="22"/>
          <w:lang w:val="lt-LT"/>
        </w:rPr>
      </w:pPr>
      <w:r w:rsidRPr="008945C1">
        <w:rPr>
          <w:sz w:val="22"/>
          <w:szCs w:val="22"/>
          <w:lang w:val="lt-LT"/>
        </w:rPr>
        <w:lastRenderedPageBreak/>
        <w:t>Sutarties priedas Nr.1</w:t>
      </w:r>
    </w:p>
    <w:p w14:paraId="5DD8E654" w14:textId="77777777" w:rsidR="008945C1" w:rsidRPr="008945C1" w:rsidRDefault="008945C1" w:rsidP="008945C1">
      <w:pPr>
        <w:ind w:left="-567"/>
        <w:rPr>
          <w:sz w:val="22"/>
          <w:szCs w:val="22"/>
          <w:lang w:val="lt-LT"/>
        </w:rPr>
      </w:pPr>
    </w:p>
    <w:p w14:paraId="6508FCC7" w14:textId="77777777" w:rsidR="008945C1" w:rsidRDefault="008945C1" w:rsidP="008945C1">
      <w:pPr>
        <w:ind w:left="-567"/>
        <w:rPr>
          <w:b/>
          <w:sz w:val="22"/>
          <w:szCs w:val="22"/>
          <w:lang w:val="lt-LT"/>
        </w:rPr>
      </w:pPr>
      <w:r w:rsidRPr="008945C1">
        <w:rPr>
          <w:b/>
          <w:sz w:val="22"/>
          <w:szCs w:val="22"/>
          <w:lang w:val="lt-LT"/>
        </w:rPr>
        <w:t xml:space="preserve">                                                                                                                           SPECIFIKACIJA IR ĮKAINIAI</w:t>
      </w:r>
    </w:p>
    <w:p w14:paraId="24D65D73" w14:textId="77777777" w:rsidR="002B0AD9" w:rsidRPr="008945C1" w:rsidRDefault="002B0AD9" w:rsidP="008945C1">
      <w:pPr>
        <w:ind w:left="-567"/>
        <w:rPr>
          <w:b/>
          <w:sz w:val="22"/>
          <w:szCs w:val="22"/>
          <w:lang w:val="lt-LT"/>
        </w:rPr>
      </w:pPr>
    </w:p>
    <w:p w14:paraId="0DF0C65E" w14:textId="4F525A61" w:rsidR="00C70304" w:rsidRPr="00C70304" w:rsidRDefault="00C70304" w:rsidP="00C70304">
      <w:pPr>
        <w:jc w:val="center"/>
        <w:rPr>
          <w:b/>
          <w:sz w:val="22"/>
          <w:szCs w:val="22"/>
          <w:lang w:val="lt-LT"/>
        </w:rPr>
      </w:pPr>
    </w:p>
    <w:tbl>
      <w:tblPr>
        <w:tblStyle w:val="TableGrid61"/>
        <w:tblW w:w="15447" w:type="dxa"/>
        <w:jc w:val="center"/>
        <w:tblLayout w:type="fixed"/>
        <w:tblLook w:val="04A0" w:firstRow="1" w:lastRow="0" w:firstColumn="1" w:lastColumn="0" w:noHBand="0" w:noVBand="1"/>
      </w:tblPr>
      <w:tblGrid>
        <w:gridCol w:w="846"/>
        <w:gridCol w:w="1559"/>
        <w:gridCol w:w="2977"/>
        <w:gridCol w:w="2693"/>
        <w:gridCol w:w="1843"/>
        <w:gridCol w:w="1276"/>
        <w:gridCol w:w="1134"/>
        <w:gridCol w:w="1275"/>
        <w:gridCol w:w="1844"/>
      </w:tblGrid>
      <w:tr w:rsidR="00317402" w:rsidRPr="00317402" w14:paraId="650BD2BB" w14:textId="32BB3734" w:rsidTr="00317402">
        <w:trPr>
          <w:trHeight w:val="785"/>
          <w:jc w:val="center"/>
        </w:trPr>
        <w:tc>
          <w:tcPr>
            <w:tcW w:w="846" w:type="dxa"/>
            <w:tcBorders>
              <w:right w:val="single" w:sz="4" w:space="0" w:color="auto"/>
            </w:tcBorders>
          </w:tcPr>
          <w:p w14:paraId="68F6CBA1" w14:textId="4935CFB5" w:rsidR="00317402" w:rsidRPr="00317402" w:rsidRDefault="00317402" w:rsidP="00317402">
            <w:pPr>
              <w:suppressAutoHyphens/>
              <w:jc w:val="center"/>
              <w:rPr>
                <w:rFonts w:ascii="Times New Roman" w:eastAsia="Calibri" w:hAnsi="Times New Roman"/>
                <w:szCs w:val="22"/>
                <w:lang w:val="lt-LT" w:eastAsia="ar-SA"/>
              </w:rPr>
            </w:pPr>
            <w:r w:rsidRPr="00317402">
              <w:rPr>
                <w:rFonts w:ascii="Times New Roman" w:eastAsia="Calibri" w:hAnsi="Times New Roman"/>
                <w:szCs w:val="22"/>
                <w:lang w:val="lt-LT" w:eastAsia="ar-SA"/>
              </w:rPr>
              <w:t>Pirkimo dalies  Nr.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EB77DD" w14:textId="63CDC7CF" w:rsidR="00317402" w:rsidRPr="00317402" w:rsidRDefault="00317402" w:rsidP="00317402">
            <w:pPr>
              <w:suppressAutoHyphens/>
              <w:jc w:val="center"/>
              <w:rPr>
                <w:rFonts w:ascii="Times New Roman" w:eastAsia="Calibri" w:hAnsi="Times New Roman"/>
                <w:sz w:val="20"/>
                <w:szCs w:val="20"/>
                <w:lang w:val="lt-LT" w:eastAsia="ar-SA"/>
              </w:rPr>
            </w:pPr>
            <w:r w:rsidRPr="00317402">
              <w:rPr>
                <w:rFonts w:ascii="Times New Roman" w:hAnsi="Times New Roman"/>
                <w:szCs w:val="22"/>
                <w:lang w:val="lt-LT"/>
              </w:rPr>
              <w:t>Pirkimo dalies pavadinimas</w:t>
            </w:r>
          </w:p>
        </w:tc>
        <w:tc>
          <w:tcPr>
            <w:tcW w:w="2977" w:type="dxa"/>
            <w:tcBorders>
              <w:top w:val="single" w:sz="4" w:space="0" w:color="auto"/>
              <w:left w:val="nil"/>
              <w:bottom w:val="single" w:sz="4" w:space="0" w:color="auto"/>
              <w:right w:val="single" w:sz="4" w:space="0" w:color="auto"/>
            </w:tcBorders>
            <w:shd w:val="clear" w:color="auto" w:fill="auto"/>
          </w:tcPr>
          <w:p w14:paraId="2A053C4D" w14:textId="68773F64" w:rsidR="00317402" w:rsidRPr="00317402" w:rsidRDefault="00317402" w:rsidP="00317402">
            <w:pPr>
              <w:suppressAutoHyphens/>
              <w:jc w:val="center"/>
              <w:rPr>
                <w:rFonts w:ascii="Times New Roman" w:eastAsia="Calibri" w:hAnsi="Times New Roman"/>
                <w:szCs w:val="22"/>
                <w:lang w:val="lt-LT" w:eastAsia="ar-SA"/>
              </w:rPr>
            </w:pPr>
            <w:r w:rsidRPr="00317402">
              <w:rPr>
                <w:rFonts w:ascii="Times New Roman" w:hAnsi="Times New Roman"/>
                <w:szCs w:val="22"/>
                <w:lang w:val="lt-LT"/>
              </w:rPr>
              <w:t>Paslaugos pavadinimas</w:t>
            </w:r>
          </w:p>
        </w:tc>
        <w:tc>
          <w:tcPr>
            <w:tcW w:w="2693" w:type="dxa"/>
            <w:tcBorders>
              <w:top w:val="single" w:sz="4" w:space="0" w:color="auto"/>
              <w:left w:val="nil"/>
              <w:bottom w:val="single" w:sz="4" w:space="0" w:color="auto"/>
              <w:right w:val="single" w:sz="4" w:space="0" w:color="auto"/>
            </w:tcBorders>
            <w:shd w:val="clear" w:color="auto" w:fill="auto"/>
          </w:tcPr>
          <w:p w14:paraId="25E71FDB" w14:textId="2947D391" w:rsidR="00317402" w:rsidRPr="00317402" w:rsidRDefault="00317402" w:rsidP="00317402">
            <w:pPr>
              <w:suppressAutoHyphens/>
              <w:jc w:val="center"/>
              <w:rPr>
                <w:rFonts w:ascii="Times New Roman" w:eastAsia="Calibri" w:hAnsi="Times New Roman"/>
                <w:szCs w:val="22"/>
                <w:lang w:val="lt-LT" w:eastAsia="ar-SA"/>
              </w:rPr>
            </w:pPr>
            <w:r w:rsidRPr="00317402">
              <w:rPr>
                <w:rFonts w:ascii="Times New Roman" w:hAnsi="Times New Roman"/>
                <w:szCs w:val="22"/>
                <w:lang w:val="lt-LT"/>
              </w:rPr>
              <w:t>Specialieji reikalavimai</w:t>
            </w:r>
          </w:p>
        </w:tc>
        <w:tc>
          <w:tcPr>
            <w:tcW w:w="1843" w:type="dxa"/>
          </w:tcPr>
          <w:p w14:paraId="423F8C7A" w14:textId="501E9435" w:rsidR="00317402" w:rsidRPr="00317402" w:rsidRDefault="00317402" w:rsidP="00317402">
            <w:pPr>
              <w:suppressAutoHyphens/>
              <w:jc w:val="center"/>
              <w:rPr>
                <w:rFonts w:ascii="Times New Roman" w:eastAsia="Calibri" w:hAnsi="Times New Roman"/>
                <w:szCs w:val="22"/>
                <w:lang w:val="lt-LT" w:eastAsia="ar-SA"/>
              </w:rPr>
            </w:pPr>
            <w:r w:rsidRPr="00317402">
              <w:rPr>
                <w:rFonts w:ascii="Times New Roman" w:eastAsia="Calibri" w:hAnsi="Times New Roman"/>
                <w:szCs w:val="22"/>
                <w:lang w:val="lt-LT" w:eastAsia="ar-SA"/>
              </w:rPr>
              <w:t xml:space="preserve">Kiekis </w:t>
            </w:r>
            <w:r w:rsidRPr="00317402">
              <w:rPr>
                <w:rFonts w:ascii="Times New Roman" w:eastAsia="Calibri" w:hAnsi="Times New Roman"/>
                <w:i/>
                <w:szCs w:val="22"/>
                <w:lang w:val="lt-LT" w:eastAsia="ar-SA"/>
              </w:rPr>
              <w:t>maksimalus</w:t>
            </w:r>
          </w:p>
          <w:p w14:paraId="1AFCEF7A" w14:textId="77777777" w:rsidR="00317402" w:rsidRPr="00317402" w:rsidRDefault="00317402" w:rsidP="00317402">
            <w:pPr>
              <w:suppressAutoHyphens/>
              <w:jc w:val="center"/>
              <w:rPr>
                <w:rFonts w:ascii="Times New Roman" w:eastAsia="Calibri" w:hAnsi="Times New Roman"/>
                <w:szCs w:val="22"/>
                <w:lang w:val="lt-LT"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1F7B6F" w14:textId="5BEC1F02" w:rsidR="00317402" w:rsidRPr="00317402" w:rsidRDefault="00317402" w:rsidP="00317402">
            <w:pPr>
              <w:suppressAutoHyphens/>
              <w:jc w:val="center"/>
              <w:rPr>
                <w:rFonts w:ascii="Times New Roman" w:eastAsia="Calibri" w:hAnsi="Times New Roman"/>
                <w:szCs w:val="22"/>
                <w:lang w:val="lt-LT" w:eastAsia="ar-SA"/>
              </w:rPr>
            </w:pPr>
            <w:r w:rsidRPr="00317402">
              <w:rPr>
                <w:rFonts w:ascii="Times New Roman" w:hAnsi="Times New Roman"/>
                <w:szCs w:val="22"/>
                <w:lang w:val="lt-LT"/>
              </w:rPr>
              <w:t>Mato vnt. įkainis be PVM Eur</w:t>
            </w:r>
          </w:p>
        </w:tc>
        <w:tc>
          <w:tcPr>
            <w:tcW w:w="1134" w:type="dxa"/>
            <w:tcBorders>
              <w:top w:val="single" w:sz="4" w:space="0" w:color="auto"/>
              <w:left w:val="nil"/>
              <w:bottom w:val="single" w:sz="4" w:space="0" w:color="auto"/>
              <w:right w:val="single" w:sz="4" w:space="0" w:color="auto"/>
            </w:tcBorders>
            <w:shd w:val="clear" w:color="auto" w:fill="auto"/>
          </w:tcPr>
          <w:p w14:paraId="46CF0985" w14:textId="04729EBB" w:rsidR="00317402" w:rsidRPr="00317402" w:rsidRDefault="00317402" w:rsidP="00317402">
            <w:pPr>
              <w:suppressAutoHyphens/>
              <w:jc w:val="center"/>
              <w:rPr>
                <w:rFonts w:ascii="Times New Roman" w:eastAsia="Calibri" w:hAnsi="Times New Roman"/>
                <w:szCs w:val="22"/>
                <w:lang w:val="lt-LT" w:eastAsia="ar-SA"/>
              </w:rPr>
            </w:pPr>
            <w:r w:rsidRPr="00317402">
              <w:rPr>
                <w:rFonts w:ascii="Times New Roman" w:hAnsi="Times New Roman"/>
                <w:szCs w:val="22"/>
                <w:lang w:val="lt-LT"/>
              </w:rPr>
              <w:t>Suma be PVM Eur</w:t>
            </w:r>
          </w:p>
        </w:tc>
        <w:tc>
          <w:tcPr>
            <w:tcW w:w="1275" w:type="dxa"/>
            <w:tcBorders>
              <w:top w:val="single" w:sz="4" w:space="0" w:color="auto"/>
              <w:left w:val="nil"/>
              <w:bottom w:val="single" w:sz="4" w:space="0" w:color="auto"/>
              <w:right w:val="single" w:sz="4" w:space="0" w:color="auto"/>
            </w:tcBorders>
            <w:shd w:val="clear" w:color="auto" w:fill="auto"/>
          </w:tcPr>
          <w:p w14:paraId="747BD5E9" w14:textId="003EB0A2" w:rsidR="00317402" w:rsidRPr="00317402" w:rsidRDefault="00317402" w:rsidP="00317402">
            <w:pPr>
              <w:suppressAutoHyphens/>
              <w:jc w:val="center"/>
              <w:rPr>
                <w:rFonts w:ascii="Times New Roman" w:eastAsia="Calibri" w:hAnsi="Times New Roman"/>
                <w:szCs w:val="22"/>
                <w:lang w:val="lt-LT" w:eastAsia="ar-SA"/>
              </w:rPr>
            </w:pPr>
            <w:r w:rsidRPr="00317402">
              <w:rPr>
                <w:rFonts w:ascii="Times New Roman" w:hAnsi="Times New Roman"/>
                <w:szCs w:val="22"/>
                <w:lang w:val="lt-LT"/>
              </w:rPr>
              <w:t>Suma su PVM Eur</w:t>
            </w:r>
          </w:p>
        </w:tc>
        <w:tc>
          <w:tcPr>
            <w:tcW w:w="1844" w:type="dxa"/>
            <w:tcBorders>
              <w:top w:val="single" w:sz="4" w:space="0" w:color="auto"/>
              <w:left w:val="single" w:sz="4" w:space="0" w:color="auto"/>
              <w:bottom w:val="single" w:sz="4" w:space="0" w:color="auto"/>
              <w:right w:val="single" w:sz="4" w:space="0" w:color="auto"/>
            </w:tcBorders>
          </w:tcPr>
          <w:p w14:paraId="53419F21" w14:textId="76CF71AB" w:rsidR="00317402" w:rsidRPr="00317402" w:rsidRDefault="00317402" w:rsidP="00317402">
            <w:pPr>
              <w:suppressAutoHyphens/>
              <w:jc w:val="center"/>
              <w:rPr>
                <w:rFonts w:ascii="Times New Roman" w:hAnsi="Times New Roman"/>
                <w:szCs w:val="22"/>
                <w:lang w:val="lt-LT"/>
              </w:rPr>
            </w:pPr>
            <w:r w:rsidRPr="00317402">
              <w:rPr>
                <w:rFonts w:ascii="Times New Roman" w:eastAsia="Calibri" w:hAnsi="Times New Roman"/>
                <w:szCs w:val="22"/>
                <w:lang w:val="lt-LT" w:eastAsia="ar-SA"/>
              </w:rPr>
              <w:t>Katalogo pavadinimas, paslaugos numeris kataloge</w:t>
            </w:r>
          </w:p>
        </w:tc>
      </w:tr>
      <w:tr w:rsidR="00317402" w:rsidRPr="00C70304" w14:paraId="516F4963" w14:textId="77777777" w:rsidTr="00317402">
        <w:trPr>
          <w:trHeight w:val="274"/>
          <w:jc w:val="center"/>
        </w:trPr>
        <w:tc>
          <w:tcPr>
            <w:tcW w:w="846" w:type="dxa"/>
            <w:tcBorders>
              <w:top w:val="single" w:sz="4" w:space="0" w:color="auto"/>
              <w:bottom w:val="single" w:sz="4" w:space="0" w:color="auto"/>
              <w:right w:val="single" w:sz="4" w:space="0" w:color="auto"/>
            </w:tcBorders>
          </w:tcPr>
          <w:p w14:paraId="2AA66FB9" w14:textId="77777777" w:rsidR="00317402" w:rsidRPr="00C70304" w:rsidRDefault="00317402" w:rsidP="00317402">
            <w:pPr>
              <w:suppressAutoHyphens/>
              <w:rPr>
                <w:rFonts w:eastAsia="Calibri"/>
                <w:b/>
                <w:lang w:val="en-US" w:eastAsia="ar-SA"/>
              </w:rPr>
            </w:pPr>
          </w:p>
        </w:tc>
        <w:tc>
          <w:tcPr>
            <w:tcW w:w="1559" w:type="dxa"/>
            <w:tcBorders>
              <w:top w:val="single" w:sz="4" w:space="0" w:color="auto"/>
              <w:bottom w:val="single" w:sz="4" w:space="0" w:color="auto"/>
              <w:right w:val="single" w:sz="4" w:space="0" w:color="auto"/>
            </w:tcBorders>
          </w:tcPr>
          <w:p w14:paraId="4E18E585" w14:textId="77777777" w:rsidR="00317402" w:rsidRPr="00C70304" w:rsidRDefault="00317402" w:rsidP="00317402">
            <w:pPr>
              <w:suppressAutoHyphens/>
              <w:rPr>
                <w:rFonts w:eastAsia="Calibri"/>
                <w:b/>
                <w:lang w:val="lt-LT" w:eastAsia="ar-SA"/>
              </w:rPr>
            </w:pPr>
          </w:p>
        </w:tc>
        <w:tc>
          <w:tcPr>
            <w:tcW w:w="2977" w:type="dxa"/>
            <w:tcBorders>
              <w:top w:val="single" w:sz="4" w:space="0" w:color="auto"/>
              <w:left w:val="single" w:sz="4" w:space="0" w:color="auto"/>
              <w:bottom w:val="single" w:sz="4" w:space="0" w:color="auto"/>
              <w:right w:val="single" w:sz="4" w:space="0" w:color="auto"/>
            </w:tcBorders>
          </w:tcPr>
          <w:p w14:paraId="2C2A0CF0" w14:textId="77777777" w:rsidR="00317402" w:rsidRPr="00C70304" w:rsidRDefault="00317402" w:rsidP="00317402">
            <w:pPr>
              <w:suppressAutoHyphens/>
              <w:rPr>
                <w:b/>
                <w:szCs w:val="22"/>
                <w:lang w:val="lt-LT"/>
              </w:rPr>
            </w:pPr>
          </w:p>
        </w:tc>
        <w:tc>
          <w:tcPr>
            <w:tcW w:w="2693" w:type="dxa"/>
            <w:tcBorders>
              <w:top w:val="single" w:sz="4" w:space="0" w:color="auto"/>
              <w:left w:val="nil"/>
              <w:bottom w:val="single" w:sz="4" w:space="0" w:color="auto"/>
              <w:right w:val="single" w:sz="4" w:space="0" w:color="auto"/>
            </w:tcBorders>
          </w:tcPr>
          <w:p w14:paraId="643F230F" w14:textId="77777777" w:rsidR="00317402" w:rsidRPr="00C70304" w:rsidRDefault="00317402" w:rsidP="00317402">
            <w:pPr>
              <w:suppressAutoHyphens/>
              <w:ind w:right="181"/>
              <w:jc w:val="center"/>
              <w:rPr>
                <w:rFonts w:eastAsia="Calibri"/>
                <w:szCs w:val="22"/>
                <w:lang w:val="en-US" w:eastAsia="ar-SA"/>
              </w:rPr>
            </w:pPr>
          </w:p>
        </w:tc>
        <w:tc>
          <w:tcPr>
            <w:tcW w:w="1843" w:type="dxa"/>
            <w:tcBorders>
              <w:top w:val="single" w:sz="4" w:space="0" w:color="auto"/>
              <w:bottom w:val="single" w:sz="4" w:space="0" w:color="auto"/>
            </w:tcBorders>
          </w:tcPr>
          <w:p w14:paraId="6530E86A" w14:textId="77777777" w:rsidR="00317402" w:rsidRPr="00C70304" w:rsidRDefault="00317402" w:rsidP="00317402">
            <w:pPr>
              <w:suppressAutoHyphens/>
              <w:jc w:val="center"/>
              <w:rPr>
                <w:rFonts w:eastAsia="Calibri"/>
                <w:szCs w:val="22"/>
                <w:lang w:val="en-US" w:eastAsia="ar-SA"/>
              </w:rPr>
            </w:pPr>
          </w:p>
        </w:tc>
        <w:tc>
          <w:tcPr>
            <w:tcW w:w="1276" w:type="dxa"/>
            <w:tcBorders>
              <w:top w:val="single" w:sz="4" w:space="0" w:color="auto"/>
              <w:bottom w:val="single" w:sz="4" w:space="0" w:color="auto"/>
            </w:tcBorders>
          </w:tcPr>
          <w:p w14:paraId="20510EEA" w14:textId="77777777" w:rsidR="00317402" w:rsidRPr="00C70304" w:rsidRDefault="00317402" w:rsidP="00317402">
            <w:pPr>
              <w:suppressAutoHyphens/>
              <w:jc w:val="center"/>
              <w:rPr>
                <w:rFonts w:eastAsia="Calibri"/>
                <w:szCs w:val="22"/>
                <w:lang w:val="en-US" w:eastAsia="ar-SA"/>
              </w:rPr>
            </w:pPr>
          </w:p>
        </w:tc>
        <w:tc>
          <w:tcPr>
            <w:tcW w:w="1134" w:type="dxa"/>
            <w:tcBorders>
              <w:top w:val="single" w:sz="4" w:space="0" w:color="auto"/>
              <w:bottom w:val="single" w:sz="4" w:space="0" w:color="auto"/>
            </w:tcBorders>
          </w:tcPr>
          <w:p w14:paraId="60B5E9C4" w14:textId="77777777" w:rsidR="00317402" w:rsidRPr="00C70304" w:rsidRDefault="00317402" w:rsidP="00317402">
            <w:pPr>
              <w:suppressAutoHyphens/>
              <w:jc w:val="center"/>
              <w:rPr>
                <w:rFonts w:eastAsia="Calibri"/>
                <w:szCs w:val="22"/>
                <w:lang w:val="en-US" w:eastAsia="ar-SA"/>
              </w:rPr>
            </w:pPr>
          </w:p>
        </w:tc>
        <w:tc>
          <w:tcPr>
            <w:tcW w:w="1275" w:type="dxa"/>
            <w:tcBorders>
              <w:top w:val="single" w:sz="4" w:space="0" w:color="auto"/>
              <w:bottom w:val="single" w:sz="4" w:space="0" w:color="auto"/>
            </w:tcBorders>
          </w:tcPr>
          <w:p w14:paraId="3DD5FE56" w14:textId="77777777" w:rsidR="00317402" w:rsidRPr="00C70304" w:rsidRDefault="00317402" w:rsidP="00317402">
            <w:pPr>
              <w:suppressAutoHyphens/>
              <w:jc w:val="center"/>
              <w:rPr>
                <w:rFonts w:eastAsia="Calibri"/>
                <w:szCs w:val="22"/>
                <w:lang w:val="lt-LT" w:eastAsia="ar-SA"/>
              </w:rPr>
            </w:pPr>
          </w:p>
        </w:tc>
        <w:tc>
          <w:tcPr>
            <w:tcW w:w="1844" w:type="dxa"/>
            <w:tcBorders>
              <w:top w:val="single" w:sz="4" w:space="0" w:color="auto"/>
              <w:bottom w:val="single" w:sz="4" w:space="0" w:color="auto"/>
            </w:tcBorders>
          </w:tcPr>
          <w:p w14:paraId="558B05ED" w14:textId="77777777" w:rsidR="00317402" w:rsidRPr="00C70304" w:rsidRDefault="00317402" w:rsidP="00317402">
            <w:pPr>
              <w:suppressAutoHyphens/>
              <w:jc w:val="center"/>
              <w:rPr>
                <w:rFonts w:eastAsia="Calibri"/>
                <w:szCs w:val="22"/>
                <w:lang w:val="lt-LT" w:eastAsia="ar-SA"/>
              </w:rPr>
            </w:pPr>
          </w:p>
        </w:tc>
      </w:tr>
      <w:tr w:rsidR="00317402" w:rsidRPr="00C70304" w14:paraId="6BAB9369" w14:textId="0899B694" w:rsidTr="00317402">
        <w:trPr>
          <w:trHeight w:val="274"/>
          <w:jc w:val="center"/>
        </w:trPr>
        <w:tc>
          <w:tcPr>
            <w:tcW w:w="846" w:type="dxa"/>
            <w:tcBorders>
              <w:top w:val="single" w:sz="4" w:space="0" w:color="auto"/>
              <w:bottom w:val="single" w:sz="4" w:space="0" w:color="auto"/>
              <w:right w:val="single" w:sz="4" w:space="0" w:color="auto"/>
            </w:tcBorders>
          </w:tcPr>
          <w:p w14:paraId="3461F6A9" w14:textId="77777777" w:rsidR="00317402" w:rsidRPr="00C70304" w:rsidRDefault="00317402" w:rsidP="00317402">
            <w:pPr>
              <w:suppressAutoHyphens/>
              <w:rPr>
                <w:rFonts w:ascii="Times New Roman" w:eastAsia="Calibri" w:hAnsi="Times New Roman"/>
                <w:b/>
                <w:lang w:val="en-US" w:eastAsia="ar-SA"/>
              </w:rPr>
            </w:pPr>
          </w:p>
        </w:tc>
        <w:tc>
          <w:tcPr>
            <w:tcW w:w="1559" w:type="dxa"/>
            <w:tcBorders>
              <w:top w:val="single" w:sz="4" w:space="0" w:color="auto"/>
              <w:bottom w:val="single" w:sz="4" w:space="0" w:color="auto"/>
              <w:right w:val="single" w:sz="4" w:space="0" w:color="auto"/>
            </w:tcBorders>
          </w:tcPr>
          <w:p w14:paraId="2D407EF2" w14:textId="77777777" w:rsidR="00317402" w:rsidRPr="00C70304" w:rsidRDefault="00317402" w:rsidP="00317402">
            <w:pPr>
              <w:suppressAutoHyphens/>
              <w:rPr>
                <w:rFonts w:ascii="Times New Roman" w:eastAsia="Calibri" w:hAnsi="Times New Roman"/>
                <w:b/>
                <w:lang w:val="lt-LT" w:eastAsia="ar-SA"/>
              </w:rPr>
            </w:pPr>
          </w:p>
        </w:tc>
        <w:tc>
          <w:tcPr>
            <w:tcW w:w="2977" w:type="dxa"/>
            <w:tcBorders>
              <w:top w:val="single" w:sz="4" w:space="0" w:color="auto"/>
              <w:left w:val="single" w:sz="4" w:space="0" w:color="auto"/>
              <w:bottom w:val="single" w:sz="4" w:space="0" w:color="auto"/>
              <w:right w:val="single" w:sz="4" w:space="0" w:color="auto"/>
            </w:tcBorders>
          </w:tcPr>
          <w:p w14:paraId="1E52E3AE" w14:textId="77777777" w:rsidR="00317402" w:rsidRPr="00C70304" w:rsidRDefault="00317402" w:rsidP="00317402">
            <w:pPr>
              <w:suppressAutoHyphens/>
              <w:rPr>
                <w:rFonts w:ascii="Times New Roman" w:hAnsi="Times New Roman"/>
                <w:b/>
                <w:szCs w:val="22"/>
                <w:lang w:val="lt-LT"/>
              </w:rPr>
            </w:pPr>
          </w:p>
        </w:tc>
        <w:tc>
          <w:tcPr>
            <w:tcW w:w="2693" w:type="dxa"/>
            <w:tcBorders>
              <w:top w:val="single" w:sz="4" w:space="0" w:color="auto"/>
              <w:left w:val="nil"/>
              <w:bottom w:val="single" w:sz="4" w:space="0" w:color="auto"/>
              <w:right w:val="single" w:sz="4" w:space="0" w:color="auto"/>
            </w:tcBorders>
          </w:tcPr>
          <w:p w14:paraId="6CF554E9" w14:textId="77777777" w:rsidR="00317402" w:rsidRPr="00C70304" w:rsidRDefault="00317402" w:rsidP="00317402">
            <w:pPr>
              <w:suppressAutoHyphens/>
              <w:ind w:right="181"/>
              <w:jc w:val="center"/>
              <w:rPr>
                <w:rFonts w:ascii="Times New Roman" w:eastAsia="Calibri" w:hAnsi="Times New Roman"/>
                <w:szCs w:val="22"/>
                <w:lang w:val="en-US" w:eastAsia="ar-SA"/>
              </w:rPr>
            </w:pPr>
          </w:p>
        </w:tc>
        <w:tc>
          <w:tcPr>
            <w:tcW w:w="1843" w:type="dxa"/>
            <w:tcBorders>
              <w:top w:val="single" w:sz="4" w:space="0" w:color="auto"/>
              <w:bottom w:val="single" w:sz="4" w:space="0" w:color="auto"/>
            </w:tcBorders>
          </w:tcPr>
          <w:p w14:paraId="140D49C5" w14:textId="77777777" w:rsidR="00317402" w:rsidRPr="00C70304" w:rsidRDefault="00317402" w:rsidP="00317402">
            <w:pPr>
              <w:suppressAutoHyphens/>
              <w:jc w:val="center"/>
              <w:rPr>
                <w:rFonts w:eastAsia="Calibri"/>
                <w:szCs w:val="22"/>
                <w:lang w:val="en-US" w:eastAsia="ar-SA"/>
              </w:rPr>
            </w:pPr>
          </w:p>
        </w:tc>
        <w:tc>
          <w:tcPr>
            <w:tcW w:w="1276" w:type="dxa"/>
            <w:tcBorders>
              <w:top w:val="single" w:sz="4" w:space="0" w:color="auto"/>
              <w:bottom w:val="single" w:sz="4" w:space="0" w:color="auto"/>
            </w:tcBorders>
          </w:tcPr>
          <w:p w14:paraId="5CD3C3E3" w14:textId="77777777" w:rsidR="00317402" w:rsidRPr="00C70304" w:rsidRDefault="00317402" w:rsidP="00317402">
            <w:pPr>
              <w:suppressAutoHyphens/>
              <w:jc w:val="center"/>
              <w:rPr>
                <w:rFonts w:eastAsia="Calibri"/>
                <w:szCs w:val="22"/>
                <w:lang w:val="en-US" w:eastAsia="ar-SA"/>
              </w:rPr>
            </w:pPr>
          </w:p>
        </w:tc>
        <w:tc>
          <w:tcPr>
            <w:tcW w:w="1134" w:type="dxa"/>
            <w:tcBorders>
              <w:top w:val="single" w:sz="4" w:space="0" w:color="auto"/>
              <w:bottom w:val="single" w:sz="4" w:space="0" w:color="auto"/>
            </w:tcBorders>
          </w:tcPr>
          <w:p w14:paraId="25A20EE6" w14:textId="13FAB563" w:rsidR="00317402" w:rsidRPr="00C70304" w:rsidRDefault="00317402" w:rsidP="00317402">
            <w:pPr>
              <w:suppressAutoHyphens/>
              <w:jc w:val="center"/>
              <w:rPr>
                <w:rFonts w:ascii="Times New Roman" w:eastAsia="Calibri" w:hAnsi="Times New Roman"/>
                <w:szCs w:val="22"/>
                <w:lang w:val="en-US" w:eastAsia="ar-SA"/>
              </w:rPr>
            </w:pPr>
          </w:p>
        </w:tc>
        <w:tc>
          <w:tcPr>
            <w:tcW w:w="1275" w:type="dxa"/>
            <w:tcBorders>
              <w:top w:val="single" w:sz="4" w:space="0" w:color="auto"/>
              <w:bottom w:val="single" w:sz="4" w:space="0" w:color="auto"/>
            </w:tcBorders>
          </w:tcPr>
          <w:p w14:paraId="552247EC" w14:textId="77777777" w:rsidR="00317402" w:rsidRPr="00C70304" w:rsidRDefault="00317402" w:rsidP="00317402">
            <w:pPr>
              <w:suppressAutoHyphens/>
              <w:jc w:val="center"/>
              <w:rPr>
                <w:rFonts w:ascii="Times New Roman" w:eastAsia="Calibri" w:hAnsi="Times New Roman"/>
                <w:szCs w:val="22"/>
                <w:lang w:val="lt-LT" w:eastAsia="ar-SA"/>
              </w:rPr>
            </w:pPr>
          </w:p>
        </w:tc>
        <w:tc>
          <w:tcPr>
            <w:tcW w:w="1844" w:type="dxa"/>
            <w:tcBorders>
              <w:top w:val="single" w:sz="4" w:space="0" w:color="auto"/>
              <w:bottom w:val="single" w:sz="4" w:space="0" w:color="auto"/>
            </w:tcBorders>
          </w:tcPr>
          <w:p w14:paraId="0BFDF0A2" w14:textId="77777777" w:rsidR="00317402" w:rsidRPr="00C70304" w:rsidRDefault="00317402" w:rsidP="00317402">
            <w:pPr>
              <w:suppressAutoHyphens/>
              <w:jc w:val="center"/>
              <w:rPr>
                <w:rFonts w:eastAsia="Calibri"/>
                <w:szCs w:val="22"/>
                <w:lang w:val="lt-LT" w:eastAsia="ar-SA"/>
              </w:rPr>
            </w:pPr>
          </w:p>
        </w:tc>
      </w:tr>
      <w:tr w:rsidR="00C70304" w:rsidRPr="00A57EF0" w14:paraId="35A1D01C" w14:textId="77777777" w:rsidTr="00317402">
        <w:trPr>
          <w:trHeight w:val="249"/>
          <w:jc w:val="center"/>
        </w:trPr>
        <w:tc>
          <w:tcPr>
            <w:tcW w:w="13603" w:type="dxa"/>
            <w:gridSpan w:val="8"/>
            <w:tcBorders>
              <w:top w:val="single" w:sz="4" w:space="0" w:color="auto"/>
              <w:bottom w:val="single" w:sz="4" w:space="0" w:color="auto"/>
            </w:tcBorders>
          </w:tcPr>
          <w:p w14:paraId="3043042E" w14:textId="6213B587" w:rsidR="00C70304" w:rsidRPr="00A57EF0" w:rsidRDefault="00B130A3" w:rsidP="00C70304">
            <w:pPr>
              <w:suppressAutoHyphens/>
              <w:jc w:val="right"/>
              <w:rPr>
                <w:rFonts w:ascii="Times New Roman" w:eastAsia="Calibri" w:hAnsi="Times New Roman"/>
                <w:szCs w:val="22"/>
                <w:lang w:val="lt-LT" w:eastAsia="ar-SA"/>
              </w:rPr>
            </w:pPr>
            <w:r>
              <w:rPr>
                <w:rFonts w:ascii="Times New Roman" w:hAnsi="Times New Roman"/>
                <w:sz w:val="24"/>
              </w:rPr>
              <w:br w:type="page"/>
            </w:r>
            <w:r w:rsidR="00C70304" w:rsidRPr="00A57EF0">
              <w:rPr>
                <w:rFonts w:ascii="Times New Roman" w:hAnsi="Times New Roman"/>
                <w:b/>
                <w:szCs w:val="22"/>
                <w:lang w:val="lt-LT" w:eastAsia="lt-LT"/>
              </w:rPr>
              <w:t>Pradinė sutarties/sutarties dalies vertė Eur be PVM:</w:t>
            </w:r>
          </w:p>
        </w:tc>
        <w:tc>
          <w:tcPr>
            <w:tcW w:w="1844" w:type="dxa"/>
            <w:tcBorders>
              <w:top w:val="single" w:sz="4" w:space="0" w:color="auto"/>
              <w:bottom w:val="single" w:sz="4" w:space="0" w:color="auto"/>
              <w:right w:val="single" w:sz="4" w:space="0" w:color="auto"/>
            </w:tcBorders>
          </w:tcPr>
          <w:p w14:paraId="160414E2" w14:textId="77777777" w:rsidR="00C70304" w:rsidRPr="00A57EF0" w:rsidRDefault="00C70304" w:rsidP="00C70304">
            <w:pPr>
              <w:suppressAutoHyphens/>
              <w:jc w:val="center"/>
              <w:rPr>
                <w:rFonts w:ascii="Times New Roman" w:eastAsia="Calibri" w:hAnsi="Times New Roman"/>
                <w:szCs w:val="22"/>
                <w:lang w:val="lt-LT" w:eastAsia="ar-SA"/>
              </w:rPr>
            </w:pPr>
          </w:p>
        </w:tc>
      </w:tr>
      <w:tr w:rsidR="00C70304" w:rsidRPr="00A57EF0" w14:paraId="596B28B0" w14:textId="77777777" w:rsidTr="00317402">
        <w:trPr>
          <w:trHeight w:val="249"/>
          <w:jc w:val="center"/>
        </w:trPr>
        <w:tc>
          <w:tcPr>
            <w:tcW w:w="13603" w:type="dxa"/>
            <w:gridSpan w:val="8"/>
            <w:tcBorders>
              <w:top w:val="single" w:sz="4" w:space="0" w:color="auto"/>
              <w:bottom w:val="single" w:sz="4" w:space="0" w:color="auto"/>
            </w:tcBorders>
          </w:tcPr>
          <w:p w14:paraId="1BB989E1" w14:textId="77777777" w:rsidR="00C70304" w:rsidRPr="00A57EF0" w:rsidRDefault="00C70304" w:rsidP="00C70304">
            <w:pPr>
              <w:suppressAutoHyphens/>
              <w:jc w:val="right"/>
              <w:rPr>
                <w:rFonts w:ascii="Times New Roman" w:eastAsia="Calibri" w:hAnsi="Times New Roman"/>
                <w:b/>
                <w:szCs w:val="22"/>
                <w:lang w:val="lt-LT" w:eastAsia="ar-SA"/>
              </w:rPr>
            </w:pPr>
            <w:r w:rsidRPr="00A57EF0">
              <w:rPr>
                <w:rFonts w:ascii="Times New Roman" w:eastAsia="Calibri" w:hAnsi="Times New Roman"/>
                <w:b/>
                <w:szCs w:val="22"/>
                <w:lang w:val="lt-LT" w:eastAsia="ar-SA"/>
              </w:rPr>
              <w:t>…….%PVM suma Eur:</w:t>
            </w:r>
          </w:p>
        </w:tc>
        <w:tc>
          <w:tcPr>
            <w:tcW w:w="1844" w:type="dxa"/>
            <w:tcBorders>
              <w:top w:val="single" w:sz="4" w:space="0" w:color="auto"/>
              <w:bottom w:val="single" w:sz="4" w:space="0" w:color="auto"/>
              <w:right w:val="single" w:sz="4" w:space="0" w:color="auto"/>
            </w:tcBorders>
          </w:tcPr>
          <w:p w14:paraId="37EB500F" w14:textId="77777777" w:rsidR="00C70304" w:rsidRPr="00A57EF0" w:rsidRDefault="00C70304" w:rsidP="00C70304">
            <w:pPr>
              <w:suppressAutoHyphens/>
              <w:jc w:val="center"/>
              <w:rPr>
                <w:rFonts w:ascii="Times New Roman" w:eastAsia="Calibri" w:hAnsi="Times New Roman"/>
                <w:szCs w:val="22"/>
                <w:lang w:val="lt-LT" w:eastAsia="ar-SA"/>
              </w:rPr>
            </w:pPr>
          </w:p>
        </w:tc>
      </w:tr>
      <w:tr w:rsidR="00C70304" w:rsidRPr="00A57EF0" w14:paraId="33225880" w14:textId="77777777" w:rsidTr="00317402">
        <w:trPr>
          <w:trHeight w:val="249"/>
          <w:jc w:val="center"/>
        </w:trPr>
        <w:tc>
          <w:tcPr>
            <w:tcW w:w="13603" w:type="dxa"/>
            <w:gridSpan w:val="8"/>
            <w:tcBorders>
              <w:top w:val="single" w:sz="4" w:space="0" w:color="auto"/>
            </w:tcBorders>
          </w:tcPr>
          <w:p w14:paraId="7F04CE96" w14:textId="2A50BC3C" w:rsidR="00C70304" w:rsidRPr="00A57EF0" w:rsidRDefault="002E6EEE" w:rsidP="00C70304">
            <w:pPr>
              <w:suppressAutoHyphens/>
              <w:jc w:val="right"/>
              <w:rPr>
                <w:rFonts w:ascii="Times New Roman" w:eastAsia="Calibri" w:hAnsi="Times New Roman"/>
                <w:szCs w:val="22"/>
                <w:lang w:val="lt-LT" w:eastAsia="ar-SA"/>
              </w:rPr>
            </w:pPr>
            <w:r w:rsidRPr="00A57EF0">
              <w:rPr>
                <w:rFonts w:ascii="Times New Roman" w:hAnsi="Times New Roman"/>
                <w:b/>
                <w:szCs w:val="22"/>
                <w:lang w:val="lt-LT" w:eastAsia="lt-LT"/>
              </w:rPr>
              <w:t>S</w:t>
            </w:r>
            <w:r w:rsidR="00C70304" w:rsidRPr="00A57EF0">
              <w:rPr>
                <w:rFonts w:ascii="Times New Roman" w:hAnsi="Times New Roman"/>
                <w:b/>
                <w:szCs w:val="22"/>
                <w:lang w:val="lt-LT" w:eastAsia="lt-LT"/>
              </w:rPr>
              <w:t xml:space="preserve">utarties/sutarties dalies </w:t>
            </w:r>
            <w:r w:rsidRPr="00A57EF0">
              <w:rPr>
                <w:rFonts w:ascii="Times New Roman" w:hAnsi="Times New Roman"/>
                <w:b/>
                <w:szCs w:val="22"/>
                <w:lang w:val="lt-LT" w:eastAsia="lt-LT"/>
              </w:rPr>
              <w:t>kaina</w:t>
            </w:r>
            <w:r w:rsidR="00C70304" w:rsidRPr="00A57EF0">
              <w:rPr>
                <w:rFonts w:ascii="Times New Roman" w:hAnsi="Times New Roman"/>
                <w:b/>
                <w:szCs w:val="22"/>
                <w:lang w:val="lt-LT" w:eastAsia="lt-LT"/>
              </w:rPr>
              <w:t xml:space="preserve"> Eur su PVM:</w:t>
            </w:r>
          </w:p>
        </w:tc>
        <w:tc>
          <w:tcPr>
            <w:tcW w:w="1844" w:type="dxa"/>
            <w:tcBorders>
              <w:top w:val="single" w:sz="4" w:space="0" w:color="auto"/>
              <w:right w:val="single" w:sz="4" w:space="0" w:color="auto"/>
            </w:tcBorders>
          </w:tcPr>
          <w:p w14:paraId="76764AD9" w14:textId="77777777" w:rsidR="00C70304" w:rsidRPr="00A57EF0" w:rsidRDefault="00C70304" w:rsidP="00C70304">
            <w:pPr>
              <w:suppressAutoHyphens/>
              <w:jc w:val="center"/>
              <w:rPr>
                <w:rFonts w:ascii="Times New Roman" w:eastAsia="Calibri" w:hAnsi="Times New Roman"/>
                <w:szCs w:val="22"/>
                <w:lang w:val="lt-LT" w:eastAsia="ar-SA"/>
              </w:rPr>
            </w:pPr>
          </w:p>
        </w:tc>
      </w:tr>
    </w:tbl>
    <w:p w14:paraId="47A9EF1B" w14:textId="402888F3" w:rsidR="002B0AD9" w:rsidRPr="00C70304" w:rsidRDefault="002B0AD9" w:rsidP="00C70304">
      <w:pPr>
        <w:ind w:right="-32"/>
        <w:jc w:val="both"/>
        <w:rPr>
          <w:sz w:val="22"/>
          <w:szCs w:val="22"/>
          <w:lang w:val="lt-LT" w:eastAsia="lt-LT"/>
        </w:rPr>
      </w:pPr>
    </w:p>
    <w:tbl>
      <w:tblPr>
        <w:tblW w:w="0" w:type="auto"/>
        <w:tblLook w:val="04A0" w:firstRow="1" w:lastRow="0" w:firstColumn="1" w:lastColumn="0" w:noHBand="0" w:noVBand="1"/>
      </w:tblPr>
      <w:tblGrid>
        <w:gridCol w:w="10206"/>
        <w:gridCol w:w="4920"/>
      </w:tblGrid>
      <w:tr w:rsidR="008945C1" w:rsidRPr="008945C1" w14:paraId="10F31371" w14:textId="77777777" w:rsidTr="006B7A82">
        <w:tc>
          <w:tcPr>
            <w:tcW w:w="10206" w:type="dxa"/>
          </w:tcPr>
          <w:p w14:paraId="5D46B905" w14:textId="77777777" w:rsidR="00F065D6" w:rsidRDefault="00F065D6" w:rsidP="008945C1">
            <w:pPr>
              <w:snapToGrid w:val="0"/>
              <w:ind w:right="113"/>
              <w:rPr>
                <w:b/>
                <w:sz w:val="22"/>
                <w:szCs w:val="22"/>
                <w:lang w:val="lt-LT"/>
              </w:rPr>
            </w:pPr>
          </w:p>
          <w:p w14:paraId="7D34E954" w14:textId="77777777" w:rsidR="008945C1" w:rsidRPr="008945C1" w:rsidRDefault="00DC04BD" w:rsidP="008945C1">
            <w:pPr>
              <w:snapToGrid w:val="0"/>
              <w:ind w:right="113"/>
              <w:rPr>
                <w:b/>
                <w:sz w:val="22"/>
                <w:szCs w:val="22"/>
                <w:lang w:val="lt-LT"/>
              </w:rPr>
            </w:pPr>
            <w:r>
              <w:rPr>
                <w:b/>
                <w:sz w:val="22"/>
                <w:szCs w:val="22"/>
                <w:lang w:val="lt-LT"/>
              </w:rPr>
              <w:t>Paslaugų teikėjas:</w:t>
            </w:r>
          </w:p>
          <w:p w14:paraId="71E826A9" w14:textId="77777777" w:rsidR="008945C1" w:rsidRPr="008945C1" w:rsidRDefault="008945C1" w:rsidP="008945C1">
            <w:pPr>
              <w:snapToGrid w:val="0"/>
              <w:ind w:right="113"/>
              <w:rPr>
                <w:rFonts w:eastAsia="Calibri"/>
                <w:sz w:val="22"/>
                <w:szCs w:val="22"/>
                <w:lang w:val="lt-LT"/>
              </w:rPr>
            </w:pPr>
          </w:p>
        </w:tc>
        <w:tc>
          <w:tcPr>
            <w:tcW w:w="4920" w:type="dxa"/>
          </w:tcPr>
          <w:p w14:paraId="72201801" w14:textId="77777777" w:rsidR="00F065D6" w:rsidRDefault="00F065D6" w:rsidP="008945C1">
            <w:pPr>
              <w:ind w:left="3884" w:hanging="3884"/>
              <w:jc w:val="both"/>
              <w:rPr>
                <w:b/>
                <w:bCs/>
                <w:sz w:val="22"/>
                <w:szCs w:val="22"/>
                <w:lang w:val="lt-LT"/>
              </w:rPr>
            </w:pPr>
          </w:p>
          <w:p w14:paraId="5445CCE2" w14:textId="77777777" w:rsidR="008945C1" w:rsidRPr="008945C1" w:rsidRDefault="00DC04BD" w:rsidP="008945C1">
            <w:pPr>
              <w:ind w:left="3884" w:hanging="3884"/>
              <w:jc w:val="both"/>
              <w:rPr>
                <w:b/>
                <w:bCs/>
                <w:sz w:val="22"/>
                <w:szCs w:val="22"/>
                <w:lang w:val="lt-LT"/>
              </w:rPr>
            </w:pPr>
            <w:r>
              <w:rPr>
                <w:b/>
                <w:bCs/>
                <w:sz w:val="22"/>
                <w:szCs w:val="22"/>
                <w:lang w:val="lt-LT"/>
              </w:rPr>
              <w:t>Užsakovas:</w:t>
            </w:r>
          </w:p>
          <w:p w14:paraId="14D1D0F2" w14:textId="77777777" w:rsidR="008945C1" w:rsidRPr="008945C1" w:rsidRDefault="008945C1" w:rsidP="008945C1">
            <w:pPr>
              <w:jc w:val="both"/>
              <w:rPr>
                <w:sz w:val="22"/>
                <w:szCs w:val="22"/>
                <w:lang w:val="lt-LT"/>
              </w:rPr>
            </w:pPr>
            <w:r w:rsidRPr="008945C1">
              <w:rPr>
                <w:sz w:val="22"/>
                <w:szCs w:val="22"/>
                <w:lang w:val="lt-LT"/>
              </w:rPr>
              <w:t>VšĮ Vilniaus universiteto ligoninė Santaros klinikos</w:t>
            </w:r>
          </w:p>
          <w:p w14:paraId="50499B65" w14:textId="33707D61" w:rsidR="008945C1" w:rsidRPr="008945C1" w:rsidRDefault="008945C1" w:rsidP="008945C1">
            <w:pPr>
              <w:jc w:val="both"/>
              <w:rPr>
                <w:sz w:val="22"/>
                <w:szCs w:val="22"/>
                <w:lang w:val="lt-LT"/>
              </w:rPr>
            </w:pPr>
            <w:r w:rsidRPr="008945C1">
              <w:rPr>
                <w:sz w:val="22"/>
                <w:szCs w:val="22"/>
                <w:lang w:val="lt-LT"/>
              </w:rPr>
              <w:t>Santariškių g. 2, LT-08</w:t>
            </w:r>
            <w:r w:rsidR="00CD24C7">
              <w:rPr>
                <w:sz w:val="22"/>
                <w:szCs w:val="22"/>
                <w:lang w:val="lt-LT"/>
              </w:rPr>
              <w:t>406</w:t>
            </w:r>
            <w:r w:rsidRPr="008945C1">
              <w:rPr>
                <w:sz w:val="22"/>
                <w:szCs w:val="22"/>
                <w:lang w:val="lt-LT"/>
              </w:rPr>
              <w:t xml:space="preserve"> Vilnius</w:t>
            </w:r>
          </w:p>
          <w:p w14:paraId="32DB5679" w14:textId="77777777" w:rsidR="008945C1" w:rsidRPr="008945C1" w:rsidRDefault="008945C1" w:rsidP="008945C1">
            <w:pPr>
              <w:jc w:val="both"/>
              <w:rPr>
                <w:sz w:val="22"/>
                <w:szCs w:val="22"/>
                <w:lang w:val="lt-LT"/>
              </w:rPr>
            </w:pPr>
            <w:r w:rsidRPr="008945C1">
              <w:rPr>
                <w:sz w:val="22"/>
                <w:szCs w:val="22"/>
                <w:lang w:val="lt-LT"/>
              </w:rPr>
              <w:t xml:space="preserve">Įmonės kodas 124364561 </w:t>
            </w:r>
          </w:p>
          <w:p w14:paraId="23911F33" w14:textId="77777777" w:rsidR="008945C1" w:rsidRPr="008945C1" w:rsidRDefault="008945C1" w:rsidP="008945C1">
            <w:pPr>
              <w:jc w:val="both"/>
              <w:rPr>
                <w:sz w:val="22"/>
                <w:szCs w:val="22"/>
                <w:lang w:val="lt-LT"/>
              </w:rPr>
            </w:pPr>
            <w:r w:rsidRPr="008945C1">
              <w:rPr>
                <w:sz w:val="22"/>
                <w:szCs w:val="22"/>
                <w:lang w:val="lt-LT"/>
              </w:rPr>
              <w:t>PVM mok. kodas LT243645610</w:t>
            </w:r>
          </w:p>
          <w:p w14:paraId="1166A6B2" w14:textId="77777777" w:rsidR="008945C1" w:rsidRPr="008945C1" w:rsidRDefault="008945C1" w:rsidP="008945C1">
            <w:pPr>
              <w:jc w:val="both"/>
              <w:rPr>
                <w:sz w:val="22"/>
                <w:szCs w:val="22"/>
                <w:lang w:val="lt-LT"/>
              </w:rPr>
            </w:pPr>
            <w:r w:rsidRPr="008945C1">
              <w:rPr>
                <w:sz w:val="22"/>
                <w:szCs w:val="22"/>
                <w:lang w:val="lt-LT"/>
              </w:rPr>
              <w:t xml:space="preserve">A. s. LT71 7300 0100 0249 2260 </w:t>
            </w:r>
          </w:p>
          <w:p w14:paraId="2A15B2DD" w14:textId="77777777" w:rsidR="008945C1" w:rsidRPr="008945C1" w:rsidRDefault="008945C1" w:rsidP="008945C1">
            <w:pPr>
              <w:jc w:val="both"/>
              <w:rPr>
                <w:sz w:val="22"/>
                <w:szCs w:val="22"/>
                <w:lang w:val="lt-LT"/>
              </w:rPr>
            </w:pPr>
            <w:r w:rsidRPr="008945C1">
              <w:rPr>
                <w:sz w:val="22"/>
                <w:szCs w:val="22"/>
                <w:lang w:val="lt-LT"/>
              </w:rPr>
              <w:t>AB „Swedbank“ b. k. 73000</w:t>
            </w:r>
          </w:p>
          <w:p w14:paraId="1D7B849B" w14:textId="0F54A9D7" w:rsidR="008945C1" w:rsidRDefault="008945C1" w:rsidP="008945C1">
            <w:pPr>
              <w:jc w:val="both"/>
              <w:rPr>
                <w:sz w:val="22"/>
                <w:szCs w:val="22"/>
                <w:lang w:val="lt-LT"/>
              </w:rPr>
            </w:pPr>
            <w:r w:rsidRPr="008945C1">
              <w:rPr>
                <w:sz w:val="22"/>
                <w:szCs w:val="22"/>
                <w:lang w:val="lt-LT"/>
              </w:rPr>
              <w:t>Tel. (</w:t>
            </w:r>
            <w:r w:rsidR="00506DEB">
              <w:rPr>
                <w:sz w:val="22"/>
                <w:szCs w:val="22"/>
                <w:lang w:val="lt-LT"/>
              </w:rPr>
              <w:t>+370</w:t>
            </w:r>
            <w:r w:rsidRPr="008945C1">
              <w:rPr>
                <w:sz w:val="22"/>
                <w:szCs w:val="22"/>
                <w:lang w:val="lt-LT"/>
              </w:rPr>
              <w:t xml:space="preserve"> 5) 236 5000</w:t>
            </w:r>
          </w:p>
          <w:p w14:paraId="269AEA41" w14:textId="77777777" w:rsidR="00F065D6" w:rsidRPr="008945C1" w:rsidRDefault="00F065D6" w:rsidP="008945C1">
            <w:pPr>
              <w:jc w:val="both"/>
              <w:rPr>
                <w:sz w:val="22"/>
                <w:szCs w:val="22"/>
                <w:lang w:val="lt-LT"/>
              </w:rPr>
            </w:pPr>
          </w:p>
          <w:p w14:paraId="20197F14" w14:textId="77777777" w:rsidR="008945C1" w:rsidRPr="008945C1" w:rsidRDefault="008945C1" w:rsidP="008945C1">
            <w:pPr>
              <w:tabs>
                <w:tab w:val="center" w:pos="2352"/>
              </w:tabs>
              <w:jc w:val="both"/>
              <w:rPr>
                <w:sz w:val="22"/>
                <w:szCs w:val="22"/>
                <w:lang w:val="lt-LT"/>
              </w:rPr>
            </w:pPr>
            <w:r w:rsidRPr="008945C1">
              <w:rPr>
                <w:sz w:val="22"/>
                <w:szCs w:val="22"/>
                <w:lang w:val="lt-LT"/>
              </w:rPr>
              <w:t>Generalinis direktorius</w:t>
            </w:r>
          </w:p>
          <w:p w14:paraId="0D2CF657" w14:textId="0EBDBCBB" w:rsidR="002B0AD9" w:rsidRPr="008945C1" w:rsidRDefault="009F3A7B" w:rsidP="008945C1">
            <w:pPr>
              <w:tabs>
                <w:tab w:val="center" w:pos="2352"/>
              </w:tabs>
              <w:jc w:val="both"/>
              <w:rPr>
                <w:sz w:val="22"/>
                <w:szCs w:val="22"/>
                <w:lang w:val="lt-LT"/>
              </w:rPr>
            </w:pPr>
            <w:r>
              <w:rPr>
                <w:sz w:val="22"/>
                <w:szCs w:val="22"/>
                <w:lang w:val="lt-LT"/>
              </w:rPr>
              <w:t>Tomas Jovaiša</w:t>
            </w:r>
          </w:p>
        </w:tc>
      </w:tr>
    </w:tbl>
    <w:p w14:paraId="583D937E" w14:textId="77777777" w:rsidR="004D3D0B" w:rsidRPr="006D00B7" w:rsidRDefault="004D3D0B" w:rsidP="00C70304">
      <w:pPr>
        <w:rPr>
          <w:b/>
          <w:sz w:val="22"/>
          <w:szCs w:val="22"/>
          <w:lang w:val="lt-LT"/>
        </w:rPr>
      </w:pPr>
    </w:p>
    <w:sectPr w:rsidR="004D3D0B" w:rsidRPr="006D00B7" w:rsidSect="002B0AD9">
      <w:pgSz w:w="16838" w:h="11906" w:orient="landscape" w:code="9"/>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62D8B" w14:textId="77777777" w:rsidR="00634D37" w:rsidRDefault="00634D37">
      <w:r>
        <w:separator/>
      </w:r>
    </w:p>
  </w:endnote>
  <w:endnote w:type="continuationSeparator" w:id="0">
    <w:p w14:paraId="7614D51F" w14:textId="77777777" w:rsidR="00634D37" w:rsidRDefault="0063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6D685" w14:textId="77777777" w:rsidR="0051487F" w:rsidRDefault="00115058" w:rsidP="000D29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06172" w14:textId="77777777" w:rsidR="0051487F" w:rsidRDefault="00514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6088736"/>
      <w:docPartObj>
        <w:docPartGallery w:val="Page Numbers (Bottom of Page)"/>
        <w:docPartUnique/>
      </w:docPartObj>
    </w:sdtPr>
    <w:sdtEndPr>
      <w:rPr>
        <w:noProof/>
      </w:rPr>
    </w:sdtEndPr>
    <w:sdtContent>
      <w:p w14:paraId="737ABBDA" w14:textId="77777777" w:rsidR="00507E39" w:rsidRDefault="00507E39">
        <w:pPr>
          <w:pStyle w:val="Footer"/>
          <w:jc w:val="right"/>
        </w:pPr>
        <w:r>
          <w:fldChar w:fldCharType="begin"/>
        </w:r>
        <w:r>
          <w:instrText xml:space="preserve"> PAGE   \* MERGEFORMAT </w:instrText>
        </w:r>
        <w:r>
          <w:fldChar w:fldCharType="separate"/>
        </w:r>
        <w:r w:rsidR="0031480A">
          <w:rPr>
            <w:noProof/>
          </w:rPr>
          <w:t>5</w:t>
        </w:r>
        <w:r>
          <w:rPr>
            <w:noProof/>
          </w:rPr>
          <w:fldChar w:fldCharType="end"/>
        </w:r>
      </w:p>
    </w:sdtContent>
  </w:sdt>
  <w:p w14:paraId="46859707" w14:textId="77777777" w:rsidR="0051487F" w:rsidRDefault="0051487F">
    <w:pPr>
      <w:pStyle w:val="Footer"/>
      <w:tabs>
        <w:tab w:val="left" w:pos="7140"/>
        <w:tab w:val="right" w:pos="9279"/>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737A0" w14:textId="77777777" w:rsidR="0051487F" w:rsidRDefault="005148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02084" w14:textId="77777777" w:rsidR="00634D37" w:rsidRDefault="00634D37">
      <w:r>
        <w:separator/>
      </w:r>
    </w:p>
  </w:footnote>
  <w:footnote w:type="continuationSeparator" w:id="0">
    <w:p w14:paraId="07BD0E35" w14:textId="77777777" w:rsidR="00634D37" w:rsidRDefault="00634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D2F1B" w14:textId="77777777" w:rsidR="0051487F" w:rsidRDefault="001150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4A40">
      <w:rPr>
        <w:rStyle w:val="PageNumber"/>
        <w:noProof/>
      </w:rPr>
      <w:t>3</w:t>
    </w:r>
    <w:r>
      <w:rPr>
        <w:rStyle w:val="PageNumber"/>
      </w:rPr>
      <w:fldChar w:fldCharType="end"/>
    </w:r>
  </w:p>
  <w:p w14:paraId="04E4CD45" w14:textId="77777777" w:rsidR="0051487F" w:rsidRDefault="00514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070E6"/>
    <w:multiLevelType w:val="hybridMultilevel"/>
    <w:tmpl w:val="C1CC34C4"/>
    <w:lvl w:ilvl="0" w:tplc="B002C34C">
      <w:start w:val="10"/>
      <w:numFmt w:val="decimal"/>
      <w:lvlText w:val="%1."/>
      <w:lvlJc w:val="left"/>
      <w:pPr>
        <w:ind w:left="1146" w:hanging="360"/>
      </w:pPr>
      <w:rPr>
        <w:rFonts w:hint="default"/>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16F56F38"/>
    <w:multiLevelType w:val="multilevel"/>
    <w:tmpl w:val="F2426450"/>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150A0C"/>
    <w:multiLevelType w:val="hybridMultilevel"/>
    <w:tmpl w:val="229AD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A6C6E"/>
    <w:multiLevelType w:val="multilevel"/>
    <w:tmpl w:val="99E0BF3A"/>
    <w:lvl w:ilvl="0">
      <w:start w:val="4"/>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B41603"/>
    <w:multiLevelType w:val="hybridMultilevel"/>
    <w:tmpl w:val="3796F4FA"/>
    <w:lvl w:ilvl="0" w:tplc="DEA63B08">
      <w:start w:val="2"/>
      <w:numFmt w:val="decimal"/>
      <w:lvlText w:val="%1."/>
      <w:lvlJc w:val="left"/>
      <w:pPr>
        <w:ind w:left="720" w:hanging="360"/>
      </w:pPr>
      <w:rPr>
        <w:rFonts w:hint="default"/>
        <w:b/>
        <w:i w:val="0"/>
        <w:u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3C9497A"/>
    <w:multiLevelType w:val="hybridMultilevel"/>
    <w:tmpl w:val="90B86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C2251D"/>
    <w:multiLevelType w:val="multilevel"/>
    <w:tmpl w:val="25E891B4"/>
    <w:lvl w:ilvl="0">
      <w:start w:val="1"/>
      <w:numFmt w:val="decimal"/>
      <w:lvlText w:val="%1."/>
      <w:lvlJc w:val="left"/>
      <w:pPr>
        <w:ind w:left="360" w:hanging="360"/>
      </w:pPr>
      <w:rPr>
        <w:rFonts w:hint="default"/>
        <w:b/>
        <w:i w:val="0"/>
      </w:rPr>
    </w:lvl>
    <w:lvl w:ilvl="1">
      <w:start w:val="1"/>
      <w:numFmt w:val="decimal"/>
      <w:lvlText w:val="%1.%2."/>
      <w:lvlJc w:val="left"/>
      <w:pPr>
        <w:ind w:left="928" w:hanging="360"/>
      </w:pPr>
      <w:rPr>
        <w:rFonts w:hint="default"/>
        <w:i w:val="0"/>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492904"/>
    <w:multiLevelType w:val="hybridMultilevel"/>
    <w:tmpl w:val="59B03FD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7DCD6382"/>
    <w:multiLevelType w:val="hybridMultilevel"/>
    <w:tmpl w:val="AEEAF2E2"/>
    <w:lvl w:ilvl="0" w:tplc="8792904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E960782"/>
    <w:multiLevelType w:val="multilevel"/>
    <w:tmpl w:val="5F9A10B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4"/>
  </w:num>
  <w:num w:numId="8">
    <w:abstractNumId w:val="1"/>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886"/>
    <w:rsid w:val="000040F9"/>
    <w:rsid w:val="000113D1"/>
    <w:rsid w:val="00022759"/>
    <w:rsid w:val="0004504D"/>
    <w:rsid w:val="00045ABA"/>
    <w:rsid w:val="00051B97"/>
    <w:rsid w:val="00065F9F"/>
    <w:rsid w:val="0008149C"/>
    <w:rsid w:val="00095C47"/>
    <w:rsid w:val="0009772B"/>
    <w:rsid w:val="000A35AF"/>
    <w:rsid w:val="000B105D"/>
    <w:rsid w:val="000B75E5"/>
    <w:rsid w:val="000D1587"/>
    <w:rsid w:val="000D3858"/>
    <w:rsid w:val="000D3F1E"/>
    <w:rsid w:val="000F162E"/>
    <w:rsid w:val="000F29C3"/>
    <w:rsid w:val="000F7A5D"/>
    <w:rsid w:val="000F7E53"/>
    <w:rsid w:val="00100B04"/>
    <w:rsid w:val="001147BB"/>
    <w:rsid w:val="00115058"/>
    <w:rsid w:val="0012749B"/>
    <w:rsid w:val="00144019"/>
    <w:rsid w:val="00156A30"/>
    <w:rsid w:val="001650BC"/>
    <w:rsid w:val="00175912"/>
    <w:rsid w:val="00184817"/>
    <w:rsid w:val="00184FEA"/>
    <w:rsid w:val="001B43AB"/>
    <w:rsid w:val="001C5EFA"/>
    <w:rsid w:val="001D2D30"/>
    <w:rsid w:val="001E5B3C"/>
    <w:rsid w:val="001F55DB"/>
    <w:rsid w:val="00237130"/>
    <w:rsid w:val="0025018C"/>
    <w:rsid w:val="002517E0"/>
    <w:rsid w:val="00253C6B"/>
    <w:rsid w:val="002A2CAC"/>
    <w:rsid w:val="002A6A8C"/>
    <w:rsid w:val="002B0AD9"/>
    <w:rsid w:val="002E02F1"/>
    <w:rsid w:val="002E26B8"/>
    <w:rsid w:val="002E6EEE"/>
    <w:rsid w:val="002F5C52"/>
    <w:rsid w:val="00300368"/>
    <w:rsid w:val="00305317"/>
    <w:rsid w:val="003077FF"/>
    <w:rsid w:val="00313FBE"/>
    <w:rsid w:val="0031480A"/>
    <w:rsid w:val="00317402"/>
    <w:rsid w:val="00386AF5"/>
    <w:rsid w:val="003900AB"/>
    <w:rsid w:val="00397B7D"/>
    <w:rsid w:val="003A02A3"/>
    <w:rsid w:val="003E4BB2"/>
    <w:rsid w:val="003E644D"/>
    <w:rsid w:val="004011E1"/>
    <w:rsid w:val="00404EBB"/>
    <w:rsid w:val="004161F9"/>
    <w:rsid w:val="00444A76"/>
    <w:rsid w:val="0044674E"/>
    <w:rsid w:val="00457524"/>
    <w:rsid w:val="00475093"/>
    <w:rsid w:val="0048277C"/>
    <w:rsid w:val="0048306A"/>
    <w:rsid w:val="004D3D0B"/>
    <w:rsid w:val="004D3D78"/>
    <w:rsid w:val="004E077F"/>
    <w:rsid w:val="004F0FDC"/>
    <w:rsid w:val="00501BF1"/>
    <w:rsid w:val="00504A40"/>
    <w:rsid w:val="00506DEB"/>
    <w:rsid w:val="00507E39"/>
    <w:rsid w:val="00511141"/>
    <w:rsid w:val="0051487F"/>
    <w:rsid w:val="00521369"/>
    <w:rsid w:val="00541478"/>
    <w:rsid w:val="00542F64"/>
    <w:rsid w:val="00560858"/>
    <w:rsid w:val="00563BB9"/>
    <w:rsid w:val="00595D3E"/>
    <w:rsid w:val="00596F1C"/>
    <w:rsid w:val="005A2392"/>
    <w:rsid w:val="006037F7"/>
    <w:rsid w:val="00604D4E"/>
    <w:rsid w:val="00605908"/>
    <w:rsid w:val="00611216"/>
    <w:rsid w:val="00627896"/>
    <w:rsid w:val="00630C17"/>
    <w:rsid w:val="00634D37"/>
    <w:rsid w:val="0066317D"/>
    <w:rsid w:val="0067381B"/>
    <w:rsid w:val="00673B4C"/>
    <w:rsid w:val="0069166B"/>
    <w:rsid w:val="006D00B7"/>
    <w:rsid w:val="006F0AA9"/>
    <w:rsid w:val="00760BC1"/>
    <w:rsid w:val="007626EF"/>
    <w:rsid w:val="00783C2E"/>
    <w:rsid w:val="00792E25"/>
    <w:rsid w:val="007A09DF"/>
    <w:rsid w:val="007A39C7"/>
    <w:rsid w:val="007C0143"/>
    <w:rsid w:val="007C44D8"/>
    <w:rsid w:val="007C5A51"/>
    <w:rsid w:val="007E3E3E"/>
    <w:rsid w:val="008023D2"/>
    <w:rsid w:val="00804CE7"/>
    <w:rsid w:val="00807066"/>
    <w:rsid w:val="00812515"/>
    <w:rsid w:val="00834D3E"/>
    <w:rsid w:val="00864319"/>
    <w:rsid w:val="00887E16"/>
    <w:rsid w:val="00890886"/>
    <w:rsid w:val="008945C1"/>
    <w:rsid w:val="008A1B8D"/>
    <w:rsid w:val="008B4D9F"/>
    <w:rsid w:val="008C7624"/>
    <w:rsid w:val="008C7C77"/>
    <w:rsid w:val="008E79DE"/>
    <w:rsid w:val="00902665"/>
    <w:rsid w:val="00902F15"/>
    <w:rsid w:val="00910EEB"/>
    <w:rsid w:val="0092228C"/>
    <w:rsid w:val="009248D1"/>
    <w:rsid w:val="0092587E"/>
    <w:rsid w:val="009473CF"/>
    <w:rsid w:val="00951013"/>
    <w:rsid w:val="00972700"/>
    <w:rsid w:val="00976A56"/>
    <w:rsid w:val="009772FF"/>
    <w:rsid w:val="0099739F"/>
    <w:rsid w:val="0099763C"/>
    <w:rsid w:val="009B3AB4"/>
    <w:rsid w:val="009F3A7B"/>
    <w:rsid w:val="009F3EE9"/>
    <w:rsid w:val="009F78A6"/>
    <w:rsid w:val="00A029EF"/>
    <w:rsid w:val="00A16A88"/>
    <w:rsid w:val="00A36DE9"/>
    <w:rsid w:val="00A57EF0"/>
    <w:rsid w:val="00A65397"/>
    <w:rsid w:val="00A726C1"/>
    <w:rsid w:val="00A821EA"/>
    <w:rsid w:val="00A97EB4"/>
    <w:rsid w:val="00AB7B26"/>
    <w:rsid w:val="00AC6182"/>
    <w:rsid w:val="00AD3602"/>
    <w:rsid w:val="00AE4EA1"/>
    <w:rsid w:val="00AF2AF8"/>
    <w:rsid w:val="00B130A3"/>
    <w:rsid w:val="00B32194"/>
    <w:rsid w:val="00B47824"/>
    <w:rsid w:val="00B552C2"/>
    <w:rsid w:val="00B65614"/>
    <w:rsid w:val="00B80E33"/>
    <w:rsid w:val="00BA3004"/>
    <w:rsid w:val="00BA3C99"/>
    <w:rsid w:val="00BC488E"/>
    <w:rsid w:val="00BC5524"/>
    <w:rsid w:val="00BC59B9"/>
    <w:rsid w:val="00BD47E6"/>
    <w:rsid w:val="00BF14A7"/>
    <w:rsid w:val="00C334C7"/>
    <w:rsid w:val="00C34027"/>
    <w:rsid w:val="00C413E4"/>
    <w:rsid w:val="00C70304"/>
    <w:rsid w:val="00CA71A6"/>
    <w:rsid w:val="00CB6944"/>
    <w:rsid w:val="00CB7817"/>
    <w:rsid w:val="00CC6A87"/>
    <w:rsid w:val="00CD24C7"/>
    <w:rsid w:val="00D16B6B"/>
    <w:rsid w:val="00D2625B"/>
    <w:rsid w:val="00D43EA9"/>
    <w:rsid w:val="00D506AA"/>
    <w:rsid w:val="00D546F4"/>
    <w:rsid w:val="00D64D74"/>
    <w:rsid w:val="00D946B7"/>
    <w:rsid w:val="00D9493C"/>
    <w:rsid w:val="00DA7D83"/>
    <w:rsid w:val="00DB51A4"/>
    <w:rsid w:val="00DC04BD"/>
    <w:rsid w:val="00DD4BA8"/>
    <w:rsid w:val="00DE3004"/>
    <w:rsid w:val="00DF7526"/>
    <w:rsid w:val="00E05B1E"/>
    <w:rsid w:val="00E144CA"/>
    <w:rsid w:val="00E265A4"/>
    <w:rsid w:val="00E53991"/>
    <w:rsid w:val="00E56452"/>
    <w:rsid w:val="00E57311"/>
    <w:rsid w:val="00E74057"/>
    <w:rsid w:val="00E90C88"/>
    <w:rsid w:val="00E94D89"/>
    <w:rsid w:val="00EA7D92"/>
    <w:rsid w:val="00EB0674"/>
    <w:rsid w:val="00EB278A"/>
    <w:rsid w:val="00EB3026"/>
    <w:rsid w:val="00ED7A65"/>
    <w:rsid w:val="00EE46DA"/>
    <w:rsid w:val="00F02A46"/>
    <w:rsid w:val="00F065D6"/>
    <w:rsid w:val="00F07628"/>
    <w:rsid w:val="00F11C6D"/>
    <w:rsid w:val="00F171C1"/>
    <w:rsid w:val="00F37BBE"/>
    <w:rsid w:val="00F414F5"/>
    <w:rsid w:val="00F71B33"/>
    <w:rsid w:val="00F75ABF"/>
    <w:rsid w:val="00F92AA0"/>
    <w:rsid w:val="00FE456F"/>
    <w:rsid w:val="00FE686B"/>
    <w:rsid w:val="00FF4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BB13"/>
  <w15:chartTrackingRefBased/>
  <w15:docId w15:val="{9C71975F-CCE9-429E-B1DC-0ACACF50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0B"/>
    <w:pPr>
      <w:ind w:firstLine="0"/>
    </w:pPr>
    <w:rPr>
      <w:rFonts w:eastAsia="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rsid w:val="004D3D0B"/>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4D3D0B"/>
    <w:rPr>
      <w:rFonts w:eastAsia="Times New Roman" w:cs="Times New Roman"/>
      <w:szCs w:val="24"/>
      <w:lang w:val="en-GB"/>
    </w:rPr>
  </w:style>
  <w:style w:type="paragraph" w:styleId="Footer">
    <w:name w:val="footer"/>
    <w:basedOn w:val="Normal"/>
    <w:link w:val="FooterChar"/>
    <w:uiPriority w:val="99"/>
    <w:rsid w:val="004D3D0B"/>
    <w:pPr>
      <w:tabs>
        <w:tab w:val="center" w:pos="4819"/>
        <w:tab w:val="right" w:pos="9638"/>
      </w:tabs>
    </w:pPr>
  </w:style>
  <w:style w:type="character" w:customStyle="1" w:styleId="FooterChar">
    <w:name w:val="Footer Char"/>
    <w:basedOn w:val="DefaultParagraphFont"/>
    <w:link w:val="Footer"/>
    <w:uiPriority w:val="99"/>
    <w:rsid w:val="004D3D0B"/>
    <w:rPr>
      <w:rFonts w:eastAsia="Times New Roman" w:cs="Times New Roman"/>
      <w:szCs w:val="24"/>
      <w:lang w:val="en-GB"/>
    </w:rPr>
  </w:style>
  <w:style w:type="character" w:styleId="PageNumber">
    <w:name w:val="page number"/>
    <w:basedOn w:val="DefaultParagraphFont"/>
    <w:rsid w:val="004D3D0B"/>
  </w:style>
  <w:style w:type="paragraph" w:styleId="ListParagraph">
    <w:name w:val="List Paragraph"/>
    <w:basedOn w:val="Normal"/>
    <w:uiPriority w:val="34"/>
    <w:qFormat/>
    <w:rsid w:val="004D3D0B"/>
    <w:pPr>
      <w:ind w:left="720"/>
      <w:contextualSpacing/>
    </w:pPr>
    <w:rPr>
      <w:rFonts w:ascii="Calibri" w:hAnsi="Calibri"/>
      <w:lang w:val="en-US"/>
    </w:rPr>
  </w:style>
  <w:style w:type="paragraph" w:styleId="Title">
    <w:name w:val="Title"/>
    <w:basedOn w:val="Normal"/>
    <w:link w:val="TitleChar"/>
    <w:qFormat/>
    <w:rsid w:val="004D3D0B"/>
    <w:pPr>
      <w:jc w:val="center"/>
    </w:pPr>
    <w:rPr>
      <w:b/>
      <w:szCs w:val="20"/>
      <w:lang w:val="lt-LT"/>
    </w:rPr>
  </w:style>
  <w:style w:type="character" w:customStyle="1" w:styleId="TitleChar">
    <w:name w:val="Title Char"/>
    <w:basedOn w:val="DefaultParagraphFont"/>
    <w:link w:val="Title"/>
    <w:rsid w:val="004D3D0B"/>
    <w:rPr>
      <w:rFonts w:eastAsia="Times New Roman" w:cs="Times New Roman"/>
      <w:b/>
      <w:szCs w:val="20"/>
    </w:rPr>
  </w:style>
  <w:style w:type="paragraph" w:styleId="BodyText">
    <w:name w:val="Body Text"/>
    <w:basedOn w:val="Normal"/>
    <w:link w:val="BodyTextChar"/>
    <w:rsid w:val="004D3D0B"/>
    <w:rPr>
      <w:szCs w:val="20"/>
      <w:lang w:val="lt-LT" w:eastAsia="lt-LT"/>
    </w:rPr>
  </w:style>
  <w:style w:type="character" w:customStyle="1" w:styleId="BodyTextChar">
    <w:name w:val="Body Text Char"/>
    <w:basedOn w:val="DefaultParagraphFont"/>
    <w:link w:val="BodyText"/>
    <w:rsid w:val="004D3D0B"/>
    <w:rPr>
      <w:rFonts w:eastAsia="Times New Roman" w:cs="Times New Roman"/>
      <w:szCs w:val="20"/>
      <w:lang w:eastAsia="lt-LT"/>
    </w:rPr>
  </w:style>
  <w:style w:type="character" w:customStyle="1" w:styleId="normaltextrun1">
    <w:name w:val="normaltextrun1"/>
    <w:basedOn w:val="DefaultParagraphFont"/>
    <w:rsid w:val="0025018C"/>
  </w:style>
  <w:style w:type="character" w:customStyle="1" w:styleId="eop">
    <w:name w:val="eop"/>
    <w:basedOn w:val="DefaultParagraphFont"/>
    <w:rsid w:val="0025018C"/>
  </w:style>
  <w:style w:type="character" w:customStyle="1" w:styleId="spellingerror">
    <w:name w:val="spellingerror"/>
    <w:basedOn w:val="DefaultParagraphFont"/>
    <w:rsid w:val="0025018C"/>
  </w:style>
  <w:style w:type="paragraph" w:styleId="BalloonText">
    <w:name w:val="Balloon Text"/>
    <w:basedOn w:val="Normal"/>
    <w:link w:val="BalloonTextChar"/>
    <w:uiPriority w:val="99"/>
    <w:semiHidden/>
    <w:unhideWhenUsed/>
    <w:rsid w:val="003E4B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BB2"/>
    <w:rPr>
      <w:rFonts w:ascii="Segoe UI" w:eastAsia="Times New Roman" w:hAnsi="Segoe UI" w:cs="Segoe UI"/>
      <w:sz w:val="18"/>
      <w:szCs w:val="18"/>
      <w:lang w:val="en-GB"/>
    </w:rPr>
  </w:style>
  <w:style w:type="table" w:customStyle="1" w:styleId="TableGrid6">
    <w:name w:val="Table Grid6"/>
    <w:basedOn w:val="TableNormal"/>
    <w:next w:val="TableGrid"/>
    <w:uiPriority w:val="39"/>
    <w:rsid w:val="00887E16"/>
    <w:pPr>
      <w:ind w:firstLine="0"/>
    </w:pPr>
    <w:rPr>
      <w:rFonts w:asciiTheme="minorHAnsi" w:hAnsiTheme="minorHAns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887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F64"/>
    <w:rPr>
      <w:color w:val="0563C1" w:themeColor="hyperlink"/>
      <w:u w:val="single"/>
    </w:rPr>
  </w:style>
  <w:style w:type="table" w:customStyle="1" w:styleId="TableGrid61">
    <w:name w:val="Table Grid61"/>
    <w:basedOn w:val="TableNormal"/>
    <w:next w:val="TableGrid"/>
    <w:uiPriority w:val="39"/>
    <w:rsid w:val="00C70304"/>
    <w:pPr>
      <w:ind w:firstLine="0"/>
    </w:pPr>
    <w:rPr>
      <w:rFonts w:ascii="Calibri" w:hAnsi="Calibri"/>
      <w:sz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E0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migijus.andzius@sant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drone.eidukaite@santa.l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2875</Words>
  <Characters>16391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Aleknė</dc:creator>
  <cp:keywords/>
  <dc:description/>
  <cp:lastModifiedBy>Jolita Balandienė</cp:lastModifiedBy>
  <cp:revision>17</cp:revision>
  <cp:lastPrinted>2018-03-27T06:15:00Z</cp:lastPrinted>
  <dcterms:created xsi:type="dcterms:W3CDTF">2024-12-10T14:37:00Z</dcterms:created>
  <dcterms:modified xsi:type="dcterms:W3CDTF">2024-12-11T13:16:00Z</dcterms:modified>
</cp:coreProperties>
</file>