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1A1E"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Informuojame, kad Centrinės viešųjų pirkimų informacinės sistemos priemonėmis buvo gautas (-i) tiekėjo (-ų) prašymas (-ai) paaiškinti ir (ar) patikslinti pirkimo sąlygas. </w:t>
      </w:r>
    </w:p>
    <w:p w14:paraId="629ECF88"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Teikime gautus klausimus (kalba netaisyta) ir atsakymus į juos (žr. pridėtą dokumentą). </w:t>
      </w: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4380"/>
        <w:gridCol w:w="4860"/>
      </w:tblGrid>
      <w:tr w:rsidR="00206E61" w:rsidRPr="00206E61" w14:paraId="1DDFC11D" w14:textId="77777777" w:rsidTr="00945896">
        <w:trPr>
          <w:trHeight w:val="300"/>
        </w:trPr>
        <w:tc>
          <w:tcPr>
            <w:tcW w:w="690" w:type="dxa"/>
            <w:tcBorders>
              <w:top w:val="single" w:sz="6" w:space="0" w:color="auto"/>
              <w:left w:val="single" w:sz="6" w:space="0" w:color="auto"/>
              <w:bottom w:val="single" w:sz="6" w:space="0" w:color="auto"/>
              <w:right w:val="single" w:sz="6" w:space="0" w:color="auto"/>
            </w:tcBorders>
            <w:hideMark/>
          </w:tcPr>
          <w:p w14:paraId="018C7E0F"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Nr.  </w:t>
            </w:r>
          </w:p>
        </w:tc>
        <w:tc>
          <w:tcPr>
            <w:tcW w:w="4380" w:type="dxa"/>
            <w:tcBorders>
              <w:top w:val="single" w:sz="6" w:space="0" w:color="auto"/>
              <w:left w:val="single" w:sz="6" w:space="0" w:color="auto"/>
              <w:bottom w:val="single" w:sz="6" w:space="0" w:color="auto"/>
              <w:right w:val="single" w:sz="6" w:space="0" w:color="auto"/>
            </w:tcBorders>
            <w:hideMark/>
          </w:tcPr>
          <w:p w14:paraId="05CCBD46"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Klausimas  </w:t>
            </w:r>
          </w:p>
        </w:tc>
        <w:tc>
          <w:tcPr>
            <w:tcW w:w="4860" w:type="dxa"/>
            <w:tcBorders>
              <w:top w:val="single" w:sz="6" w:space="0" w:color="auto"/>
              <w:left w:val="single" w:sz="6" w:space="0" w:color="auto"/>
              <w:bottom w:val="single" w:sz="6" w:space="0" w:color="auto"/>
              <w:right w:val="single" w:sz="6" w:space="0" w:color="auto"/>
            </w:tcBorders>
            <w:hideMark/>
          </w:tcPr>
          <w:p w14:paraId="1A85E646"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Atsakymas </w:t>
            </w:r>
          </w:p>
        </w:tc>
      </w:tr>
      <w:tr w:rsidR="00206E61" w:rsidRPr="00206E61" w14:paraId="625B8946" w14:textId="77777777" w:rsidTr="00945896">
        <w:trPr>
          <w:trHeight w:val="300"/>
        </w:trPr>
        <w:tc>
          <w:tcPr>
            <w:tcW w:w="690" w:type="dxa"/>
            <w:tcBorders>
              <w:top w:val="single" w:sz="6" w:space="0" w:color="auto"/>
              <w:left w:val="single" w:sz="6" w:space="0" w:color="auto"/>
              <w:bottom w:val="single" w:sz="6" w:space="0" w:color="auto"/>
              <w:right w:val="single" w:sz="6" w:space="0" w:color="auto"/>
            </w:tcBorders>
            <w:hideMark/>
          </w:tcPr>
          <w:p w14:paraId="7AFDB8E9" w14:textId="4C482D73" w:rsidR="00206E61" w:rsidRPr="00206E61" w:rsidRDefault="00D47FA2" w:rsidP="00206E61">
            <w:pPr>
              <w:rPr>
                <w:rFonts w:ascii="Tahoma" w:hAnsi="Tahoma" w:cs="Tahoma"/>
                <w:sz w:val="22"/>
                <w:szCs w:val="22"/>
                <w:lang w:val="lt-LT"/>
              </w:rPr>
            </w:pPr>
            <w:r>
              <w:rPr>
                <w:rFonts w:ascii="Tahoma" w:hAnsi="Tahoma" w:cs="Tahoma"/>
                <w:sz w:val="22"/>
                <w:szCs w:val="22"/>
                <w:lang w:val="lt-LT"/>
              </w:rPr>
              <w:t>1</w:t>
            </w:r>
            <w:r w:rsidR="00206E61" w:rsidRPr="00206E61">
              <w:rPr>
                <w:rFonts w:ascii="Tahoma" w:hAnsi="Tahoma" w:cs="Tahoma"/>
                <w:sz w:val="22"/>
                <w:szCs w:val="22"/>
                <w:lang w:val="lt-LT"/>
              </w:rPr>
              <w:t>. </w:t>
            </w:r>
          </w:p>
        </w:tc>
        <w:tc>
          <w:tcPr>
            <w:tcW w:w="4380" w:type="dxa"/>
            <w:tcBorders>
              <w:top w:val="single" w:sz="6" w:space="0" w:color="auto"/>
              <w:left w:val="single" w:sz="6" w:space="0" w:color="auto"/>
              <w:bottom w:val="single" w:sz="6" w:space="0" w:color="auto"/>
              <w:right w:val="single" w:sz="6" w:space="0" w:color="auto"/>
            </w:tcBorders>
            <w:hideMark/>
          </w:tcPr>
          <w:p w14:paraId="72ABBF66"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Klausimas dėl įgyvendinimo sąlygų (4.8 punktas): </w:t>
            </w:r>
            <w:r w:rsidRPr="00206E61">
              <w:rPr>
                <w:rFonts w:ascii="Tahoma" w:hAnsi="Tahoma" w:cs="Tahoma"/>
                <w:sz w:val="22"/>
                <w:szCs w:val="22"/>
                <w:lang w:val="lt-LT"/>
              </w:rPr>
              <w:br/>
              <w:t>Ar teisingai suprantame, kad per Paslaugų teikimo tvarkos parengimą (4.3 punktas), atsižvelgdami į konkurso sąlygų 4.8 punkte nustatytus reikalavimus dėl reakcijos ir sutrikimų pašalinimo terminų, bus suderintas pastovus mėnesinis apmokėjimas už paslaugos parengtį, kuris leistų tiekėjui užtikrinti specialistų nuolatinį pasirengimą greitam reagavimui ir sutrikimų šalinimui pagal nurodytus terminus? </w:t>
            </w:r>
            <w:r w:rsidRPr="00206E61">
              <w:rPr>
                <w:rFonts w:ascii="Tahoma" w:hAnsi="Tahoma" w:cs="Tahoma"/>
                <w:sz w:val="22"/>
                <w:szCs w:val="22"/>
                <w:lang w:val="lt-LT"/>
              </w:rPr>
              <w:br/>
              <w:t> </w:t>
            </w:r>
            <w:r w:rsidRPr="00206E61">
              <w:rPr>
                <w:rFonts w:ascii="Tahoma" w:hAnsi="Tahoma" w:cs="Tahoma"/>
                <w:sz w:val="22"/>
                <w:szCs w:val="22"/>
                <w:lang w:val="lt-LT"/>
              </w:rPr>
              <w:br/>
              <w:t>Paaiškinimas - pagal pateiktus reikalavimus dėl reakcijos ir sutrikimų pašalinimo terminus tiekėjas turi realiai užtikrinti personalo prieinamumą labai trumpais reakcijos laikais, o tai praktiškai įmanoma tik turint nuolatinius, apmokamus budinčius išteklius. Nesant pastovaus apmokėjimo už paslaugos parengtį, tiekėjas negali planuoti ir palaikyti reikiamų žmogiškųjų resursų tokiems reikalavimams įvykdyti, kadangi tai būtų ekonomiškai nepagrįstas reikalavimas. </w:t>
            </w:r>
          </w:p>
        </w:tc>
        <w:tc>
          <w:tcPr>
            <w:tcW w:w="4860" w:type="dxa"/>
            <w:tcBorders>
              <w:top w:val="single" w:sz="6" w:space="0" w:color="auto"/>
              <w:left w:val="single" w:sz="6" w:space="0" w:color="auto"/>
              <w:bottom w:val="single" w:sz="6" w:space="0" w:color="auto"/>
              <w:right w:val="single" w:sz="6" w:space="0" w:color="auto"/>
            </w:tcBorders>
            <w:hideMark/>
          </w:tcPr>
          <w:p w14:paraId="41DA9687"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 xml:space="preserve">Pagal techninės specifikacijos 4.3 punktą tiekėjas per 1 mėnesį nuo sutarties įsigaliojimo dienos parengia ir su Perkančiąja organizacija suderina </w:t>
            </w:r>
            <w:r w:rsidRPr="00206E61">
              <w:rPr>
                <w:rFonts w:ascii="Tahoma" w:hAnsi="Tahoma" w:cs="Tahoma"/>
                <w:b/>
                <w:bCs/>
                <w:sz w:val="22"/>
                <w:szCs w:val="22"/>
                <w:lang w:val="lt-LT"/>
              </w:rPr>
              <w:t>Paslaugų teikimo tvarką</w:t>
            </w:r>
            <w:r w:rsidRPr="00206E61">
              <w:rPr>
                <w:rFonts w:ascii="Tahoma" w:hAnsi="Tahoma" w:cs="Tahoma"/>
                <w:sz w:val="22"/>
                <w:szCs w:val="22"/>
                <w:lang w:val="lt-LT"/>
              </w:rPr>
              <w:t xml:space="preserve">, kurioje, be kita ko, turi būti aprašyta ir </w:t>
            </w:r>
            <w:r w:rsidRPr="00206E61">
              <w:rPr>
                <w:rFonts w:ascii="Tahoma" w:hAnsi="Tahoma" w:cs="Tahoma"/>
                <w:b/>
                <w:bCs/>
                <w:sz w:val="22"/>
                <w:szCs w:val="22"/>
                <w:lang w:val="lt-LT"/>
              </w:rPr>
              <w:t>problemų sprendimo tvarka</w:t>
            </w:r>
            <w:r w:rsidRPr="00206E61">
              <w:rPr>
                <w:rFonts w:ascii="Tahoma" w:hAnsi="Tahoma" w:cs="Tahoma"/>
                <w:sz w:val="22"/>
                <w:szCs w:val="22"/>
                <w:lang w:val="lt-LT"/>
              </w:rPr>
              <w:t>, įskaitant reakcijos ir sutrikimų šalinimo terminų užtikrinimą, kaip nustatyta 4.8 punkte. </w:t>
            </w:r>
          </w:p>
          <w:p w14:paraId="79CD973A" w14:textId="77777777"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Tačiau pažymime, kad: </w:t>
            </w:r>
          </w:p>
          <w:p w14:paraId="5F2F7245" w14:textId="77777777" w:rsidR="00206E61" w:rsidRPr="00206E61" w:rsidRDefault="00206E61" w:rsidP="00206E61">
            <w:pPr>
              <w:numPr>
                <w:ilvl w:val="0"/>
                <w:numId w:val="1"/>
              </w:numPr>
              <w:rPr>
                <w:rFonts w:ascii="Tahoma" w:hAnsi="Tahoma" w:cs="Tahoma"/>
                <w:sz w:val="22"/>
                <w:szCs w:val="22"/>
                <w:lang w:val="lt-LT"/>
              </w:rPr>
            </w:pPr>
            <w:r w:rsidRPr="00206E61">
              <w:rPr>
                <w:rFonts w:ascii="Tahoma" w:hAnsi="Tahoma" w:cs="Tahoma"/>
                <w:b/>
                <w:bCs/>
                <w:sz w:val="22"/>
                <w:szCs w:val="22"/>
                <w:lang w:val="lt-LT"/>
              </w:rPr>
              <w:t>Atsiskaitymas su tiekėju vykdomas pagal faktiškai suteiktų paslaugų darbo valandų skaičių</w:t>
            </w:r>
            <w:r w:rsidRPr="00206E61">
              <w:rPr>
                <w:rFonts w:ascii="Tahoma" w:hAnsi="Tahoma" w:cs="Tahoma"/>
                <w:sz w:val="22"/>
                <w:szCs w:val="22"/>
                <w:lang w:val="lt-LT"/>
              </w:rPr>
              <w:t>, remiantis tiekėjo pasiūlyme nurodytu valandiniu įkainiu. </w:t>
            </w:r>
          </w:p>
          <w:p w14:paraId="3A3FB7FA" w14:textId="77777777" w:rsidR="00206E61" w:rsidRPr="00206E61" w:rsidRDefault="00206E61" w:rsidP="00206E61">
            <w:pPr>
              <w:numPr>
                <w:ilvl w:val="0"/>
                <w:numId w:val="2"/>
              </w:numPr>
              <w:rPr>
                <w:rFonts w:ascii="Tahoma" w:hAnsi="Tahoma" w:cs="Tahoma"/>
                <w:sz w:val="22"/>
                <w:szCs w:val="22"/>
                <w:lang w:val="lt-LT"/>
              </w:rPr>
            </w:pPr>
            <w:r w:rsidRPr="00206E61">
              <w:rPr>
                <w:rFonts w:ascii="Tahoma" w:hAnsi="Tahoma" w:cs="Tahoma"/>
                <w:b/>
                <w:bCs/>
                <w:sz w:val="22"/>
                <w:szCs w:val="22"/>
                <w:lang w:val="lt-LT"/>
              </w:rPr>
              <w:t>Pastovaus mėnesinio apmokėjimo už paslaugos parengtį (palaikymo paslaugos)</w:t>
            </w:r>
            <w:r w:rsidRPr="00206E61">
              <w:rPr>
                <w:rFonts w:ascii="Tahoma" w:hAnsi="Tahoma" w:cs="Tahoma"/>
                <w:sz w:val="22"/>
                <w:szCs w:val="22"/>
                <w:lang w:val="lt-LT"/>
              </w:rPr>
              <w:t xml:space="preserve"> šiame pirkime perkančioji organizacija nenusimačiusi. </w:t>
            </w:r>
          </w:p>
          <w:p w14:paraId="3981D5C6" w14:textId="77777777" w:rsidR="00206E61" w:rsidRPr="00206E61" w:rsidRDefault="00206E61" w:rsidP="00206E61">
            <w:pPr>
              <w:numPr>
                <w:ilvl w:val="0"/>
                <w:numId w:val="3"/>
              </w:numPr>
              <w:rPr>
                <w:rFonts w:ascii="Tahoma" w:hAnsi="Tahoma" w:cs="Tahoma"/>
                <w:sz w:val="22"/>
                <w:szCs w:val="22"/>
                <w:lang w:val="lt-LT"/>
              </w:rPr>
            </w:pPr>
            <w:r w:rsidRPr="00206E61">
              <w:rPr>
                <w:rFonts w:ascii="Tahoma" w:hAnsi="Tahoma" w:cs="Tahoma"/>
                <w:sz w:val="22"/>
                <w:szCs w:val="22"/>
                <w:lang w:val="lt-LT"/>
              </w:rPr>
              <w:t>Tiekėjas, teikdamas pasiūlymą, turi įsivertinti visus su paslaugų teikimu susijusius kaštus, įskaitant ir tuos, kurie būtini siekiant užtikrinti reikalavimus dėl reakcijos ir sutrikimų šalinimo terminų. </w:t>
            </w:r>
          </w:p>
          <w:p w14:paraId="375210CE" w14:textId="5D79D40A" w:rsidR="00206E61" w:rsidRPr="00206E61" w:rsidRDefault="00206E61" w:rsidP="00206E61">
            <w:pPr>
              <w:rPr>
                <w:rFonts w:ascii="Tahoma" w:hAnsi="Tahoma" w:cs="Tahoma"/>
                <w:sz w:val="22"/>
                <w:szCs w:val="22"/>
                <w:lang w:val="lt-LT"/>
              </w:rPr>
            </w:pPr>
            <w:r w:rsidRPr="00206E61">
              <w:rPr>
                <w:rFonts w:ascii="Tahoma" w:hAnsi="Tahoma" w:cs="Tahoma"/>
                <w:sz w:val="22"/>
                <w:szCs w:val="22"/>
                <w:lang w:val="lt-LT"/>
              </w:rPr>
              <w:t>Atsižvelgiant į tai, tiekėjas turi teisę savo pasiūlyme įskaičiuoti visus kaštus, susijusius su paslaugos teikimo organizavimu, į valandinį įkainį, kuris bus taikomas atsiskaitant už faktiškai suteiktas paslaugas. </w:t>
            </w:r>
          </w:p>
        </w:tc>
      </w:tr>
    </w:tbl>
    <w:p w14:paraId="4BAF92AE" w14:textId="0E363A9E" w:rsidR="00D74B62" w:rsidRDefault="00D74B62">
      <w:pPr>
        <w:rPr>
          <w:rFonts w:ascii="Tahoma" w:hAnsi="Tahoma" w:cs="Tahoma"/>
          <w:sz w:val="22"/>
          <w:szCs w:val="22"/>
          <w:lang w:val="lt-LT"/>
        </w:rPr>
      </w:pPr>
    </w:p>
    <w:p w14:paraId="1902B93C" w14:textId="273F4035" w:rsidR="00940D65" w:rsidRPr="005914E1" w:rsidRDefault="00776F5C" w:rsidP="005914E1">
      <w:pPr>
        <w:jc w:val="both"/>
        <w:rPr>
          <w:rFonts w:ascii="Tahoma" w:hAnsi="Tahoma" w:cs="Tahoma"/>
          <w:b/>
          <w:bCs/>
          <w:sz w:val="22"/>
          <w:szCs w:val="22"/>
          <w:lang w:val="lt-LT"/>
        </w:rPr>
      </w:pPr>
      <w:r w:rsidRPr="005914E1">
        <w:rPr>
          <w:rFonts w:ascii="Tahoma" w:hAnsi="Tahoma" w:cs="Tahoma"/>
          <w:sz w:val="22"/>
          <w:szCs w:val="22"/>
          <w:lang w:val="lt-LT"/>
        </w:rPr>
        <w:t>Taip pat informuojame, kad pasiūlymų pateikimo terminas pratęsiamas iki</w:t>
      </w:r>
      <w:r w:rsidRPr="005914E1">
        <w:rPr>
          <w:rFonts w:ascii="Tahoma" w:hAnsi="Tahoma" w:cs="Tahoma"/>
          <w:b/>
          <w:bCs/>
          <w:sz w:val="22"/>
          <w:szCs w:val="22"/>
          <w:lang w:val="lt-LT"/>
        </w:rPr>
        <w:t xml:space="preserve"> 2025-10-21</w:t>
      </w:r>
      <w:r w:rsidR="005914E1" w:rsidRPr="005914E1">
        <w:rPr>
          <w:rFonts w:ascii="Tahoma" w:hAnsi="Tahoma" w:cs="Tahoma"/>
          <w:b/>
          <w:bCs/>
          <w:sz w:val="22"/>
          <w:szCs w:val="22"/>
          <w:lang w:val="lt-LT"/>
        </w:rPr>
        <w:t>, 13.00 val.</w:t>
      </w:r>
    </w:p>
    <w:sectPr w:rsidR="00940D65" w:rsidRPr="005914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79FF"/>
    <w:multiLevelType w:val="multilevel"/>
    <w:tmpl w:val="065A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308AF"/>
    <w:multiLevelType w:val="multilevel"/>
    <w:tmpl w:val="BFF4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9A5B4E"/>
    <w:multiLevelType w:val="multilevel"/>
    <w:tmpl w:val="FA10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004869">
    <w:abstractNumId w:val="0"/>
  </w:num>
  <w:num w:numId="2" w16cid:durableId="1998487011">
    <w:abstractNumId w:val="2"/>
  </w:num>
  <w:num w:numId="3" w16cid:durableId="28443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61"/>
    <w:rsid w:val="00076202"/>
    <w:rsid w:val="00206E61"/>
    <w:rsid w:val="00504B63"/>
    <w:rsid w:val="005914E1"/>
    <w:rsid w:val="006E6D4B"/>
    <w:rsid w:val="00776F5C"/>
    <w:rsid w:val="00940D65"/>
    <w:rsid w:val="00945896"/>
    <w:rsid w:val="00D47FA2"/>
    <w:rsid w:val="00D7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B393"/>
  <w15:chartTrackingRefBased/>
  <w15:docId w15:val="{7155F24B-6156-40EA-84C2-42629CB1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E61"/>
    <w:rPr>
      <w:rFonts w:eastAsiaTheme="majorEastAsia" w:cstheme="majorBidi"/>
      <w:color w:val="272727" w:themeColor="text1" w:themeTint="D8"/>
    </w:rPr>
  </w:style>
  <w:style w:type="paragraph" w:styleId="Title">
    <w:name w:val="Title"/>
    <w:basedOn w:val="Normal"/>
    <w:next w:val="Normal"/>
    <w:link w:val="TitleChar"/>
    <w:uiPriority w:val="10"/>
    <w:qFormat/>
    <w:rsid w:val="00206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E61"/>
    <w:pPr>
      <w:spacing w:before="160"/>
      <w:jc w:val="center"/>
    </w:pPr>
    <w:rPr>
      <w:i/>
      <w:iCs/>
      <w:color w:val="404040" w:themeColor="text1" w:themeTint="BF"/>
    </w:rPr>
  </w:style>
  <w:style w:type="character" w:customStyle="1" w:styleId="QuoteChar">
    <w:name w:val="Quote Char"/>
    <w:basedOn w:val="DefaultParagraphFont"/>
    <w:link w:val="Quote"/>
    <w:uiPriority w:val="29"/>
    <w:rsid w:val="00206E61"/>
    <w:rPr>
      <w:i/>
      <w:iCs/>
      <w:color w:val="404040" w:themeColor="text1" w:themeTint="BF"/>
    </w:rPr>
  </w:style>
  <w:style w:type="paragraph" w:styleId="ListParagraph">
    <w:name w:val="List Paragraph"/>
    <w:basedOn w:val="Normal"/>
    <w:uiPriority w:val="34"/>
    <w:qFormat/>
    <w:rsid w:val="00206E61"/>
    <w:pPr>
      <w:ind w:left="720"/>
      <w:contextualSpacing/>
    </w:pPr>
  </w:style>
  <w:style w:type="character" w:styleId="IntenseEmphasis">
    <w:name w:val="Intense Emphasis"/>
    <w:basedOn w:val="DefaultParagraphFont"/>
    <w:uiPriority w:val="21"/>
    <w:qFormat/>
    <w:rsid w:val="00206E61"/>
    <w:rPr>
      <w:i/>
      <w:iCs/>
      <w:color w:val="0F4761" w:themeColor="accent1" w:themeShade="BF"/>
    </w:rPr>
  </w:style>
  <w:style w:type="paragraph" w:styleId="IntenseQuote">
    <w:name w:val="Intense Quote"/>
    <w:basedOn w:val="Normal"/>
    <w:next w:val="Normal"/>
    <w:link w:val="IntenseQuoteChar"/>
    <w:uiPriority w:val="30"/>
    <w:qFormat/>
    <w:rsid w:val="00206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E61"/>
    <w:rPr>
      <w:i/>
      <w:iCs/>
      <w:color w:val="0F4761" w:themeColor="accent1" w:themeShade="BF"/>
    </w:rPr>
  </w:style>
  <w:style w:type="character" w:styleId="IntenseReference">
    <w:name w:val="Intense Reference"/>
    <w:basedOn w:val="DefaultParagraphFont"/>
    <w:uiPriority w:val="32"/>
    <w:qFormat/>
    <w:rsid w:val="00206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1506</Words>
  <Characters>859</Characters>
  <Application>Microsoft Office Word</Application>
  <DocSecurity>0</DocSecurity>
  <Lines>7</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Robertas Ignatjevas</cp:lastModifiedBy>
  <cp:revision>6</cp:revision>
  <dcterms:created xsi:type="dcterms:W3CDTF">2025-10-13T10:36:00Z</dcterms:created>
  <dcterms:modified xsi:type="dcterms:W3CDTF">2025-10-13T10:40:00Z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2025-10-13T10:36:44Z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7d0c2e9d-b962-4240-bfaf-bdf5fb3116dc</vt:lpwstr>
  </property>
  <property fmtid="{D5CDD505-2E9C-101B-9397-08002B2CF9AE}" pid="7" name="MSIP_Label_defa4170-0d19-0005-0004-bc88714345d2_ActionId">
    <vt:lpwstr>2e13f625-2c3b-49e1-95be-d7b37e2283d0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