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FDA66D" w14:textId="31C7A05F" w:rsidR="00B66E68" w:rsidRDefault="00544FCE" w:rsidP="00544FCE">
      <w:pPr>
        <w:pStyle w:val="ListParagraph"/>
        <w:ind w:left="426" w:firstLine="6520"/>
        <w:jc w:val="right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Apklausos sąlygų 2 priedas</w:t>
      </w:r>
    </w:p>
    <w:p w14:paraId="0E05C85D" w14:textId="77777777" w:rsidR="00544FCE" w:rsidRPr="00AE0A2A" w:rsidRDefault="00544FCE" w:rsidP="00B66E68">
      <w:pPr>
        <w:pStyle w:val="ListParagraph"/>
        <w:ind w:left="426" w:firstLine="65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37E67F16" w14:textId="1EF785B9" w:rsidR="00964B5A" w:rsidRPr="00AE0A2A" w:rsidRDefault="000B3E0A" w:rsidP="00964B5A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E0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KLAIPĖDOS JŪROS STEBĖJIMO POSTO</w:t>
      </w:r>
    </w:p>
    <w:p w14:paraId="139F2ABB" w14:textId="3B06FD97" w:rsidR="00B5740A" w:rsidRPr="00AE0A2A" w:rsidRDefault="00B5740A" w:rsidP="00B5740A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E0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TERITORIJOS LAUKO ĮRANGOS ELEKTROS TINKLO PRAPLĖTIMO PASLAUGOS</w:t>
      </w:r>
    </w:p>
    <w:p w14:paraId="777EB5D9" w14:textId="53133D45" w:rsidR="00504757" w:rsidRPr="00AE0A2A" w:rsidRDefault="00C00C8B" w:rsidP="003E76E0">
      <w:pPr>
        <w:pStyle w:val="ListParagraph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</w:pPr>
      <w:r w:rsidRPr="00AE0A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/>
        </w:rPr>
        <w:t>TECHNINĖ SPECIFIKACIJA</w:t>
      </w:r>
    </w:p>
    <w:p w14:paraId="6B8C133F" w14:textId="77777777" w:rsidR="00B66E68" w:rsidRPr="00AE0A2A" w:rsidRDefault="00B66E68" w:rsidP="0091030F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77CB4940" w14:textId="11A13857" w:rsidR="00B66E68" w:rsidRPr="00AE0A2A" w:rsidRDefault="00B66E68" w:rsidP="00B66E6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Objekto adresas:</w:t>
      </w:r>
      <w:r w:rsidR="00A24B2D"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Vėtros g. 3a, Klaipėda, Klaipėdos JSP </w:t>
      </w:r>
      <w:r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(toliau</w:t>
      </w:r>
      <w:r w:rsidR="004A0D84"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tekste</w:t>
      </w:r>
      <w:r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– </w:t>
      </w:r>
      <w:r w:rsidR="00545B8C"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O</w:t>
      </w:r>
      <w:r w:rsidRPr="00AE0A2A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bjektas).</w:t>
      </w:r>
    </w:p>
    <w:p w14:paraId="07598B8A" w14:textId="666D49EB" w:rsidR="00E74862" w:rsidRPr="00AE0A2A" w:rsidRDefault="00E74862" w:rsidP="00B66E68">
      <w:pPr>
        <w:widowControl w:val="0"/>
        <w:suppressAutoHyphens/>
        <w:spacing w:after="0" w:line="276" w:lineRule="auto"/>
        <w:jc w:val="both"/>
        <w:rPr>
          <w:rFonts w:ascii="Times New Roman" w:hAnsi="Times New Roman" w:cs="Times New Roman"/>
          <w:bCs/>
          <w:caps/>
          <w:color w:val="000000" w:themeColor="text1"/>
          <w:sz w:val="24"/>
          <w:szCs w:val="24"/>
          <w:u w:val="single"/>
          <w:lang w:val="lt-LT"/>
        </w:rPr>
      </w:pPr>
      <w:r w:rsidRPr="00AE0A2A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lt-LT"/>
        </w:rPr>
        <w:t xml:space="preserve">Siektinas tikslas: </w:t>
      </w:r>
      <w:r w:rsidR="00707002" w:rsidRPr="00707002">
        <w:rPr>
          <w:rFonts w:ascii="Times New Roman" w:hAnsi="Times New Roman" w:cs="Times New Roman"/>
          <w:bCs/>
          <w:color w:val="000000" w:themeColor="text1"/>
          <w:sz w:val="24"/>
          <w:szCs w:val="24"/>
          <w:u w:val="single"/>
          <w:lang w:val="lt-LT"/>
        </w:rPr>
        <w:t>Prie elektros maitinimo tinklo prijungti konteinerių miestelį ir kitą lauko įrangą.</w:t>
      </w:r>
    </w:p>
    <w:tbl>
      <w:tblPr>
        <w:tblStyle w:val="TableGrid"/>
        <w:tblW w:w="10081" w:type="dxa"/>
        <w:tblInd w:w="-431" w:type="dxa"/>
        <w:tblLook w:val="04A0" w:firstRow="1" w:lastRow="0" w:firstColumn="1" w:lastColumn="0" w:noHBand="0" w:noVBand="1"/>
      </w:tblPr>
      <w:tblGrid>
        <w:gridCol w:w="710"/>
        <w:gridCol w:w="8221"/>
        <w:gridCol w:w="1150"/>
      </w:tblGrid>
      <w:tr w:rsidR="0042690A" w:rsidRPr="00AE0A2A" w14:paraId="5AC4CE65" w14:textId="77777777" w:rsidTr="00544FCE">
        <w:tc>
          <w:tcPr>
            <w:tcW w:w="710" w:type="dxa"/>
            <w:vAlign w:val="center"/>
          </w:tcPr>
          <w:p w14:paraId="53906B87" w14:textId="77777777" w:rsidR="00ED03B2" w:rsidRPr="00AE0A2A" w:rsidRDefault="00B66E68" w:rsidP="00DA0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Eil. </w:t>
            </w:r>
          </w:p>
          <w:p w14:paraId="663BAB86" w14:textId="18FD96D7" w:rsidR="00B66E68" w:rsidRPr="00AE0A2A" w:rsidRDefault="00B66E68" w:rsidP="00DA0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Nr.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1A302DAA" w14:textId="77777777" w:rsidR="00B66E68" w:rsidRPr="00AE0A2A" w:rsidRDefault="00B66E68" w:rsidP="00DA0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Reikalavimai</w:t>
            </w:r>
          </w:p>
        </w:tc>
        <w:tc>
          <w:tcPr>
            <w:tcW w:w="1150" w:type="dxa"/>
            <w:vAlign w:val="center"/>
          </w:tcPr>
          <w:p w14:paraId="4554A182" w14:textId="77777777" w:rsidR="00B66E68" w:rsidRPr="00AE0A2A" w:rsidRDefault="00B66E68" w:rsidP="00DA08BF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Pastabos</w:t>
            </w:r>
          </w:p>
        </w:tc>
      </w:tr>
      <w:tr w:rsidR="0042690A" w:rsidRPr="00AE0A2A" w14:paraId="6D4BA220" w14:textId="77777777" w:rsidTr="00544FCE">
        <w:tc>
          <w:tcPr>
            <w:tcW w:w="710" w:type="dxa"/>
            <w:vAlign w:val="center"/>
          </w:tcPr>
          <w:p w14:paraId="001EE659" w14:textId="77777777" w:rsidR="00A45D9B" w:rsidRPr="00AE0A2A" w:rsidRDefault="00A45D9B" w:rsidP="009C4B88">
            <w:pPr>
              <w:pStyle w:val="ListParagraph"/>
              <w:numPr>
                <w:ilvl w:val="0"/>
                <w:numId w:val="1"/>
              </w:numPr>
              <w:tabs>
                <w:tab w:val="left" w:pos="741"/>
              </w:tabs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154931C9" w14:textId="75A783A5" w:rsidR="00A45D9B" w:rsidRPr="00AE0A2A" w:rsidRDefault="00A45D9B" w:rsidP="002339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Paslaugos teikėjas, prieš teikdamas pasiūlymą, turi įvertinti 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O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bjekto infrastruktūros ypatumus dėl teritorijoje esamų įvairios paskirties komunikacijų, statinių ir kitų darinių.</w:t>
            </w:r>
          </w:p>
          <w:p w14:paraId="3C779376" w14:textId="33F776EC" w:rsidR="00A45D9B" w:rsidRPr="00AE0A2A" w:rsidRDefault="00A45D9B" w:rsidP="00707002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Siekiant įgyvendinti tikslus paslaugos teikėjas privalo vadovautis elektros įrenginių įrengimo taisyklėmis (toliau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tekste </w:t>
            </w:r>
            <w:r w:rsidR="00545B8C" w:rsidRPr="00AE0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EĮĮT)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150" w:type="dxa"/>
            <w:vAlign w:val="center"/>
          </w:tcPr>
          <w:p w14:paraId="5260F95F" w14:textId="77777777" w:rsidR="00A45D9B" w:rsidRPr="00AE0A2A" w:rsidRDefault="00A45D9B" w:rsidP="00A45D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30A69308" w14:textId="77777777" w:rsidTr="00544FCE">
        <w:tc>
          <w:tcPr>
            <w:tcW w:w="710" w:type="dxa"/>
            <w:vAlign w:val="center"/>
          </w:tcPr>
          <w:p w14:paraId="55DB5201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5F644048" w14:textId="77777777" w:rsidR="006B66FD" w:rsidRPr="00AE0A2A" w:rsidRDefault="00A24B2D" w:rsidP="0023399A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Objekto teritorijoje (žr. priedą Nr.1)</w:t>
            </w:r>
            <w:r w:rsidR="006B66F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:</w:t>
            </w:r>
          </w:p>
          <w:p w14:paraId="2B0A8335" w14:textId="3190357D" w:rsidR="006B66FD" w:rsidRPr="00AE0A2A" w:rsidRDefault="00334590" w:rsidP="00E26553">
            <w:pPr>
              <w:pStyle w:val="ListParagraph"/>
              <w:numPr>
                <w:ilvl w:val="1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Pakloti kabelių linij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ą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(toliau tekste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545B8C" w:rsidRPr="00AE0A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–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KL)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, panaudojant </w:t>
            </w:r>
            <w:r w:rsidR="005E3669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užsakovo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turimą „AXMK 1x300 RM“ kabelį.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KL naudojama lauko 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į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rangos paskirstymo skydų pri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jungimui.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L kabelius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kloti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39625E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betranšėju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ar tranšėjiniu </w:t>
            </w:r>
            <w:r w:rsidR="0039625E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būdu ne mažesniame kaip 0,7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m</w:t>
            </w:r>
            <w:r w:rsidR="0039625E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gylyje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ir ≈3m nuo tvoros, o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tvoros kampuose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daryti atitinkamą KL lenkimą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siekiant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išvengti kabelio pažeidimų ir apsaugoti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terotorijoje augančių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medžių šaknyną.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Šiaurės vakarinėje dalyje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KL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maksimaliai 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priartinti prie tvoros</w:t>
            </w:r>
            <w:r w:rsidR="0039625E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. Susikirtimuose</w:t>
            </w:r>
            <w:r w:rsidR="008C5B9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su keliais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/gatvėmis ar esamais ar projektruojamais įvažiavimais į 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O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bjekto teritoriją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KL įrengti </w:t>
            </w:r>
            <w:r w:rsidR="0061651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nemažesniame nei 1,2 m gylyje. Dėl teritorijoje 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augančių</w:t>
            </w:r>
            <w:r w:rsidR="0061651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medžių ir įvairios pa</w:t>
            </w:r>
            <w:r w:rsid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skirties komunikacijų visus žemė</w:t>
            </w:r>
            <w:r w:rsidR="0061651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s kasimo darbus vykdyti </w:t>
            </w:r>
            <w:r w:rsidR="0042690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y</w:t>
            </w:r>
            <w:r w:rsidR="007D6D02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patingai atsargiai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,</w:t>
            </w:r>
            <w:r w:rsidR="0061651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išsaugant medžių pagrindinį šaknyną ir esamas komunikacijas.</w:t>
            </w:r>
            <w:r w:rsidR="003E2AC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</w:t>
            </w:r>
            <w:r w:rsidR="0089487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L kabelius 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pri</w:t>
            </w:r>
            <w:r w:rsidR="003E2AC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jungti iš </w:t>
            </w:r>
            <w:r w:rsidR="0004421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esamo dyzelinio generatoriaus jėgos paskirstymo skydo panaudojant pramoninius </w:t>
            </w:r>
            <w:r w:rsidR="008A7C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susukamus </w:t>
            </w:r>
            <w:r w:rsidR="0004421B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kištukus </w:t>
            </w:r>
            <w:r w:rsidR="008A7C79" w:rsidRPr="008A7C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5x125A (3P+N+PE) 6h IP67</w:t>
            </w:r>
            <w:r w:rsidR="008A7C79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.</w:t>
            </w:r>
          </w:p>
          <w:p w14:paraId="007B0AB6" w14:textId="11105FF7" w:rsidR="0061651A" w:rsidRPr="00AE0A2A" w:rsidRDefault="0061651A" w:rsidP="00E26553">
            <w:pPr>
              <w:pStyle w:val="ListParagraph"/>
              <w:numPr>
                <w:ilvl w:val="1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Objekto teritorijoje įrengti du, lauko įrangai p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ri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jungti skirtus, paskirstymo 0,4</w:t>
            </w:r>
            <w:r w:rsidR="00545B8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kV po 75 k</w:t>
            </w:r>
            <w:r w:rsidR="00635228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W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skydus (toliau tekste ir priede</w:t>
            </w:r>
            <w:r w:rsidR="00635228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Nr.1 žymimi LĮPS-</w:t>
            </w:r>
            <w:r w:rsidR="003E2AC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1</w:t>
            </w:r>
            <w:r w:rsidR="00635228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ir LĮPS-2). </w:t>
            </w:r>
            <w:r w:rsidR="00B73F05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kiekvienas jų atskirai p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ri</w:t>
            </w:r>
            <w:r w:rsidR="00B73F05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jungtas iš rengiamos elektros galios skirstyklos atskirų 100 kW atšakų ir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turi būti:</w:t>
            </w:r>
          </w:p>
          <w:p w14:paraId="2B72DE30" w14:textId="435F4688" w:rsidR="00635228" w:rsidRPr="00AE0A2A" w:rsidRDefault="00635228" w:rsidP="00E26553">
            <w:pPr>
              <w:pStyle w:val="ListParagraph"/>
              <w:numPr>
                <w:ilvl w:val="2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pagaminti iš korozijai ir erozijai atsparios medžiagos (pvz. nerūdijantis plienas ar specialus pakietintas plastikas ir t.t.);</w:t>
            </w:r>
          </w:p>
          <w:p w14:paraId="74E1A773" w14:textId="206255F2" w:rsidR="00635228" w:rsidRPr="00AE0A2A" w:rsidRDefault="00635228" w:rsidP="00E26553">
            <w:pPr>
              <w:pStyle w:val="ListParagraph"/>
              <w:numPr>
                <w:ilvl w:val="2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pritaikyti eksploatuoti lauko sąlygomis, apsaugos klasė ne žemesnė IP</w:t>
            </w:r>
            <w:r w:rsidR="00D109F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44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,  įžeminti pagal EĮĮT reikalavimus;</w:t>
            </w:r>
          </w:p>
          <w:p w14:paraId="0C4E5B9F" w14:textId="0CE66064" w:rsidR="003E2AC3" w:rsidRPr="00AE0A2A" w:rsidRDefault="003E2AC3" w:rsidP="00E26553">
            <w:pPr>
              <w:pStyle w:val="ListParagraph"/>
              <w:numPr>
                <w:ilvl w:val="2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su išorėje įrengtais kišt</w:t>
            </w:r>
            <w:r w:rsidR="00BD0CA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ukiniais lizdais (po 10 vnt.),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apsaugotais nuo tiesioginio atmosferinio poveikio. Kiekvienas lizdas turi turėti automatinę </w:t>
            </w:r>
            <w:r w:rsidR="00362C9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C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32</w:t>
            </w:r>
            <w:r w:rsidR="00362C9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A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apsaugą nuo perkrovos ir atskirą 30 mA srovės skirtuminę apsaugą. Kištukiniai lizdai turi būti:</w:t>
            </w:r>
          </w:p>
          <w:p w14:paraId="351D9DCE" w14:textId="1FAB8693" w:rsidR="003E2AC3" w:rsidRPr="00AE0A2A" w:rsidRDefault="00E26553" w:rsidP="00E26553">
            <w:pPr>
              <w:pStyle w:val="ListParagraph"/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- </w:t>
            </w:r>
            <w:r w:rsidR="003E2AC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skirti 0,4 kV įtampai;</w:t>
            </w:r>
          </w:p>
          <w:p w14:paraId="5A9C06BE" w14:textId="35A0167F" w:rsidR="003E2AC3" w:rsidRPr="00AE0A2A" w:rsidRDefault="003E2AC3" w:rsidP="00E26553">
            <w:pPr>
              <w:pStyle w:val="ListParagraph"/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- penkių kontaktinių jungčių 5P (3P+N+E);</w:t>
            </w:r>
          </w:p>
          <w:p w14:paraId="2EBB7C25" w14:textId="77777777" w:rsidR="003E2AC3" w:rsidRPr="00AE0A2A" w:rsidRDefault="003E2AC3" w:rsidP="00E26553">
            <w:pPr>
              <w:pStyle w:val="ListParagraph"/>
              <w:tabs>
                <w:tab w:val="left" w:pos="745"/>
              </w:tabs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-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ab/>
              <w:t>apsaugos klasė IP44 arba aukštesnė;</w:t>
            </w:r>
          </w:p>
          <w:p w14:paraId="6996581A" w14:textId="7D0CA348" w:rsidR="003E2AC3" w:rsidRPr="00AE0A2A" w:rsidRDefault="003E2AC3" w:rsidP="00E26553">
            <w:pPr>
              <w:pStyle w:val="ListParagraph"/>
              <w:tabs>
                <w:tab w:val="left" w:pos="745"/>
              </w:tabs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-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ab/>
              <w:t xml:space="preserve">vardinė srovė </w:t>
            </w:r>
            <w:r w:rsidR="00362C9D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32</w:t>
            </w:r>
            <w:r w:rsidR="00362C9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;</w:t>
            </w:r>
          </w:p>
          <w:p w14:paraId="20C8247E" w14:textId="3D483E84" w:rsidR="003E2AC3" w:rsidRPr="00AE0A2A" w:rsidRDefault="003E2AC3" w:rsidP="00E26553">
            <w:pPr>
              <w:pStyle w:val="ListParagraph"/>
              <w:tabs>
                <w:tab w:val="left" w:pos="745"/>
              </w:tabs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-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ab/>
              <w:t>cokolio raktas 6h;</w:t>
            </w:r>
          </w:p>
          <w:p w14:paraId="59E5E613" w14:textId="10712124" w:rsidR="00635228" w:rsidRPr="00AE0A2A" w:rsidRDefault="002E4B5D" w:rsidP="00E26553">
            <w:pPr>
              <w:pStyle w:val="ListParagraph"/>
              <w:numPr>
                <w:ilvl w:val="1"/>
                <w:numId w:val="1"/>
              </w:numPr>
              <w:ind w:left="37" w:firstLine="425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objekto teritorijoje ant </w:t>
            </w:r>
            <w:r w:rsidR="009B439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„</w:t>
            </w:r>
            <w:r w:rsidR="00E24F32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</w:t>
            </w:r>
            <w:r w:rsidR="009B4393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“</w:t>
            </w:r>
            <w:r w:rsidR="00E24F32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korpuso sienos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įrengti </w:t>
            </w:r>
            <w:r w:rsidR="00B73F05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0,4kV, 30 kW 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s</w:t>
            </w:r>
            <w:r w:rsidR="00BD0CA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kydą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„LĮPS-3“ atitinkanti šios specifikacijos 2.2.1 ir 2.2.2 punktus. Skydo išorėje</w:t>
            </w:r>
            <w:r w:rsidR="00BD0CA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turi būti įrengti </w:t>
            </w:r>
            <w:r w:rsidR="00BD0CA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kištukiniai lizdai (6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vnt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.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) atitinkantys šios specifikacijos 2.2.3 punkto </w:t>
            </w:r>
            <w:r w:rsidR="00C34B81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lastRenderedPageBreak/>
              <w:t>reikalavimus.</w:t>
            </w:r>
            <w:r w:rsidR="00B13ED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br/>
              <w:t>Skydą p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ri</w:t>
            </w:r>
            <w:r w:rsidR="00B13ED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jungti prie „A“ korpuse esančiuio </w:t>
            </w:r>
            <w:r w:rsidR="005F2B8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„</w:t>
            </w:r>
            <w:r w:rsidR="00B13EDC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MPS-</w:t>
            </w:r>
            <w:r w:rsidR="005F2B8F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2“</w:t>
            </w:r>
            <w:r w:rsidR="00AE0A2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skydo jė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gos kontaktų.</w:t>
            </w:r>
          </w:p>
        </w:tc>
        <w:tc>
          <w:tcPr>
            <w:tcW w:w="1150" w:type="dxa"/>
            <w:vAlign w:val="center"/>
          </w:tcPr>
          <w:p w14:paraId="63B84E74" w14:textId="77777777" w:rsidR="00A24B2D" w:rsidRPr="00AE0A2A" w:rsidRDefault="00A24B2D" w:rsidP="00A45D9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7ECB4E83" w14:textId="77777777" w:rsidTr="00544FCE">
        <w:tc>
          <w:tcPr>
            <w:tcW w:w="710" w:type="dxa"/>
            <w:vMerge w:val="restart"/>
            <w:vAlign w:val="center"/>
          </w:tcPr>
          <w:p w14:paraId="7D2D9228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584D0F7A" w14:textId="77777777" w:rsidR="00A24B2D" w:rsidRPr="00AE0A2A" w:rsidRDefault="00A24B2D" w:rsidP="00A24B2D">
            <w:pPr>
              <w:pStyle w:val="ListParagraph"/>
              <w:ind w:left="0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  <w:t xml:space="preserve">Užduoties vykdymas </w:t>
            </w:r>
          </w:p>
        </w:tc>
        <w:tc>
          <w:tcPr>
            <w:tcW w:w="1150" w:type="dxa"/>
            <w:vAlign w:val="center"/>
          </w:tcPr>
          <w:p w14:paraId="1F579A68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259130C2" w14:textId="77777777" w:rsidTr="00544FCE">
        <w:tc>
          <w:tcPr>
            <w:tcW w:w="710" w:type="dxa"/>
            <w:vMerge/>
            <w:vAlign w:val="center"/>
          </w:tcPr>
          <w:p w14:paraId="588FE369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3815DD4E" w14:textId="6B2CF192" w:rsidR="00A24B2D" w:rsidRPr="00AE0A2A" w:rsidRDefault="00A24B2D" w:rsidP="00A24B2D">
            <w:pPr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Užsakovui nusprendus, paslaugos įsigijimas gali būti vykdomas keliais etapais, numatom</w:t>
            </w:r>
            <w:r w:rsidR="00AE0A2A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ais paslaugos teikimo sutartyje.</w:t>
            </w:r>
          </w:p>
        </w:tc>
        <w:tc>
          <w:tcPr>
            <w:tcW w:w="1150" w:type="dxa"/>
            <w:vAlign w:val="center"/>
          </w:tcPr>
          <w:p w14:paraId="39D7C444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707002" w:rsidRPr="00AE0A2A" w14:paraId="5843CC5B" w14:textId="77777777" w:rsidTr="00544FCE">
        <w:tc>
          <w:tcPr>
            <w:tcW w:w="710" w:type="dxa"/>
            <w:vAlign w:val="center"/>
          </w:tcPr>
          <w:p w14:paraId="04913778" w14:textId="77777777" w:rsidR="00707002" w:rsidRPr="00AE0A2A" w:rsidRDefault="00707002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5209B41C" w14:textId="6A08DBA8" w:rsidR="00707002" w:rsidRPr="00707002" w:rsidRDefault="00707002" w:rsidP="00A24B2D">
            <w:pPr>
              <w:ind w:hanging="31"/>
              <w:contextualSpacing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Šios techninės specifikacijos reikalavimų įgyvendinimui reikaling</w:t>
            </w:r>
            <w:bookmarkStart w:id="0" w:name="_GoBack"/>
            <w:bookmarkEnd w:id="0"/>
            <w:r w:rsidRPr="0070700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as medžiagas ar įrangą pateikia paslaugos teikėjas, savo sąskaita.</w:t>
            </w:r>
          </w:p>
        </w:tc>
        <w:tc>
          <w:tcPr>
            <w:tcW w:w="1150" w:type="dxa"/>
            <w:vAlign w:val="center"/>
          </w:tcPr>
          <w:p w14:paraId="594F74E1" w14:textId="77777777" w:rsidR="00707002" w:rsidRPr="00AE0A2A" w:rsidRDefault="00707002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46E1CCF6" w14:textId="77777777" w:rsidTr="00544FCE">
        <w:tc>
          <w:tcPr>
            <w:tcW w:w="710" w:type="dxa"/>
            <w:vMerge w:val="restart"/>
            <w:vAlign w:val="center"/>
          </w:tcPr>
          <w:p w14:paraId="409A0C10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70CDA1F1" w14:textId="77777777" w:rsidR="00A24B2D" w:rsidRPr="00AE0A2A" w:rsidRDefault="00A24B2D" w:rsidP="00A24B2D">
            <w:pPr>
              <w:ind w:hanging="31"/>
              <w:contextualSpacing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  <w:t>Priedai</w:t>
            </w:r>
          </w:p>
        </w:tc>
        <w:tc>
          <w:tcPr>
            <w:tcW w:w="1150" w:type="dxa"/>
            <w:vMerge w:val="restart"/>
            <w:vAlign w:val="center"/>
          </w:tcPr>
          <w:p w14:paraId="1BCA9C7B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5247BE75" w14:textId="77777777" w:rsidTr="00544FCE">
        <w:tc>
          <w:tcPr>
            <w:tcW w:w="710" w:type="dxa"/>
            <w:vMerge/>
            <w:vAlign w:val="center"/>
          </w:tcPr>
          <w:p w14:paraId="5F80CEA2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6B8411D0" w14:textId="2A274561" w:rsidR="00A24B2D" w:rsidRPr="00AE0A2A" w:rsidRDefault="00A24B2D" w:rsidP="00707002">
            <w:pPr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Šios specifikacijos priedas</w:t>
            </w:r>
            <w:r w:rsidR="00154D92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(-ai) yra neatsiejama specifikacijos dalis.</w:t>
            </w:r>
          </w:p>
          <w:p w14:paraId="44AC4728" w14:textId="5F110D63" w:rsidR="00A24B2D" w:rsidRPr="00AE0A2A" w:rsidRDefault="00116B32" w:rsidP="00E26553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Priedas Nr.</w:t>
            </w:r>
            <w:r w:rsidR="00A24B2D"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1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KJSP teritorijos lauko įrangos </w:t>
            </w:r>
            <w:r w:rsidR="00611AA1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 xml:space="preserve">elektros </w:t>
            </w: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paskirstymo skydų (LĮPS), išdėstymo ir maitinimo linijos kabelių planas</w:t>
            </w:r>
            <w:r w:rsidR="00E26553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1150" w:type="dxa"/>
            <w:vMerge/>
            <w:vAlign w:val="center"/>
          </w:tcPr>
          <w:p w14:paraId="2032A745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3A8E8F17" w14:textId="77777777" w:rsidTr="00544FCE">
        <w:tc>
          <w:tcPr>
            <w:tcW w:w="710" w:type="dxa"/>
            <w:vMerge w:val="restart"/>
            <w:vAlign w:val="center"/>
          </w:tcPr>
          <w:p w14:paraId="256277C8" w14:textId="77777777" w:rsidR="00A24B2D" w:rsidRPr="00AE0A2A" w:rsidRDefault="00A24B2D" w:rsidP="009C4B8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4D99EF00" w14:textId="77777777" w:rsidR="00A24B2D" w:rsidRPr="00AE0A2A" w:rsidRDefault="00A24B2D" w:rsidP="00A24B2D">
            <w:pPr>
              <w:contextualSpacing/>
              <w:jc w:val="both"/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1150" w:type="dxa"/>
            <w:vMerge w:val="restart"/>
            <w:vAlign w:val="center"/>
          </w:tcPr>
          <w:p w14:paraId="2572A772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42690A" w:rsidRPr="00AE0A2A" w14:paraId="73D30AC8" w14:textId="77777777" w:rsidTr="00544FCE">
        <w:tc>
          <w:tcPr>
            <w:tcW w:w="710" w:type="dxa"/>
            <w:vMerge/>
            <w:vAlign w:val="center"/>
          </w:tcPr>
          <w:p w14:paraId="0A14348F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8221" w:type="dxa"/>
            <w:shd w:val="clear" w:color="auto" w:fill="auto"/>
            <w:vAlign w:val="center"/>
          </w:tcPr>
          <w:p w14:paraId="44310533" w14:textId="77777777" w:rsidR="00A24B2D" w:rsidRPr="00AE0A2A" w:rsidRDefault="00A24B2D" w:rsidP="00A24B2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  <w:r w:rsidRPr="00AE0A2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  <w:t>Paslaugos teikėjas turi suteikti ne trumpesnį nei dvejų metų garantinį laikotarpį pateiktai įrangai, jos sudedamosioms dalims ir atliktiems darbams pirkimo-pardavimo sutartyje nurodytomis sąlygomis. Garantinis laikotarpis prasideda nuo perdavimo – priėmimo akto pasirašymo dienos.</w:t>
            </w:r>
          </w:p>
        </w:tc>
        <w:tc>
          <w:tcPr>
            <w:tcW w:w="1150" w:type="dxa"/>
            <w:vMerge/>
            <w:vAlign w:val="center"/>
          </w:tcPr>
          <w:p w14:paraId="27A158A9" w14:textId="77777777" w:rsidR="00A24B2D" w:rsidRPr="00AE0A2A" w:rsidRDefault="00A24B2D" w:rsidP="00A24B2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lt-LT"/>
              </w:rPr>
            </w:pPr>
          </w:p>
        </w:tc>
      </w:tr>
    </w:tbl>
    <w:p w14:paraId="02518E20" w14:textId="7CCD78CD" w:rsidR="00B66E68" w:rsidRPr="00AE0A2A" w:rsidRDefault="00B66E68" w:rsidP="00B66E68">
      <w:pPr>
        <w:pStyle w:val="ListParagraph"/>
        <w:ind w:left="426" w:hanging="426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sectPr w:rsidR="00B66E68" w:rsidRPr="00AE0A2A" w:rsidSect="00544FC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B06EA1" w14:textId="77777777" w:rsidR="00191FAA" w:rsidRDefault="00191FAA" w:rsidP="00504757">
      <w:pPr>
        <w:spacing w:after="0" w:line="240" w:lineRule="auto"/>
      </w:pPr>
      <w:r>
        <w:separator/>
      </w:r>
    </w:p>
  </w:endnote>
  <w:endnote w:type="continuationSeparator" w:id="0">
    <w:p w14:paraId="22750E4E" w14:textId="77777777" w:rsidR="00191FAA" w:rsidRDefault="00191FAA" w:rsidP="005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8D81C5" w14:textId="77777777" w:rsidR="00191FAA" w:rsidRDefault="00191FAA" w:rsidP="00504757">
      <w:pPr>
        <w:spacing w:after="0" w:line="240" w:lineRule="auto"/>
      </w:pPr>
      <w:r>
        <w:separator/>
      </w:r>
    </w:p>
  </w:footnote>
  <w:footnote w:type="continuationSeparator" w:id="0">
    <w:p w14:paraId="166CC8D6" w14:textId="77777777" w:rsidR="00191FAA" w:rsidRDefault="00191FAA" w:rsidP="00504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3E37"/>
    <w:multiLevelType w:val="multilevel"/>
    <w:tmpl w:val="CD5013A4"/>
    <w:lvl w:ilvl="0">
      <w:start w:val="1"/>
      <w:numFmt w:val="decimal"/>
      <w:lvlText w:val="%1."/>
      <w:lvlJc w:val="left"/>
      <w:pPr>
        <w:ind w:left="1069" w:hanging="899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trackedChanges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66"/>
    <w:rsid w:val="00022BD7"/>
    <w:rsid w:val="0004421B"/>
    <w:rsid w:val="00052925"/>
    <w:rsid w:val="00056DF0"/>
    <w:rsid w:val="00064F25"/>
    <w:rsid w:val="00095F50"/>
    <w:rsid w:val="000A4E2B"/>
    <w:rsid w:val="000B32EE"/>
    <w:rsid w:val="000B3E0A"/>
    <w:rsid w:val="000C20F1"/>
    <w:rsid w:val="000C4A74"/>
    <w:rsid w:val="000C6339"/>
    <w:rsid w:val="000D05CC"/>
    <w:rsid w:val="000D7516"/>
    <w:rsid w:val="000D7EEB"/>
    <w:rsid w:val="000E5197"/>
    <w:rsid w:val="000E5B20"/>
    <w:rsid w:val="000E69AC"/>
    <w:rsid w:val="000F1125"/>
    <w:rsid w:val="000F1979"/>
    <w:rsid w:val="00105D08"/>
    <w:rsid w:val="00116A48"/>
    <w:rsid w:val="00116B32"/>
    <w:rsid w:val="00116DA6"/>
    <w:rsid w:val="00122906"/>
    <w:rsid w:val="00147D0F"/>
    <w:rsid w:val="00147F6B"/>
    <w:rsid w:val="00151142"/>
    <w:rsid w:val="00154D92"/>
    <w:rsid w:val="00163F96"/>
    <w:rsid w:val="00171A70"/>
    <w:rsid w:val="00172B32"/>
    <w:rsid w:val="00180121"/>
    <w:rsid w:val="00182F74"/>
    <w:rsid w:val="001841EB"/>
    <w:rsid w:val="00191FAA"/>
    <w:rsid w:val="001A3941"/>
    <w:rsid w:val="001B211D"/>
    <w:rsid w:val="001B6BA1"/>
    <w:rsid w:val="001C194A"/>
    <w:rsid w:val="001D1EAA"/>
    <w:rsid w:val="001D2A9A"/>
    <w:rsid w:val="001F37B9"/>
    <w:rsid w:val="002059A9"/>
    <w:rsid w:val="00215345"/>
    <w:rsid w:val="0021698F"/>
    <w:rsid w:val="00226A59"/>
    <w:rsid w:val="00227E51"/>
    <w:rsid w:val="0023399A"/>
    <w:rsid w:val="00234E3B"/>
    <w:rsid w:val="0025584C"/>
    <w:rsid w:val="002657F0"/>
    <w:rsid w:val="002662B2"/>
    <w:rsid w:val="00267FEF"/>
    <w:rsid w:val="00283CA6"/>
    <w:rsid w:val="00290AD6"/>
    <w:rsid w:val="00297315"/>
    <w:rsid w:val="002B4046"/>
    <w:rsid w:val="002B622D"/>
    <w:rsid w:val="002C2776"/>
    <w:rsid w:val="002C2AF7"/>
    <w:rsid w:val="002C42CD"/>
    <w:rsid w:val="002C4BF1"/>
    <w:rsid w:val="002D1B46"/>
    <w:rsid w:val="002E30EC"/>
    <w:rsid w:val="002E3E84"/>
    <w:rsid w:val="002E4B5D"/>
    <w:rsid w:val="002F5A19"/>
    <w:rsid w:val="003028A5"/>
    <w:rsid w:val="003173B1"/>
    <w:rsid w:val="003209DE"/>
    <w:rsid w:val="00322E7F"/>
    <w:rsid w:val="003239BD"/>
    <w:rsid w:val="00334590"/>
    <w:rsid w:val="00334D3C"/>
    <w:rsid w:val="00335210"/>
    <w:rsid w:val="0034774E"/>
    <w:rsid w:val="003501EA"/>
    <w:rsid w:val="00352EC2"/>
    <w:rsid w:val="00362061"/>
    <w:rsid w:val="00362C9D"/>
    <w:rsid w:val="00366FE9"/>
    <w:rsid w:val="00370343"/>
    <w:rsid w:val="003739F0"/>
    <w:rsid w:val="003832C1"/>
    <w:rsid w:val="003850BF"/>
    <w:rsid w:val="00386B03"/>
    <w:rsid w:val="0039625E"/>
    <w:rsid w:val="00396494"/>
    <w:rsid w:val="003A2379"/>
    <w:rsid w:val="003A3478"/>
    <w:rsid w:val="003B3428"/>
    <w:rsid w:val="003B4541"/>
    <w:rsid w:val="003B5A69"/>
    <w:rsid w:val="003B74D0"/>
    <w:rsid w:val="003C54F7"/>
    <w:rsid w:val="003E2AC3"/>
    <w:rsid w:val="003E76E0"/>
    <w:rsid w:val="003F751A"/>
    <w:rsid w:val="00405E01"/>
    <w:rsid w:val="00412888"/>
    <w:rsid w:val="00414673"/>
    <w:rsid w:val="00416010"/>
    <w:rsid w:val="0041771F"/>
    <w:rsid w:val="00417913"/>
    <w:rsid w:val="004203BA"/>
    <w:rsid w:val="004204B6"/>
    <w:rsid w:val="00421DA0"/>
    <w:rsid w:val="00425BB4"/>
    <w:rsid w:val="0042690A"/>
    <w:rsid w:val="00427434"/>
    <w:rsid w:val="00431ED1"/>
    <w:rsid w:val="00440081"/>
    <w:rsid w:val="004452AF"/>
    <w:rsid w:val="00454AF9"/>
    <w:rsid w:val="00454F42"/>
    <w:rsid w:val="0045503E"/>
    <w:rsid w:val="0046703C"/>
    <w:rsid w:val="00471EB7"/>
    <w:rsid w:val="004774F6"/>
    <w:rsid w:val="00480283"/>
    <w:rsid w:val="00480893"/>
    <w:rsid w:val="00484C66"/>
    <w:rsid w:val="00487846"/>
    <w:rsid w:val="00493C94"/>
    <w:rsid w:val="00494C8F"/>
    <w:rsid w:val="0049604D"/>
    <w:rsid w:val="004A0D84"/>
    <w:rsid w:val="004D3487"/>
    <w:rsid w:val="004D7918"/>
    <w:rsid w:val="004E2775"/>
    <w:rsid w:val="004E6C50"/>
    <w:rsid w:val="004F3D7F"/>
    <w:rsid w:val="005003B8"/>
    <w:rsid w:val="00504757"/>
    <w:rsid w:val="005110B9"/>
    <w:rsid w:val="00514338"/>
    <w:rsid w:val="00514D65"/>
    <w:rsid w:val="005258E5"/>
    <w:rsid w:val="00542990"/>
    <w:rsid w:val="00544FCE"/>
    <w:rsid w:val="00545B8C"/>
    <w:rsid w:val="00551EA6"/>
    <w:rsid w:val="0055458E"/>
    <w:rsid w:val="005713D8"/>
    <w:rsid w:val="005721B1"/>
    <w:rsid w:val="0059378F"/>
    <w:rsid w:val="00595EE0"/>
    <w:rsid w:val="005A1E83"/>
    <w:rsid w:val="005C1A1D"/>
    <w:rsid w:val="005C2D9E"/>
    <w:rsid w:val="005C60A6"/>
    <w:rsid w:val="005C6996"/>
    <w:rsid w:val="005C7A8B"/>
    <w:rsid w:val="005E3669"/>
    <w:rsid w:val="005F0126"/>
    <w:rsid w:val="005F2B8F"/>
    <w:rsid w:val="00606BBE"/>
    <w:rsid w:val="00606F79"/>
    <w:rsid w:val="0060753E"/>
    <w:rsid w:val="00611AA1"/>
    <w:rsid w:val="0061294F"/>
    <w:rsid w:val="00613370"/>
    <w:rsid w:val="0061362A"/>
    <w:rsid w:val="0061651A"/>
    <w:rsid w:val="00635228"/>
    <w:rsid w:val="00640DF3"/>
    <w:rsid w:val="00641873"/>
    <w:rsid w:val="00672765"/>
    <w:rsid w:val="00677590"/>
    <w:rsid w:val="00677CBD"/>
    <w:rsid w:val="00687ED8"/>
    <w:rsid w:val="006B079D"/>
    <w:rsid w:val="006B1689"/>
    <w:rsid w:val="006B1816"/>
    <w:rsid w:val="006B1C95"/>
    <w:rsid w:val="006B2022"/>
    <w:rsid w:val="006B22A0"/>
    <w:rsid w:val="006B398E"/>
    <w:rsid w:val="006B66FD"/>
    <w:rsid w:val="006C148F"/>
    <w:rsid w:val="006C4FAF"/>
    <w:rsid w:val="006C5616"/>
    <w:rsid w:val="006C73C7"/>
    <w:rsid w:val="006D5E6F"/>
    <w:rsid w:val="006E71DB"/>
    <w:rsid w:val="006E7ADC"/>
    <w:rsid w:val="006F5DCA"/>
    <w:rsid w:val="00702EB4"/>
    <w:rsid w:val="00706C7D"/>
    <w:rsid w:val="00707002"/>
    <w:rsid w:val="00712BC8"/>
    <w:rsid w:val="00737EE1"/>
    <w:rsid w:val="00741FD4"/>
    <w:rsid w:val="00754BF3"/>
    <w:rsid w:val="0077163F"/>
    <w:rsid w:val="00784CEF"/>
    <w:rsid w:val="0079478F"/>
    <w:rsid w:val="007A752E"/>
    <w:rsid w:val="007B278B"/>
    <w:rsid w:val="007B5CE7"/>
    <w:rsid w:val="007B60F6"/>
    <w:rsid w:val="007B6CD1"/>
    <w:rsid w:val="007C0E76"/>
    <w:rsid w:val="007C1987"/>
    <w:rsid w:val="007C3A53"/>
    <w:rsid w:val="007C5C52"/>
    <w:rsid w:val="007C5DF2"/>
    <w:rsid w:val="007C6160"/>
    <w:rsid w:val="007C69E7"/>
    <w:rsid w:val="007D5E09"/>
    <w:rsid w:val="007D6D02"/>
    <w:rsid w:val="007E61BB"/>
    <w:rsid w:val="007E6E5F"/>
    <w:rsid w:val="007F036C"/>
    <w:rsid w:val="007F239E"/>
    <w:rsid w:val="00804B07"/>
    <w:rsid w:val="00806FE4"/>
    <w:rsid w:val="00807E1B"/>
    <w:rsid w:val="0081332D"/>
    <w:rsid w:val="00815974"/>
    <w:rsid w:val="00823717"/>
    <w:rsid w:val="00827DA6"/>
    <w:rsid w:val="00832632"/>
    <w:rsid w:val="0083522F"/>
    <w:rsid w:val="00861EAE"/>
    <w:rsid w:val="00862A56"/>
    <w:rsid w:val="008634E4"/>
    <w:rsid w:val="00873003"/>
    <w:rsid w:val="00876160"/>
    <w:rsid w:val="00884334"/>
    <w:rsid w:val="00890E6C"/>
    <w:rsid w:val="0089295E"/>
    <w:rsid w:val="0089487F"/>
    <w:rsid w:val="008977B6"/>
    <w:rsid w:val="008A7C79"/>
    <w:rsid w:val="008B37CC"/>
    <w:rsid w:val="008C5B9D"/>
    <w:rsid w:val="008E4C24"/>
    <w:rsid w:val="008E50B2"/>
    <w:rsid w:val="008F209F"/>
    <w:rsid w:val="008F735C"/>
    <w:rsid w:val="009031DB"/>
    <w:rsid w:val="009044F8"/>
    <w:rsid w:val="009057D8"/>
    <w:rsid w:val="0091030F"/>
    <w:rsid w:val="0091647E"/>
    <w:rsid w:val="00920894"/>
    <w:rsid w:val="00920E82"/>
    <w:rsid w:val="00923363"/>
    <w:rsid w:val="0094139B"/>
    <w:rsid w:val="00945C7F"/>
    <w:rsid w:val="00952D98"/>
    <w:rsid w:val="00953A67"/>
    <w:rsid w:val="00953C4E"/>
    <w:rsid w:val="00954A07"/>
    <w:rsid w:val="00957607"/>
    <w:rsid w:val="009609F0"/>
    <w:rsid w:val="00962E02"/>
    <w:rsid w:val="00964B5A"/>
    <w:rsid w:val="0097512D"/>
    <w:rsid w:val="009754CC"/>
    <w:rsid w:val="00976DB7"/>
    <w:rsid w:val="0098062A"/>
    <w:rsid w:val="00980CAE"/>
    <w:rsid w:val="00981011"/>
    <w:rsid w:val="00983CC2"/>
    <w:rsid w:val="009B4393"/>
    <w:rsid w:val="009B67CA"/>
    <w:rsid w:val="009C4B88"/>
    <w:rsid w:val="009C68A6"/>
    <w:rsid w:val="009C6D47"/>
    <w:rsid w:val="009D6BA8"/>
    <w:rsid w:val="009E7EC3"/>
    <w:rsid w:val="009F27A8"/>
    <w:rsid w:val="00A04651"/>
    <w:rsid w:val="00A05DD6"/>
    <w:rsid w:val="00A15E2A"/>
    <w:rsid w:val="00A23A9F"/>
    <w:rsid w:val="00A24B2D"/>
    <w:rsid w:val="00A32152"/>
    <w:rsid w:val="00A45D9B"/>
    <w:rsid w:val="00A526C8"/>
    <w:rsid w:val="00A56428"/>
    <w:rsid w:val="00A62694"/>
    <w:rsid w:val="00A664B1"/>
    <w:rsid w:val="00A71158"/>
    <w:rsid w:val="00A7277A"/>
    <w:rsid w:val="00A75905"/>
    <w:rsid w:val="00A767C7"/>
    <w:rsid w:val="00A81C51"/>
    <w:rsid w:val="00A94660"/>
    <w:rsid w:val="00A955D4"/>
    <w:rsid w:val="00AA24B7"/>
    <w:rsid w:val="00AA60A1"/>
    <w:rsid w:val="00AB04C6"/>
    <w:rsid w:val="00AB4661"/>
    <w:rsid w:val="00AD16E2"/>
    <w:rsid w:val="00AD5A0A"/>
    <w:rsid w:val="00AD7C87"/>
    <w:rsid w:val="00AE0A2A"/>
    <w:rsid w:val="00AF0641"/>
    <w:rsid w:val="00B0146E"/>
    <w:rsid w:val="00B1286C"/>
    <w:rsid w:val="00B13EDC"/>
    <w:rsid w:val="00B16CA9"/>
    <w:rsid w:val="00B209A9"/>
    <w:rsid w:val="00B20BD4"/>
    <w:rsid w:val="00B20D5B"/>
    <w:rsid w:val="00B26B77"/>
    <w:rsid w:val="00B5740A"/>
    <w:rsid w:val="00B65797"/>
    <w:rsid w:val="00B66E68"/>
    <w:rsid w:val="00B70FAF"/>
    <w:rsid w:val="00B73F05"/>
    <w:rsid w:val="00B81B88"/>
    <w:rsid w:val="00B860BC"/>
    <w:rsid w:val="00B9454C"/>
    <w:rsid w:val="00B94BC3"/>
    <w:rsid w:val="00BB1632"/>
    <w:rsid w:val="00BB2B76"/>
    <w:rsid w:val="00BB4102"/>
    <w:rsid w:val="00BC0311"/>
    <w:rsid w:val="00BC385F"/>
    <w:rsid w:val="00BC4DBA"/>
    <w:rsid w:val="00BD0CAC"/>
    <w:rsid w:val="00BD0F41"/>
    <w:rsid w:val="00BD472B"/>
    <w:rsid w:val="00BD7666"/>
    <w:rsid w:val="00BE1447"/>
    <w:rsid w:val="00BE5C95"/>
    <w:rsid w:val="00C001B9"/>
    <w:rsid w:val="00C00C8B"/>
    <w:rsid w:val="00C02D3A"/>
    <w:rsid w:val="00C24039"/>
    <w:rsid w:val="00C278ED"/>
    <w:rsid w:val="00C34B81"/>
    <w:rsid w:val="00C47653"/>
    <w:rsid w:val="00C561E5"/>
    <w:rsid w:val="00C62381"/>
    <w:rsid w:val="00C70625"/>
    <w:rsid w:val="00C72E26"/>
    <w:rsid w:val="00C74572"/>
    <w:rsid w:val="00C8200E"/>
    <w:rsid w:val="00C85C80"/>
    <w:rsid w:val="00C8625C"/>
    <w:rsid w:val="00C877A1"/>
    <w:rsid w:val="00C87BAD"/>
    <w:rsid w:val="00CA31AE"/>
    <w:rsid w:val="00CA4961"/>
    <w:rsid w:val="00CD4E87"/>
    <w:rsid w:val="00CD5EFF"/>
    <w:rsid w:val="00CF76B3"/>
    <w:rsid w:val="00D03AD0"/>
    <w:rsid w:val="00D04F94"/>
    <w:rsid w:val="00D06E91"/>
    <w:rsid w:val="00D0758D"/>
    <w:rsid w:val="00D109F3"/>
    <w:rsid w:val="00D14FAE"/>
    <w:rsid w:val="00D2185C"/>
    <w:rsid w:val="00D229C3"/>
    <w:rsid w:val="00D24840"/>
    <w:rsid w:val="00D31274"/>
    <w:rsid w:val="00D3247F"/>
    <w:rsid w:val="00D3606E"/>
    <w:rsid w:val="00D37FE5"/>
    <w:rsid w:val="00D46DEA"/>
    <w:rsid w:val="00D54628"/>
    <w:rsid w:val="00D61AAE"/>
    <w:rsid w:val="00D81083"/>
    <w:rsid w:val="00D81560"/>
    <w:rsid w:val="00D93BC2"/>
    <w:rsid w:val="00DA08BF"/>
    <w:rsid w:val="00DB01D1"/>
    <w:rsid w:val="00DB5A8E"/>
    <w:rsid w:val="00DC1A9A"/>
    <w:rsid w:val="00DD4809"/>
    <w:rsid w:val="00DD505B"/>
    <w:rsid w:val="00DD5E36"/>
    <w:rsid w:val="00DD6B51"/>
    <w:rsid w:val="00DD7D23"/>
    <w:rsid w:val="00DE149B"/>
    <w:rsid w:val="00DE2159"/>
    <w:rsid w:val="00DE2188"/>
    <w:rsid w:val="00DE6CAF"/>
    <w:rsid w:val="00DF5FAB"/>
    <w:rsid w:val="00DF74F8"/>
    <w:rsid w:val="00E01FFD"/>
    <w:rsid w:val="00E0238C"/>
    <w:rsid w:val="00E02F8D"/>
    <w:rsid w:val="00E17D30"/>
    <w:rsid w:val="00E17DA8"/>
    <w:rsid w:val="00E24F32"/>
    <w:rsid w:val="00E26553"/>
    <w:rsid w:val="00E306B1"/>
    <w:rsid w:val="00E30DD8"/>
    <w:rsid w:val="00E4110B"/>
    <w:rsid w:val="00E41BD4"/>
    <w:rsid w:val="00E45C97"/>
    <w:rsid w:val="00E46EF5"/>
    <w:rsid w:val="00E702A6"/>
    <w:rsid w:val="00E7314B"/>
    <w:rsid w:val="00E74862"/>
    <w:rsid w:val="00E9037D"/>
    <w:rsid w:val="00E922B5"/>
    <w:rsid w:val="00E96D60"/>
    <w:rsid w:val="00EA42B8"/>
    <w:rsid w:val="00EA4BD5"/>
    <w:rsid w:val="00EA52E3"/>
    <w:rsid w:val="00EB2D7E"/>
    <w:rsid w:val="00EB5C08"/>
    <w:rsid w:val="00EC5682"/>
    <w:rsid w:val="00ED03B2"/>
    <w:rsid w:val="00ED1092"/>
    <w:rsid w:val="00EE147D"/>
    <w:rsid w:val="00EF1423"/>
    <w:rsid w:val="00EF6399"/>
    <w:rsid w:val="00EF6AA2"/>
    <w:rsid w:val="00F0435E"/>
    <w:rsid w:val="00F35AB8"/>
    <w:rsid w:val="00F37F31"/>
    <w:rsid w:val="00F40EF6"/>
    <w:rsid w:val="00F412B7"/>
    <w:rsid w:val="00F53B77"/>
    <w:rsid w:val="00F548E7"/>
    <w:rsid w:val="00F54EB0"/>
    <w:rsid w:val="00F555CB"/>
    <w:rsid w:val="00F55734"/>
    <w:rsid w:val="00F6048B"/>
    <w:rsid w:val="00F76F4C"/>
    <w:rsid w:val="00F77FEA"/>
    <w:rsid w:val="00FA06C0"/>
    <w:rsid w:val="00FA191E"/>
    <w:rsid w:val="00FA3A66"/>
    <w:rsid w:val="00FA4E36"/>
    <w:rsid w:val="00FA76EF"/>
    <w:rsid w:val="00FC0F4D"/>
    <w:rsid w:val="00FC1145"/>
    <w:rsid w:val="00FC126F"/>
    <w:rsid w:val="00FC340D"/>
    <w:rsid w:val="00FC343F"/>
    <w:rsid w:val="00FD766E"/>
    <w:rsid w:val="00FE44D8"/>
    <w:rsid w:val="00FE46D6"/>
    <w:rsid w:val="00FE4EFB"/>
    <w:rsid w:val="00FF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C0D6"/>
  <w15:chartTrackingRefBased/>
  <w15:docId w15:val="{B77386EF-F333-4ADD-942C-4CE5367EF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48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E68"/>
    <w:pPr>
      <w:ind w:left="720"/>
      <w:contextualSpacing/>
    </w:pPr>
  </w:style>
  <w:style w:type="table" w:styleId="TableGrid">
    <w:name w:val="Table Grid"/>
    <w:basedOn w:val="TableNormal"/>
    <w:uiPriority w:val="39"/>
    <w:rsid w:val="00B66E6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BodyText"/>
    <w:link w:val="SubtitleChar"/>
    <w:qFormat/>
    <w:rsid w:val="00471EB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lt-LT" w:eastAsia="ar-SA"/>
    </w:rPr>
  </w:style>
  <w:style w:type="character" w:customStyle="1" w:styleId="SubtitleChar">
    <w:name w:val="Subtitle Char"/>
    <w:basedOn w:val="DefaultParagraphFont"/>
    <w:link w:val="Subtitle"/>
    <w:rsid w:val="00471EB7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471EB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1EB7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C54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54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54F7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54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54F7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54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4F7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047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757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475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757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2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65AC7-447A-4B08-8ED9-F0603E06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2336</Words>
  <Characters>1333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Artūras Mieliūnas</dc:creator>
  <cp:lastModifiedBy>Vaida Ruibytė</cp:lastModifiedBy>
  <cp:revision>4</cp:revision>
  <dcterms:created xsi:type="dcterms:W3CDTF">2025-10-08T07:03:00Z</dcterms:created>
  <dcterms:modified xsi:type="dcterms:W3CDTF">2025-10-08T12:16:00Z</dcterms:modified>
</cp:coreProperties>
</file>