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DA7474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DA7474">
        <w:rPr>
          <w:rFonts w:ascii="Cambria" w:hAnsi="Cambria"/>
          <w:b/>
          <w:caps/>
          <w:sz w:val="20"/>
        </w:rPr>
        <w:t xml:space="preserve">Prekių pirkimo-pardavimo sutarties </w:t>
      </w:r>
      <w:r w:rsidRPr="00DA7474">
        <w:rPr>
          <w:rFonts w:ascii="Cambria" w:hAnsi="Cambria"/>
          <w:b/>
          <w:bCs/>
          <w:caps/>
          <w:sz w:val="20"/>
        </w:rPr>
        <w:t>Specialiosios</w:t>
      </w:r>
      <w:r w:rsidRPr="00DA7474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DA7474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931"/>
      </w:tblGrid>
      <w:tr w:rsidR="00B767F3" w:rsidRPr="00DA7474" w14:paraId="079717A4" w14:textId="77777777" w:rsidTr="008F14F7">
        <w:tc>
          <w:tcPr>
            <w:tcW w:w="2547" w:type="dxa"/>
          </w:tcPr>
          <w:p w14:paraId="24BA92D1" w14:textId="77777777" w:rsidR="00B767F3" w:rsidRPr="00DA7474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371" w:type="dxa"/>
            <w:gridSpan w:val="3"/>
          </w:tcPr>
          <w:p w14:paraId="249F1FE3" w14:textId="4E71B739" w:rsidR="00B767F3" w:rsidRPr="00DA7474" w:rsidRDefault="000B0AE7" w:rsidP="000B0AE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Anestezijos aparatas pritaikytas naudoti MRT aparato aplinkoje ir paciento gyvybinių parametrų monitorius pritaikytas naudoti MRT aparato aplinkoje  [</w:t>
            </w:r>
            <w:r w:rsidRPr="00DA7474">
              <w:rPr>
                <w:rFonts w:ascii="Cambria" w:hAnsi="Cambria"/>
                <w:i/>
                <w:sz w:val="20"/>
              </w:rPr>
              <w:t>nurodyti pirkimo objekto pavadinimą pagal pirkimo sąlygas, priklausomai, kuriai pirkimo objekto daliai sudaroma pirkimo sutartis</w:t>
            </w:r>
            <w:r w:rsidRPr="00DA7474">
              <w:rPr>
                <w:rFonts w:ascii="Cambria" w:hAnsi="Cambria"/>
                <w:sz w:val="20"/>
              </w:rPr>
              <w:t xml:space="preserve">]  </w:t>
            </w:r>
          </w:p>
        </w:tc>
      </w:tr>
      <w:tr w:rsidR="00B767F3" w:rsidRPr="00DA7474" w14:paraId="56375B6F" w14:textId="77777777" w:rsidTr="008F14F7">
        <w:tc>
          <w:tcPr>
            <w:tcW w:w="2547" w:type="dxa"/>
          </w:tcPr>
          <w:p w14:paraId="4A72AFB1" w14:textId="77777777" w:rsidR="00B767F3" w:rsidRPr="00DA7474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DA7474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DA7474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931" w:type="dxa"/>
          </w:tcPr>
          <w:p w14:paraId="6AD05AC6" w14:textId="77777777" w:rsidR="00B767F3" w:rsidRPr="00DA7474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DA7474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870"/>
      </w:tblGrid>
      <w:tr w:rsidR="00B767F3" w:rsidRPr="00DA7474" w14:paraId="6C5DC4DA" w14:textId="77777777" w:rsidTr="008F14F7">
        <w:tc>
          <w:tcPr>
            <w:tcW w:w="9918" w:type="dxa"/>
            <w:gridSpan w:val="3"/>
          </w:tcPr>
          <w:p w14:paraId="4B468B60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DA7474" w14:paraId="3344BE00" w14:textId="77777777" w:rsidTr="008F14F7">
        <w:tc>
          <w:tcPr>
            <w:tcW w:w="2547" w:type="dxa"/>
            <w:vMerge w:val="restart"/>
          </w:tcPr>
          <w:p w14:paraId="6455DD5F" w14:textId="77777777" w:rsidR="004E15BF" w:rsidRPr="00DA7474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DA7474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DA7474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DA7474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DA7474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870" w:type="dxa"/>
          </w:tcPr>
          <w:p w14:paraId="1A86750A" w14:textId="34F66748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DA7474" w14:paraId="3C548A23" w14:textId="77777777" w:rsidTr="008F14F7">
        <w:tc>
          <w:tcPr>
            <w:tcW w:w="2547" w:type="dxa"/>
            <w:vMerge/>
          </w:tcPr>
          <w:p w14:paraId="6F39D6C5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870" w:type="dxa"/>
          </w:tcPr>
          <w:p w14:paraId="79A7FAFC" w14:textId="6BE50E65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DA7474" w14:paraId="7E406A40" w14:textId="77777777" w:rsidTr="008F14F7">
        <w:tc>
          <w:tcPr>
            <w:tcW w:w="2547" w:type="dxa"/>
            <w:vMerge/>
          </w:tcPr>
          <w:p w14:paraId="12442C78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870" w:type="dxa"/>
          </w:tcPr>
          <w:p w14:paraId="06DD98ED" w14:textId="4D661F58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DA7474" w14:paraId="3B5E3967" w14:textId="77777777" w:rsidTr="008F14F7">
        <w:tc>
          <w:tcPr>
            <w:tcW w:w="2547" w:type="dxa"/>
            <w:vMerge/>
          </w:tcPr>
          <w:p w14:paraId="08391543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870" w:type="dxa"/>
          </w:tcPr>
          <w:p w14:paraId="149BE2F3" w14:textId="61CD471D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DA7474" w14:paraId="0320FC63" w14:textId="77777777" w:rsidTr="008F14F7">
        <w:tc>
          <w:tcPr>
            <w:tcW w:w="2547" w:type="dxa"/>
            <w:vMerge/>
          </w:tcPr>
          <w:p w14:paraId="28CCF5F1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870" w:type="dxa"/>
          </w:tcPr>
          <w:p w14:paraId="6334FED4" w14:textId="1B2DFCB4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DA7474" w14:paraId="1FDDE4A8" w14:textId="77777777" w:rsidTr="008F14F7">
        <w:tc>
          <w:tcPr>
            <w:tcW w:w="2547" w:type="dxa"/>
            <w:vMerge/>
          </w:tcPr>
          <w:p w14:paraId="237F0EA0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870" w:type="dxa"/>
          </w:tcPr>
          <w:p w14:paraId="08B8428E" w14:textId="4E443EB6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 xml:space="preserve">AB Swedbank, </w:t>
            </w:r>
            <w:r w:rsidRPr="00DA7474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DA7474" w14:paraId="708A92F3" w14:textId="77777777" w:rsidTr="008F14F7">
        <w:tc>
          <w:tcPr>
            <w:tcW w:w="2547" w:type="dxa"/>
            <w:vMerge/>
          </w:tcPr>
          <w:p w14:paraId="1E99B4CF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870" w:type="dxa"/>
          </w:tcPr>
          <w:p w14:paraId="46DEE882" w14:textId="2B26A43C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DA7474" w14:paraId="78C537A6" w14:textId="77777777" w:rsidTr="008F14F7">
        <w:tc>
          <w:tcPr>
            <w:tcW w:w="2547" w:type="dxa"/>
            <w:vMerge/>
          </w:tcPr>
          <w:p w14:paraId="0F34584F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870" w:type="dxa"/>
          </w:tcPr>
          <w:p w14:paraId="575F296E" w14:textId="04775CA7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DA7474" w14:paraId="75BE758F" w14:textId="77777777" w:rsidTr="008F14F7">
        <w:tc>
          <w:tcPr>
            <w:tcW w:w="2547" w:type="dxa"/>
            <w:vMerge/>
          </w:tcPr>
          <w:p w14:paraId="40F4E194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DA7474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870" w:type="dxa"/>
          </w:tcPr>
          <w:p w14:paraId="722A37C0" w14:textId="77777777" w:rsidR="004E15BF" w:rsidRPr="00DA7474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DA7474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DA7474" w14:paraId="10B903FF" w14:textId="77777777" w:rsidTr="008F14F7">
        <w:tc>
          <w:tcPr>
            <w:tcW w:w="2547" w:type="dxa"/>
            <w:vMerge/>
          </w:tcPr>
          <w:p w14:paraId="26B0F6B9" w14:textId="77777777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870" w:type="dxa"/>
          </w:tcPr>
          <w:p w14:paraId="0A30E475" w14:textId="4F555BFE" w:rsidR="00B767F3" w:rsidRPr="00DA7474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DA7474" w14:paraId="297540DE" w14:textId="77777777" w:rsidTr="008F14F7">
        <w:tc>
          <w:tcPr>
            <w:tcW w:w="2547" w:type="dxa"/>
            <w:vMerge w:val="restart"/>
          </w:tcPr>
          <w:p w14:paraId="1E758310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DA747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DA7474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DA747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DA7474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870" w:type="dxa"/>
          </w:tcPr>
          <w:p w14:paraId="4CA678CD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5A1F4414" w14:textId="77777777" w:rsidTr="008F14F7">
        <w:tc>
          <w:tcPr>
            <w:tcW w:w="2547" w:type="dxa"/>
            <w:vMerge/>
          </w:tcPr>
          <w:p w14:paraId="124649CF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870" w:type="dxa"/>
          </w:tcPr>
          <w:p w14:paraId="2F2FDC32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677DD19F" w14:textId="77777777" w:rsidTr="008F14F7">
        <w:tc>
          <w:tcPr>
            <w:tcW w:w="2547" w:type="dxa"/>
            <w:vMerge/>
          </w:tcPr>
          <w:p w14:paraId="7C838BE7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870" w:type="dxa"/>
          </w:tcPr>
          <w:p w14:paraId="2209A7F9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6997CCAA" w14:textId="77777777" w:rsidTr="008F14F7">
        <w:tc>
          <w:tcPr>
            <w:tcW w:w="2547" w:type="dxa"/>
            <w:vMerge/>
          </w:tcPr>
          <w:p w14:paraId="60DFBC9E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870" w:type="dxa"/>
          </w:tcPr>
          <w:p w14:paraId="664E6C26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56511B3F" w14:textId="77777777" w:rsidTr="008F14F7">
        <w:tc>
          <w:tcPr>
            <w:tcW w:w="2547" w:type="dxa"/>
            <w:vMerge/>
          </w:tcPr>
          <w:p w14:paraId="7F9384F3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870" w:type="dxa"/>
          </w:tcPr>
          <w:p w14:paraId="5E8603EA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76D25D72" w14:textId="77777777" w:rsidTr="008F14F7">
        <w:tc>
          <w:tcPr>
            <w:tcW w:w="2547" w:type="dxa"/>
            <w:vMerge/>
          </w:tcPr>
          <w:p w14:paraId="008F27AB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870" w:type="dxa"/>
          </w:tcPr>
          <w:p w14:paraId="5F1D0193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76CF2E45" w14:textId="77777777" w:rsidTr="008F14F7">
        <w:tc>
          <w:tcPr>
            <w:tcW w:w="2547" w:type="dxa"/>
            <w:vMerge/>
          </w:tcPr>
          <w:p w14:paraId="7F57DC4A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870" w:type="dxa"/>
          </w:tcPr>
          <w:p w14:paraId="04882A66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269EEE8D" w14:textId="77777777" w:rsidTr="008F14F7">
        <w:tc>
          <w:tcPr>
            <w:tcW w:w="2547" w:type="dxa"/>
            <w:vMerge/>
          </w:tcPr>
          <w:p w14:paraId="052EF525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870" w:type="dxa"/>
          </w:tcPr>
          <w:p w14:paraId="2F7E9821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0CC1CDFC" w14:textId="77777777" w:rsidTr="008F14F7">
        <w:tc>
          <w:tcPr>
            <w:tcW w:w="2547" w:type="dxa"/>
            <w:vMerge/>
          </w:tcPr>
          <w:p w14:paraId="3A32526B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870" w:type="dxa"/>
          </w:tcPr>
          <w:p w14:paraId="4158F528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5CEC3529" w14:textId="77777777" w:rsidTr="008F14F7">
        <w:tc>
          <w:tcPr>
            <w:tcW w:w="2547" w:type="dxa"/>
            <w:vMerge/>
          </w:tcPr>
          <w:p w14:paraId="0207F6D8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870" w:type="dxa"/>
          </w:tcPr>
          <w:p w14:paraId="2FC613A4" w14:textId="77777777" w:rsidR="00B767F3" w:rsidRPr="00DA7474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DA7474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131"/>
      </w:tblGrid>
      <w:tr w:rsidR="00B767F3" w:rsidRPr="00DA7474" w14:paraId="3EFEA890" w14:textId="77777777" w:rsidTr="008F14F7">
        <w:trPr>
          <w:trHeight w:val="300"/>
        </w:trPr>
        <w:tc>
          <w:tcPr>
            <w:tcW w:w="9918" w:type="dxa"/>
            <w:gridSpan w:val="4"/>
          </w:tcPr>
          <w:p w14:paraId="2A0FE631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DA7474" w14:paraId="433A9B5A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DA7474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DA7474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DA7474" w14:paraId="79A5CFAF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DA7474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DA7474" w14:paraId="2A3330D6" w14:textId="77777777" w:rsidTr="00591FD4">
        <w:trPr>
          <w:trHeight w:val="265"/>
        </w:trPr>
        <w:tc>
          <w:tcPr>
            <w:tcW w:w="9918" w:type="dxa"/>
            <w:gridSpan w:val="4"/>
          </w:tcPr>
          <w:p w14:paraId="691D758A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DA7474" w14:paraId="567A614A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DA7474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4BCF0BE7" w:rsidR="00FF5783" w:rsidRPr="00DA7474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591FD4" w:rsidRPr="00DA7474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="00591FD4" w:rsidRPr="00DA7474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EE645E"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DA7474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DA7474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DA7474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 w:rsidRPr="00DA7474">
              <w:rPr>
                <w:rFonts w:ascii="Cambria" w:hAnsi="Cambria"/>
                <w:color w:val="000000" w:themeColor="text1"/>
                <w:sz w:val="20"/>
              </w:rPr>
              <w:t>vimą, pervežimą į instaliavimo vietą, instaliavimą,</w:t>
            </w:r>
            <w:r w:rsidR="00517EEE" w:rsidRPr="00DA7474">
              <w:rPr>
                <w:rFonts w:ascii="Cambria" w:hAnsi="Cambria"/>
                <w:sz w:val="20"/>
              </w:rPr>
              <w:t xml:space="preserve"> </w:t>
            </w:r>
            <w:r w:rsidR="00517EEE" w:rsidRPr="00DA7474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1540AA" w:rsidRPr="00DA7474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336102" w:rsidRPr="00DA7474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DA7474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254C89" w:rsidRPr="00DA7474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DA7474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DA7474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A7474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 w:rsidRPr="00DA7474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 w:rsidRPr="00DA7474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 w:rsidRPr="00DA7474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DA7474" w14:paraId="583E85D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3.2. Pirkimo pavadinimas ir numeris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A15E426" w:rsidR="00B767F3" w:rsidRPr="00DA7474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DA7474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83544D" w:rsidRPr="00DA7474">
              <w:rPr>
                <w:rFonts w:ascii="Cambria" w:hAnsi="Cambria"/>
                <w:kern w:val="2"/>
                <w:sz w:val="20"/>
              </w:rPr>
              <w:t>Anestezijos aparatas pritaikytas naudoti MRT aparato aplinkoje ir paciento gyvybinių parametrų monitorius pritaikytas naudoti MRT aparato aplinkoje</w:t>
            </w:r>
            <w:r w:rsidR="00FF5783" w:rsidRPr="00DA7474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DA7474" w14:paraId="44A6369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Pr="00DA7474" w:rsidRDefault="00432F0B" w:rsidP="00B85F3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09-002-P-0003, pavadinimas „Aukščiausio lygio sveikatos priežiūros paslaugų plėtra LSMUL Kauno klinikose siekiant pagerinti </w:t>
            </w:r>
            <w:proofErr w:type="spellStart"/>
            <w:r w:rsidRPr="00DA7474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DA7474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 w:rsidRPr="00DA7474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DA7474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DA7474" w14:paraId="7A8EB718" w14:textId="77777777" w:rsidTr="008F14F7">
        <w:trPr>
          <w:trHeight w:val="300"/>
        </w:trPr>
        <w:tc>
          <w:tcPr>
            <w:tcW w:w="9918" w:type="dxa"/>
            <w:gridSpan w:val="4"/>
          </w:tcPr>
          <w:p w14:paraId="378814B2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DA7474" w14:paraId="4F2DE1B1" w14:textId="77777777" w:rsidTr="008F14F7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A7474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DA7474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DA7474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DA7474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DA7474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DA7474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DA7474">
              <w:rPr>
                <w:rFonts w:ascii="Cambria" w:hAnsi="Cambria"/>
                <w:kern w:val="2"/>
                <w:sz w:val="20"/>
              </w:rPr>
              <w:t>,</w:t>
            </w:r>
            <w:r w:rsidR="00AD561C" w:rsidRPr="00DA7474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DA7474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DA7474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DA7474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5FA1F0C6" w:rsidR="00FF5783" w:rsidRPr="00DA7474" w:rsidRDefault="00AD561C" w:rsidP="001A30EB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DA7474">
              <w:rPr>
                <w:rFonts w:ascii="Cambria" w:hAnsi="Cambria"/>
                <w:sz w:val="20"/>
              </w:rPr>
              <w:t xml:space="preserve"> </w:t>
            </w:r>
            <w:r w:rsidR="001A30EB" w:rsidRPr="00DA7474">
              <w:rPr>
                <w:rFonts w:ascii="Cambria" w:hAnsi="Cambria"/>
                <w:sz w:val="20"/>
              </w:rPr>
              <w:t>instaliavimą, po instaliavimo likusių įpakavimo medžiagų išvežimą (utilizavimą)</w:t>
            </w:r>
            <w:r w:rsidR="00C063DA" w:rsidRPr="00DA7474">
              <w:rPr>
                <w:rFonts w:ascii="Cambria" w:hAnsi="Cambria"/>
                <w:sz w:val="20"/>
              </w:rPr>
              <w:t xml:space="preserve">, </w:t>
            </w:r>
            <w:r w:rsidR="00AA334A" w:rsidRPr="00DA7474">
              <w:rPr>
                <w:rFonts w:ascii="Cambria" w:hAnsi="Cambria"/>
                <w:sz w:val="20"/>
              </w:rPr>
              <w:t>Pirkėjo specialist</w:t>
            </w:r>
            <w:r w:rsidR="00254C89" w:rsidRPr="00DA7474">
              <w:rPr>
                <w:rFonts w:ascii="Cambria" w:hAnsi="Cambria"/>
                <w:sz w:val="20"/>
              </w:rPr>
              <w:t xml:space="preserve">ų apmokymą naudotis Prekėmis ir Pirkėjo techninio personalo įvadinį apmokymą atlikti įrangos </w:t>
            </w:r>
            <w:proofErr w:type="spellStart"/>
            <w:r w:rsidR="00254C89" w:rsidRPr="00DA7474">
              <w:rPr>
                <w:rFonts w:ascii="Cambria" w:hAnsi="Cambria"/>
                <w:sz w:val="20"/>
              </w:rPr>
              <w:t>pogarantinę</w:t>
            </w:r>
            <w:proofErr w:type="spellEnd"/>
            <w:r w:rsidR="00254C89" w:rsidRPr="00DA7474">
              <w:rPr>
                <w:rFonts w:ascii="Cambria" w:hAnsi="Cambria"/>
                <w:sz w:val="20"/>
              </w:rPr>
              <w:t xml:space="preserve"> techninę priežiūrą</w:t>
            </w:r>
            <w:r w:rsidRPr="00DA7474">
              <w:rPr>
                <w:rFonts w:ascii="Cambria" w:hAnsi="Cambria"/>
                <w:sz w:val="20"/>
              </w:rPr>
              <w:t xml:space="preserve"> atlikti </w:t>
            </w:r>
            <w:r w:rsidRPr="00DA7474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DA7474">
              <w:rPr>
                <w:rFonts w:ascii="Cambria" w:hAnsi="Cambria"/>
                <w:b/>
                <w:sz w:val="20"/>
              </w:rPr>
              <w:t>4 (keturias</w:t>
            </w:r>
            <w:r w:rsidRPr="00DA7474">
              <w:rPr>
                <w:rFonts w:ascii="Cambria" w:hAnsi="Cambria"/>
                <w:b/>
                <w:sz w:val="20"/>
              </w:rPr>
              <w:t>) savaites</w:t>
            </w:r>
            <w:r w:rsidRPr="00DA7474">
              <w:rPr>
                <w:rFonts w:ascii="Cambria" w:hAnsi="Cambria"/>
                <w:sz w:val="20"/>
              </w:rPr>
              <w:t xml:space="preserve"> </w:t>
            </w:r>
            <w:r w:rsidR="00AA334A" w:rsidRPr="00DA7474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DA7474">
              <w:rPr>
                <w:rFonts w:ascii="Cambria" w:hAnsi="Cambria"/>
                <w:sz w:val="20"/>
              </w:rPr>
              <w:t>ą</w:t>
            </w:r>
            <w:r w:rsidR="00AA334A" w:rsidRPr="00DA7474">
              <w:rPr>
                <w:rFonts w:ascii="Cambria" w:hAnsi="Cambria"/>
                <w:sz w:val="20"/>
              </w:rPr>
              <w:t xml:space="preserve"> naudoti) pateikimo dienos</w:t>
            </w:r>
            <w:r w:rsidRPr="00DA7474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DA7474" w14:paraId="561BFE7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23D0B5E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DA7474" w:rsidRDefault="00700184" w:rsidP="00A3260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DA7474" w14:paraId="5806B10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DA7474" w14:paraId="30B555A8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DA7474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DA7474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A7474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480F3870" w14:textId="629ED490" w:rsidR="002D4204" w:rsidRPr="00DA7474" w:rsidRDefault="002D4204" w:rsidP="00154937">
            <w:pPr>
              <w:ind w:left="15" w:firstLine="284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A7474">
              <w:rPr>
                <w:rFonts w:ascii="Cambria" w:hAnsi="Cambria" w:cs="Calibri"/>
                <w:kern w:val="2"/>
                <w:sz w:val="20"/>
              </w:rPr>
              <w:t>(i) Vartotojo instrukcija lietuvių kalba</w:t>
            </w:r>
            <w:r w:rsidR="009D5B39" w:rsidRPr="00DA7474">
              <w:rPr>
                <w:rFonts w:ascii="Cambria" w:hAnsi="Cambria" w:cs="Calibri"/>
                <w:kern w:val="2"/>
                <w:sz w:val="20"/>
              </w:rPr>
              <w:t>;</w:t>
            </w:r>
          </w:p>
          <w:p w14:paraId="52580A76" w14:textId="486A50AA" w:rsidR="00811D80" w:rsidRPr="00DA7474" w:rsidRDefault="008F14F7" w:rsidP="008F14F7">
            <w:pPr>
              <w:tabs>
                <w:tab w:val="left" w:pos="724"/>
              </w:tabs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(ii)   </w:t>
            </w:r>
            <w:r w:rsidR="00DC54B9" w:rsidRPr="00DA7474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811D80" w:rsidRPr="00DA7474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2F94A5A5" w:rsidR="00811D80" w:rsidRPr="00DA7474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A7474">
              <w:rPr>
                <w:rFonts w:ascii="Cambria" w:hAnsi="Cambria" w:cs="Calibri"/>
                <w:kern w:val="2"/>
                <w:sz w:val="20"/>
              </w:rPr>
              <w:t>(i</w:t>
            </w:r>
            <w:r w:rsidR="00E56CA0" w:rsidRPr="00DA7474">
              <w:rPr>
                <w:rFonts w:ascii="Cambria" w:hAnsi="Cambria" w:cs="Calibri"/>
                <w:kern w:val="2"/>
                <w:sz w:val="20"/>
              </w:rPr>
              <w:t>ii</w:t>
            </w:r>
            <w:r w:rsidRPr="00DA7474">
              <w:rPr>
                <w:rFonts w:ascii="Cambria" w:hAnsi="Cambria" w:cs="Calibri"/>
                <w:kern w:val="2"/>
                <w:sz w:val="20"/>
              </w:rPr>
              <w:t xml:space="preserve">)   </w:t>
            </w:r>
            <w:r w:rsidR="00811D80" w:rsidRPr="00DA7474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DA7474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74A37C03" w:rsidR="00E05AEB" w:rsidRPr="00DA7474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A7474">
              <w:rPr>
                <w:rFonts w:ascii="Cambria" w:hAnsi="Cambria" w:cs="Calibri"/>
                <w:kern w:val="2"/>
                <w:sz w:val="20"/>
              </w:rPr>
              <w:t>(</w:t>
            </w:r>
            <w:r w:rsidR="00E56CA0" w:rsidRPr="00DA7474">
              <w:rPr>
                <w:rFonts w:ascii="Cambria" w:hAnsi="Cambria" w:cs="Calibri"/>
                <w:kern w:val="2"/>
                <w:sz w:val="20"/>
              </w:rPr>
              <w:t>i</w:t>
            </w:r>
            <w:r w:rsidRPr="00DA7474">
              <w:rPr>
                <w:rFonts w:ascii="Cambria" w:hAnsi="Cambria" w:cs="Calibri"/>
                <w:kern w:val="2"/>
                <w:sz w:val="20"/>
              </w:rPr>
              <w:t xml:space="preserve">v)  </w:t>
            </w:r>
            <w:r w:rsidR="00311497" w:rsidRPr="00DA7474">
              <w:rPr>
                <w:rFonts w:ascii="Cambria" w:hAnsi="Cambria" w:cs="Calibri"/>
                <w:kern w:val="2"/>
                <w:sz w:val="20"/>
              </w:rPr>
              <w:t>galiojančio dokumento, liudijančio P</w:t>
            </w:r>
            <w:r w:rsidR="00383C43" w:rsidRPr="00DA7474">
              <w:rPr>
                <w:rFonts w:ascii="Cambria" w:hAnsi="Cambria" w:cs="Calibri"/>
                <w:kern w:val="2"/>
                <w:sz w:val="20"/>
              </w:rPr>
              <w:t>rekių žymėjimą CE ženklu, kopija</w:t>
            </w:r>
            <w:r w:rsidR="00311497" w:rsidRPr="00DA7474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4078853B" w:rsidR="00700184" w:rsidRPr="00DA7474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DA7474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DA7474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DA7474">
              <w:rPr>
                <w:rFonts w:ascii="Cambria" w:hAnsi="Cambria" w:cs="Calibri"/>
                <w:kern w:val="2"/>
                <w:sz w:val="20"/>
              </w:rPr>
              <w:t xml:space="preserve"> nepateikus nurodytų dokumentų, laikoma, kad Prekės neatitinka Sutartyje nustatytų reikalavimų.</w:t>
            </w:r>
          </w:p>
        </w:tc>
      </w:tr>
      <w:tr w:rsidR="00B767F3" w:rsidRPr="00DA7474" w14:paraId="256DAE69" w14:textId="77777777" w:rsidTr="008F14F7">
        <w:trPr>
          <w:trHeight w:val="300"/>
        </w:trPr>
        <w:tc>
          <w:tcPr>
            <w:tcW w:w="9918" w:type="dxa"/>
            <w:gridSpan w:val="4"/>
          </w:tcPr>
          <w:p w14:paraId="37A3E3FA" w14:textId="1CE5F210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DA7474" w14:paraId="79E7586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A7474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DA7474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DA7474" w14:paraId="36E44EE1" w14:textId="77777777" w:rsidTr="008F14F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DA7474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DA7474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DA7474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DA7474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DA7474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1" w:type="dxa"/>
            <w:gridSpan w:val="2"/>
          </w:tcPr>
          <w:p w14:paraId="0F5EDCBB" w14:textId="77777777" w:rsidR="001E7FDB" w:rsidRPr="00DA7474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DA7474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DA7474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DA7474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DA7474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DA7474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DA7474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DA7474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DA7474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DA7474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DA7474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Šioje Sutartyje P</w:t>
            </w:r>
            <w:r w:rsidRPr="00DA7474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DA7474" w14:paraId="4E598B6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A7474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A7474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A7474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A7474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A7474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DA7474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A7474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DA7474" w14:paraId="5FAF554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DA7474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DA7474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lastRenderedPageBreak/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DA7474" w14:paraId="4560B71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DA7474">
              <w:rPr>
                <w:rFonts w:ascii="Cambria" w:hAnsi="Cambria"/>
                <w:kern w:val="2"/>
                <w:sz w:val="20"/>
              </w:rPr>
              <w:t> 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DA7474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DA7474" w14:paraId="6C0C5CB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DA7474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B70481C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DA7474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DA7474">
              <w:rPr>
                <w:rFonts w:ascii="Cambria" w:hAnsi="Cambria"/>
                <w:sz w:val="20"/>
              </w:rPr>
              <w:t xml:space="preserve">Sutarties įsigaliojimo dienos 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DA7474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DA7474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DA7474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5.3.3.2. Sutarties k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5.3.3.3. 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DA7474" w:rsidRDefault="00DA7474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DA7474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DA7474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a</w:t>
            </w:r>
            <w:r w:rsidRPr="00DA7474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DA7474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DA7474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DA7474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DA7474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DA7474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DA7474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DA7474">
              <w:rPr>
                <w:rFonts w:ascii="Cambria" w:hAnsi="Cambria"/>
                <w:kern w:val="2"/>
                <w:sz w:val="20"/>
              </w:rPr>
              <w:t>Ind</w:t>
            </w:r>
            <w:r w:rsidRPr="00DA7474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DA7474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DA7474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DA7474">
              <w:rPr>
                <w:rFonts w:ascii="Cambria" w:hAnsi="Cambria"/>
                <w:kern w:val="2"/>
                <w:sz w:val="20"/>
              </w:rPr>
              <w:t>Ind</w:t>
            </w:r>
            <w:r w:rsidRPr="00DA7474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DA7474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DA7474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DA7474">
              <w:rPr>
                <w:rFonts w:ascii="Cambria" w:hAnsi="Cambria"/>
                <w:sz w:val="20"/>
              </w:rPr>
              <w:t>Sutarties įsigaliojimo dienos mėnuo</w:t>
            </w:r>
            <w:r w:rsidR="00AC58F5" w:rsidRPr="00DA7474">
              <w:rPr>
                <w:rFonts w:ascii="Cambria" w:hAnsi="Cambria"/>
                <w:sz w:val="20"/>
              </w:rPr>
              <w:t xml:space="preserve">. </w:t>
            </w:r>
            <w:r w:rsidRPr="00DA7474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5.3.3.7. 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DA7474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</w:t>
            </w:r>
            <w:r w:rsidRPr="00DA7474">
              <w:rPr>
                <w:rFonts w:ascii="Cambria" w:hAnsi="Cambria"/>
                <w:kern w:val="2"/>
                <w:sz w:val="20"/>
              </w:rPr>
              <w:t>.3.3.9. 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DA7474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DA7474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DA7474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DA7474" w14:paraId="312BC1F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75CD94C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267E808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4FCCDCF0" w:rsidR="00302148" w:rsidRPr="00DA7474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DA7474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</w:t>
            </w:r>
            <w:r w:rsidRPr="00DA7474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DA7474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DA7474" w14:paraId="235F5A3F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DA7474" w14:paraId="0986FD7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  <w:r w:rsidRPr="00DA7474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DA7474" w14:paraId="397E6A62" w14:textId="77777777" w:rsidTr="008F14F7">
        <w:trPr>
          <w:trHeight w:val="300"/>
        </w:trPr>
        <w:tc>
          <w:tcPr>
            <w:tcW w:w="9918" w:type="dxa"/>
            <w:gridSpan w:val="4"/>
          </w:tcPr>
          <w:p w14:paraId="1AB554AE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B051C6" w:rsidRPr="00DA7474" w14:paraId="193F6F52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051C6" w:rsidRPr="00DA7474" w:rsidRDefault="00B051C6" w:rsidP="00B051C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211" w:type="dxa"/>
            <w:gridSpan w:val="2"/>
          </w:tcPr>
          <w:p w14:paraId="6A7ED990" w14:textId="52A89AC2" w:rsidR="006E3675" w:rsidRPr="00DA7474" w:rsidRDefault="00B50528" w:rsidP="006E367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Prekėms nustatomi Tiekėjo pasiūlyti arba Prekių gamintojo taikomi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 xml:space="preserve"> Garantini</w:t>
            </w:r>
            <w:r w:rsidRPr="00DA7474">
              <w:rPr>
                <w:rFonts w:ascii="Cambria" w:hAnsi="Cambria"/>
                <w:kern w:val="2"/>
                <w:sz w:val="20"/>
              </w:rPr>
              <w:t>ai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DA7474">
              <w:rPr>
                <w:rFonts w:ascii="Cambria" w:hAnsi="Cambria"/>
                <w:kern w:val="2"/>
                <w:sz w:val="20"/>
              </w:rPr>
              <w:t>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>, tačia</w:t>
            </w:r>
            <w:r w:rsidRPr="00DA7474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 xml:space="preserve"> kaip Sutarties 1</w:t>
            </w:r>
            <w:r w:rsidR="00D53972"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>priedo „Techninė s</w:t>
            </w:r>
            <w:r w:rsidR="00481F45" w:rsidRPr="00DA7474">
              <w:rPr>
                <w:rFonts w:ascii="Cambria" w:hAnsi="Cambria"/>
                <w:kern w:val="2"/>
                <w:sz w:val="20"/>
              </w:rPr>
              <w:t>pecifikacija“ 21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punkte nurodyti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DA7474">
              <w:rPr>
                <w:rFonts w:ascii="Cambria" w:hAnsi="Cambria"/>
                <w:kern w:val="2"/>
                <w:sz w:val="20"/>
              </w:rPr>
              <w:t>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>. [</w:t>
            </w:r>
            <w:r w:rsidR="006E3675" w:rsidRPr="00DA7474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 w:rsidR="00481F45" w:rsidRPr="00DA7474">
              <w:rPr>
                <w:rFonts w:ascii="Cambria" w:hAnsi="Cambria"/>
                <w:i/>
                <w:kern w:val="2"/>
                <w:sz w:val="20"/>
              </w:rPr>
              <w:t>1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>].</w:t>
            </w:r>
          </w:p>
          <w:p w14:paraId="414257F9" w14:textId="29A13DD9" w:rsidR="006E3675" w:rsidRPr="00DA7474" w:rsidRDefault="00B50528" w:rsidP="006E367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Prekėms nustatomi Tiekėjo pasiūlyti arba Prekių gamintojo taikomi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 xml:space="preserve"> Garantini</w:t>
            </w:r>
            <w:r w:rsidRPr="00DA7474">
              <w:rPr>
                <w:rFonts w:ascii="Cambria" w:hAnsi="Cambria"/>
                <w:kern w:val="2"/>
                <w:sz w:val="20"/>
              </w:rPr>
              <w:t>ai terminai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>, tačia</w:t>
            </w:r>
            <w:r w:rsidRPr="00DA7474">
              <w:rPr>
                <w:rFonts w:ascii="Cambria" w:hAnsi="Cambria"/>
                <w:kern w:val="2"/>
                <w:sz w:val="20"/>
              </w:rPr>
              <w:t>u bet kokiu atveju ne trumpesni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 xml:space="preserve"> kaip Sutarties 1 priedo „Techninė sp</w:t>
            </w:r>
            <w:r w:rsidR="00481F45" w:rsidRPr="00DA7474">
              <w:rPr>
                <w:rFonts w:ascii="Cambria" w:hAnsi="Cambria"/>
                <w:kern w:val="2"/>
                <w:sz w:val="20"/>
              </w:rPr>
              <w:t>ecifikacija“ 18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punkte nurodyti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Pr="00DA7474">
              <w:rPr>
                <w:rFonts w:ascii="Cambria" w:hAnsi="Cambria"/>
                <w:kern w:val="2"/>
                <w:sz w:val="20"/>
              </w:rPr>
              <w:t>i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>. [</w:t>
            </w:r>
            <w:r w:rsidR="006E3675" w:rsidRPr="00DA7474">
              <w:rPr>
                <w:rFonts w:ascii="Cambria" w:hAnsi="Cambria"/>
                <w:i/>
                <w:kern w:val="2"/>
                <w:sz w:val="20"/>
              </w:rPr>
              <w:t xml:space="preserve">Šis punktas taikomas pirkimo daliai Nr. </w:t>
            </w:r>
            <w:r w:rsidR="00481F45" w:rsidRPr="00DA7474">
              <w:rPr>
                <w:rFonts w:ascii="Cambria" w:hAnsi="Cambria"/>
                <w:i/>
                <w:kern w:val="2"/>
                <w:sz w:val="20"/>
              </w:rPr>
              <w:t>2</w:t>
            </w:r>
            <w:r w:rsidR="006E3675" w:rsidRPr="00DA7474">
              <w:rPr>
                <w:rFonts w:ascii="Cambria" w:hAnsi="Cambria"/>
                <w:kern w:val="2"/>
                <w:sz w:val="20"/>
              </w:rPr>
              <w:t>].</w:t>
            </w:r>
          </w:p>
          <w:p w14:paraId="5290D4C5" w14:textId="2945D51A" w:rsidR="00B051C6" w:rsidRPr="00DA7474" w:rsidRDefault="00B051C6" w:rsidP="006E3675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051C6" w:rsidRPr="00DA7474" w14:paraId="7C487E9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B051C6" w:rsidRPr="00DA7474" w:rsidRDefault="00B051C6" w:rsidP="00B051C6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211" w:type="dxa"/>
            <w:gridSpan w:val="2"/>
          </w:tcPr>
          <w:p w14:paraId="5F22A379" w14:textId="77777777" w:rsidR="00B051C6" w:rsidRPr="00DA7474" w:rsidRDefault="00B051C6" w:rsidP="00B051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48604CE4" w:rsidR="002C4ECD" w:rsidRPr="00DA7474" w:rsidRDefault="002C4ECD" w:rsidP="00B051C6">
            <w:pPr>
              <w:jc w:val="both"/>
              <w:rPr>
                <w:rFonts w:ascii="Cambria" w:hAnsi="Cambria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Garantijos laikotarpiu Tiekėjas turi nemokamai atlikti įrangos remontą, įskaitant remontui atlikti reikalingas detales bei medžiagas, o taip pat ir gamintojo rekomenduojamu periodiškumu nemokamai atlikti techninę priežiūrą,  įskaitant techninei priežiūrai atlikti reikalingas detales ir medžiagas.</w:t>
            </w:r>
          </w:p>
        </w:tc>
      </w:tr>
      <w:tr w:rsidR="00B767F3" w:rsidRPr="00DA7474" w14:paraId="459ADC5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DA7474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DA7474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DA7474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DA7474" w14:paraId="5D562E8D" w14:textId="77777777" w:rsidTr="008F14F7">
        <w:trPr>
          <w:trHeight w:val="300"/>
        </w:trPr>
        <w:tc>
          <w:tcPr>
            <w:tcW w:w="9918" w:type="dxa"/>
            <w:gridSpan w:val="4"/>
          </w:tcPr>
          <w:p w14:paraId="6103796D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DA7474" w14:paraId="3110BF2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DA7474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DA7474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DA7474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DA7474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A7474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DA7474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DA7474" w:rsidRDefault="005652B5" w:rsidP="00C5109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DA7474" w14:paraId="0E57F611" w14:textId="77777777" w:rsidTr="008F14F7">
        <w:trPr>
          <w:trHeight w:val="300"/>
        </w:trPr>
        <w:tc>
          <w:tcPr>
            <w:tcW w:w="9918" w:type="dxa"/>
            <w:gridSpan w:val="4"/>
          </w:tcPr>
          <w:p w14:paraId="6A81BDB7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DA7474" w14:paraId="5F1C889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DA7474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DA7474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</w:t>
            </w:r>
            <w:r w:rsidR="00C90B42" w:rsidRPr="00DA7474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DA7474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DA7474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DA7474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Sutarties įvykdymo užtikrinimo sumos pervedimu į Pirkėjo banko sąskaitą (kartu su pervedimą įrodančia dokumento kopija). Sutartį nutraukus dėl Tiekėjo kaltės, </w:t>
            </w:r>
            <w:r w:rsidRPr="00DA7474">
              <w:rPr>
                <w:rFonts w:ascii="Cambria" w:hAnsi="Cambria"/>
                <w:kern w:val="2"/>
                <w:sz w:val="20"/>
              </w:rPr>
              <w:lastRenderedPageBreak/>
              <w:t>visa Special</w:t>
            </w:r>
            <w:r w:rsidR="00290CA5" w:rsidRPr="00DA7474">
              <w:rPr>
                <w:rFonts w:ascii="Cambria" w:hAnsi="Cambria"/>
                <w:kern w:val="2"/>
                <w:sz w:val="20"/>
              </w:rPr>
              <w:t>iųjų sąlygų 8.3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DA7474" w14:paraId="5707061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8.2. Sutarties įvykdymo užtikrinimo galiojimo terminas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DA7474" w:rsidRDefault="000A0A6F" w:rsidP="00C5109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DA747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DA7474" w14:paraId="0C2A7468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DA7474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DA7474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 w:rsidRPr="00DA7474">
              <w:rPr>
                <w:rFonts w:ascii="Cambria" w:hAnsi="Cambria"/>
                <w:kern w:val="2"/>
                <w:sz w:val="20"/>
              </w:rPr>
              <w:t>pervesti į Pirkėjo banko sąskaitą Sutarties įvykdymo užtikrinimo sumą</w:t>
            </w:r>
            <w:r w:rsidRPr="00DA7474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DA7474" w14:paraId="198AFEE0" w14:textId="77777777" w:rsidTr="008F14F7">
        <w:trPr>
          <w:trHeight w:val="300"/>
        </w:trPr>
        <w:tc>
          <w:tcPr>
            <w:tcW w:w="9918" w:type="dxa"/>
            <w:gridSpan w:val="4"/>
          </w:tcPr>
          <w:p w14:paraId="53C07666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DA7474" w14:paraId="0C76AE4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DA7474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DA7474">
              <w:rPr>
                <w:rFonts w:ascii="Cambria" w:hAnsi="Cambria"/>
                <w:kern w:val="2"/>
                <w:sz w:val="20"/>
              </w:rPr>
              <w:t>6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DA7474">
              <w:rPr>
                <w:rFonts w:ascii="Cambria" w:hAnsi="Cambria"/>
                <w:kern w:val="2"/>
                <w:sz w:val="20"/>
              </w:rPr>
              <w:t>šešių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DA7474">
              <w:rPr>
                <w:rFonts w:ascii="Cambria" w:hAnsi="Cambria"/>
                <w:kern w:val="2"/>
                <w:sz w:val="20"/>
              </w:rPr>
              <w:t>ųjų</w:t>
            </w:r>
            <w:r w:rsidRPr="00DA7474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DA7474" w14:paraId="66B563D2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DA7474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DA7474">
              <w:rPr>
                <w:rFonts w:ascii="Cambria" w:hAnsi="Cambria"/>
                <w:sz w:val="20"/>
              </w:rPr>
              <w:t xml:space="preserve"> </w:t>
            </w:r>
            <w:r w:rsidRPr="00DA7474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DA7474">
              <w:rPr>
                <w:rFonts w:ascii="Cambria" w:hAnsi="Cambria"/>
                <w:kern w:val="2"/>
                <w:sz w:val="20"/>
              </w:rPr>
              <w:t>6</w:t>
            </w:r>
            <w:r w:rsidRPr="00DA7474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DA7474">
              <w:rPr>
                <w:rFonts w:ascii="Cambria" w:hAnsi="Cambria"/>
                <w:kern w:val="2"/>
                <w:sz w:val="20"/>
              </w:rPr>
              <w:t>šešių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DA7474">
              <w:rPr>
                <w:rFonts w:ascii="Cambria" w:hAnsi="Cambria"/>
                <w:kern w:val="2"/>
                <w:sz w:val="20"/>
              </w:rPr>
              <w:t>ųjų</w:t>
            </w:r>
            <w:r w:rsidRPr="00DA7474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DA7474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DA7474">
              <w:rPr>
                <w:rFonts w:ascii="Cambria" w:hAnsi="Cambria"/>
                <w:sz w:val="20"/>
                <w:lang w:val="lt"/>
              </w:rPr>
              <w:t>6</w:t>
            </w:r>
            <w:r w:rsidRPr="00DA7474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DA7474">
              <w:rPr>
                <w:rFonts w:ascii="Cambria" w:hAnsi="Cambria"/>
                <w:sz w:val="20"/>
                <w:lang w:val="lt"/>
              </w:rPr>
              <w:t>šešių</w:t>
            </w:r>
            <w:r w:rsidRPr="00DA7474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DA7474">
              <w:rPr>
                <w:rFonts w:ascii="Cambria" w:hAnsi="Cambria"/>
                <w:sz w:val="20"/>
                <w:lang w:val="lt"/>
              </w:rPr>
              <w:t>ųjų</w:t>
            </w:r>
            <w:r w:rsidRPr="00DA7474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DA7474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DA7474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DA7474">
              <w:rPr>
                <w:rFonts w:ascii="Cambria" w:hAnsi="Cambria"/>
                <w:sz w:val="20"/>
              </w:rPr>
              <w:t>išskaitoma iš Tiekėjui mokėtinos sumos.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DA7474" w14:paraId="6CD13A4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DA7474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DA7474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4B4EE2" w:rsidRPr="00DA7474">
              <w:rPr>
                <w:rFonts w:ascii="Cambria" w:hAnsi="Cambria"/>
                <w:kern w:val="2"/>
                <w:sz w:val="20"/>
              </w:rPr>
              <w:t>1</w:t>
            </w:r>
            <w:r w:rsidR="009F5CF5" w:rsidRPr="00DA7474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DA7474">
              <w:rPr>
                <w:rFonts w:ascii="Cambria" w:hAnsi="Cambria"/>
                <w:kern w:val="2"/>
                <w:sz w:val="20"/>
              </w:rPr>
              <w:t>(</w:t>
            </w:r>
            <w:r w:rsidR="004B4EE2" w:rsidRPr="00DA7474">
              <w:rPr>
                <w:rFonts w:ascii="Cambria" w:hAnsi="Cambria"/>
                <w:kern w:val="2"/>
                <w:sz w:val="20"/>
              </w:rPr>
              <w:t>dešimt</w:t>
            </w:r>
            <w:r w:rsidRPr="00DA7474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DA7474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9.3.2. </w:t>
            </w:r>
            <w:r w:rsidRPr="00DA7474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DA7474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DA7474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DA7474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DA7474" w14:paraId="539B299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DA7474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DA7474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DA7474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3086B7F9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DA7474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DA7474" w14:paraId="3F603DB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DA7474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DA7474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A7474" w14:paraId="614E463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9.7. Tiekėjui taikomos netesybos dėl pirkimo dokumentuose nustatytų Kokybinių kriterijų </w:t>
            </w:r>
            <w:proofErr w:type="spellStart"/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DA7474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DA7474" w14:paraId="11D432F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DA7474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A7474" w14:paraId="57850F0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DA7474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DA7474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A7474" w14:paraId="40E1CD3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DA7474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DA7474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A7474" w14:paraId="0126462E" w14:textId="77777777" w:rsidTr="008F14F7">
        <w:trPr>
          <w:trHeight w:val="300"/>
        </w:trPr>
        <w:tc>
          <w:tcPr>
            <w:tcW w:w="9918" w:type="dxa"/>
            <w:gridSpan w:val="4"/>
          </w:tcPr>
          <w:p w14:paraId="318973A5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DA7474" w14:paraId="4D59E15A" w14:textId="77777777" w:rsidTr="008F14F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211" w:type="dxa"/>
            <w:gridSpan w:val="2"/>
          </w:tcPr>
          <w:p w14:paraId="3B8BBBF9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DA7474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DA7474" w14:paraId="0F5458CF" w14:textId="77777777" w:rsidTr="008F14F7">
        <w:trPr>
          <w:trHeight w:val="300"/>
        </w:trPr>
        <w:tc>
          <w:tcPr>
            <w:tcW w:w="2700" w:type="dxa"/>
          </w:tcPr>
          <w:p w14:paraId="0C270B5F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218" w:type="dxa"/>
            <w:gridSpan w:val="3"/>
          </w:tcPr>
          <w:p w14:paraId="0FF4ED14" w14:textId="77777777" w:rsidR="009F5CF5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DA7474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DA7474" w14:paraId="70836C3F" w14:textId="77777777" w:rsidTr="008F14F7">
        <w:trPr>
          <w:trHeight w:val="300"/>
        </w:trPr>
        <w:tc>
          <w:tcPr>
            <w:tcW w:w="9918" w:type="dxa"/>
            <w:gridSpan w:val="4"/>
          </w:tcPr>
          <w:p w14:paraId="31DFC488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DA7474" w14:paraId="1E6FEC1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DA7474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DA7474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 w:rsidRPr="00DA7474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DA7474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DA7474" w14:paraId="6568EF2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DA7474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5BFF1F84" w14:textId="1401208B" w:rsidR="00B767F3" w:rsidRPr="00DA7474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 w:rsidRPr="00DA7474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DA7474" w14:paraId="0284242D" w14:textId="77777777" w:rsidTr="008F14F7">
        <w:trPr>
          <w:trHeight w:val="300"/>
        </w:trPr>
        <w:tc>
          <w:tcPr>
            <w:tcW w:w="9918" w:type="dxa"/>
            <w:gridSpan w:val="4"/>
          </w:tcPr>
          <w:p w14:paraId="05AABF93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DA7474" w14:paraId="02CDEAC4" w14:textId="77777777" w:rsidTr="008F14F7">
        <w:trPr>
          <w:trHeight w:val="300"/>
        </w:trPr>
        <w:tc>
          <w:tcPr>
            <w:tcW w:w="2700" w:type="dxa"/>
          </w:tcPr>
          <w:p w14:paraId="226C878D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218" w:type="dxa"/>
            <w:gridSpan w:val="3"/>
          </w:tcPr>
          <w:p w14:paraId="6FAE0A4C" w14:textId="438CCD3E" w:rsidR="00B767F3" w:rsidRPr="00DA7474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DA7474" w14:paraId="69CB11D9" w14:textId="77777777" w:rsidTr="008F14F7">
        <w:trPr>
          <w:trHeight w:val="300"/>
        </w:trPr>
        <w:tc>
          <w:tcPr>
            <w:tcW w:w="2700" w:type="dxa"/>
          </w:tcPr>
          <w:p w14:paraId="30B41D12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DA7474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8" w:type="dxa"/>
            <w:gridSpan w:val="3"/>
          </w:tcPr>
          <w:p w14:paraId="22192202" w14:textId="77777777" w:rsidR="00B767F3" w:rsidRPr="00DA7474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Pr="00DA7474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A7474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DA7474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A7474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A7474">
              <w:rPr>
                <w:rFonts w:ascii="Cambria" w:eastAsia="Arial" w:hAnsi="Cambria"/>
                <w:kern w:val="2"/>
                <w:sz w:val="20"/>
              </w:rPr>
              <w:t>3</w:t>
            </w:r>
            <w:r w:rsidRPr="00DA7474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DA7474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DA7474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DA7474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DA7474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A7474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A7474">
              <w:rPr>
                <w:rFonts w:ascii="Cambria" w:eastAsia="Arial" w:hAnsi="Cambria"/>
                <w:kern w:val="2"/>
                <w:sz w:val="20"/>
              </w:rPr>
              <w:t>4</w:t>
            </w:r>
            <w:r w:rsidRPr="00DA7474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DA7474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A7474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A7474">
              <w:rPr>
                <w:rFonts w:ascii="Cambria" w:eastAsia="Arial" w:hAnsi="Cambria"/>
                <w:kern w:val="2"/>
                <w:sz w:val="20"/>
              </w:rPr>
              <w:t>5</w:t>
            </w:r>
            <w:r w:rsidRPr="00DA7474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DA7474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A7474">
              <w:rPr>
                <w:rFonts w:ascii="Cambria" w:eastAsia="Arial" w:hAnsi="Cambria"/>
                <w:kern w:val="2"/>
                <w:sz w:val="20"/>
              </w:rPr>
              <w:lastRenderedPageBreak/>
              <w:t>12.2.</w:t>
            </w:r>
            <w:r w:rsidR="00C07E40" w:rsidRPr="00DA7474">
              <w:rPr>
                <w:rFonts w:ascii="Cambria" w:eastAsia="Arial" w:hAnsi="Cambria"/>
                <w:kern w:val="2"/>
                <w:sz w:val="20"/>
              </w:rPr>
              <w:t>6</w:t>
            </w:r>
            <w:r w:rsidRPr="00DA7474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DA7474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A7474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A7474">
              <w:rPr>
                <w:rFonts w:ascii="Cambria" w:eastAsia="Arial" w:hAnsi="Cambria"/>
                <w:kern w:val="2"/>
                <w:sz w:val="20"/>
              </w:rPr>
              <w:t>7</w:t>
            </w:r>
            <w:r w:rsidRPr="00DA7474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1669A17" w:rsidR="00B767F3" w:rsidRPr="00DA7474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DA7474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DA7474">
              <w:rPr>
                <w:rFonts w:ascii="Cambria" w:eastAsia="Arial" w:hAnsi="Cambria"/>
                <w:kern w:val="2"/>
                <w:sz w:val="20"/>
              </w:rPr>
              <w:t>8</w:t>
            </w:r>
            <w:r w:rsidRPr="00DA7474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DA7474" w14:paraId="66C5FB47" w14:textId="77777777" w:rsidTr="008F14F7">
        <w:trPr>
          <w:trHeight w:val="300"/>
        </w:trPr>
        <w:tc>
          <w:tcPr>
            <w:tcW w:w="9918" w:type="dxa"/>
            <w:gridSpan w:val="4"/>
          </w:tcPr>
          <w:p w14:paraId="2E78AE5D" w14:textId="37131B70" w:rsidR="00B767F3" w:rsidRPr="00DA7474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DA7474" w14:paraId="2A940830" w14:textId="77777777" w:rsidTr="008F14F7">
        <w:trPr>
          <w:trHeight w:val="300"/>
        </w:trPr>
        <w:tc>
          <w:tcPr>
            <w:tcW w:w="2700" w:type="dxa"/>
          </w:tcPr>
          <w:p w14:paraId="5445B64C" w14:textId="77777777" w:rsidR="00A701FD" w:rsidRPr="00DA7474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218" w:type="dxa"/>
            <w:gridSpan w:val="3"/>
          </w:tcPr>
          <w:p w14:paraId="4B6631DF" w14:textId="4BD54C22" w:rsidR="00A701FD" w:rsidRPr="00DA7474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DA7474" w14:paraId="032072CC" w14:textId="77777777" w:rsidTr="008F14F7">
        <w:trPr>
          <w:trHeight w:val="300"/>
        </w:trPr>
        <w:tc>
          <w:tcPr>
            <w:tcW w:w="2700" w:type="dxa"/>
          </w:tcPr>
          <w:p w14:paraId="0C0ADA8E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218" w:type="dxa"/>
            <w:gridSpan w:val="3"/>
          </w:tcPr>
          <w:p w14:paraId="176F2725" w14:textId="77777777" w:rsidR="00B767F3" w:rsidRPr="00DA7474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DA7474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DA7474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bookmarkStart w:id="0" w:name="_GoBack"/>
            <w:bookmarkEnd w:id="0"/>
          </w:p>
        </w:tc>
      </w:tr>
      <w:tr w:rsidR="00B767F3" w:rsidRPr="00DA7474" w14:paraId="07F0FFD0" w14:textId="77777777" w:rsidTr="008F14F7">
        <w:trPr>
          <w:trHeight w:val="300"/>
        </w:trPr>
        <w:tc>
          <w:tcPr>
            <w:tcW w:w="9918" w:type="dxa"/>
            <w:gridSpan w:val="4"/>
          </w:tcPr>
          <w:p w14:paraId="0EE0B189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DA7474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DA7474" w14:paraId="6259D831" w14:textId="77777777" w:rsidTr="008F14F7">
        <w:trPr>
          <w:trHeight w:val="300"/>
        </w:trPr>
        <w:tc>
          <w:tcPr>
            <w:tcW w:w="2700" w:type="dxa"/>
          </w:tcPr>
          <w:p w14:paraId="43927719" w14:textId="77777777" w:rsidR="00B05B68" w:rsidRPr="00DA7474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218" w:type="dxa"/>
            <w:gridSpan w:val="3"/>
          </w:tcPr>
          <w:p w14:paraId="612BA4B0" w14:textId="2D6B288E" w:rsidR="00B05B68" w:rsidRPr="00DA7474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DA7474" w14:paraId="6B254F73" w14:textId="77777777" w:rsidTr="008F14F7">
        <w:trPr>
          <w:trHeight w:val="300"/>
        </w:trPr>
        <w:tc>
          <w:tcPr>
            <w:tcW w:w="2700" w:type="dxa"/>
          </w:tcPr>
          <w:p w14:paraId="2BC7AAFD" w14:textId="77777777" w:rsidR="00B05B68" w:rsidRPr="00DA7474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218" w:type="dxa"/>
            <w:gridSpan w:val="3"/>
          </w:tcPr>
          <w:p w14:paraId="242644AC" w14:textId="22D4BD24" w:rsidR="00B05B68" w:rsidRPr="00DA7474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DA7474" w14:paraId="5A0B465D" w14:textId="77777777" w:rsidTr="008F14F7">
        <w:trPr>
          <w:trHeight w:val="300"/>
        </w:trPr>
        <w:tc>
          <w:tcPr>
            <w:tcW w:w="2700" w:type="dxa"/>
          </w:tcPr>
          <w:p w14:paraId="1165EE3C" w14:textId="77777777" w:rsidR="00B05B68" w:rsidRPr="00DA7474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218" w:type="dxa"/>
            <w:gridSpan w:val="3"/>
          </w:tcPr>
          <w:p w14:paraId="25D43BEA" w14:textId="0D321D9E" w:rsidR="00B05B68" w:rsidRPr="00DA7474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DA7474" w14:paraId="79071BC9" w14:textId="77777777" w:rsidTr="008F14F7">
        <w:trPr>
          <w:trHeight w:val="300"/>
        </w:trPr>
        <w:tc>
          <w:tcPr>
            <w:tcW w:w="2700" w:type="dxa"/>
          </w:tcPr>
          <w:p w14:paraId="7D974D20" w14:textId="77777777" w:rsidR="00B05B68" w:rsidRPr="00DA7474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218" w:type="dxa"/>
            <w:gridSpan w:val="3"/>
          </w:tcPr>
          <w:p w14:paraId="56F11031" w14:textId="56A6E06F" w:rsidR="00B05B68" w:rsidRPr="00DA7474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DA7474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DA7474" w14:paraId="35D09A71" w14:textId="77777777" w:rsidTr="008F14F7">
        <w:trPr>
          <w:trHeight w:val="300"/>
        </w:trPr>
        <w:tc>
          <w:tcPr>
            <w:tcW w:w="2700" w:type="dxa"/>
          </w:tcPr>
          <w:p w14:paraId="20C1F51E" w14:textId="77777777" w:rsidR="00B767F3" w:rsidRPr="00DA747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218" w:type="dxa"/>
            <w:gridSpan w:val="3"/>
          </w:tcPr>
          <w:p w14:paraId="4BE5468E" w14:textId="77777777" w:rsidR="00B767F3" w:rsidRPr="00DA7474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DA7474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DA7474" w14:paraId="063A7063" w14:textId="77777777" w:rsidTr="008F14F7">
        <w:trPr>
          <w:trHeight w:val="300"/>
        </w:trPr>
        <w:tc>
          <w:tcPr>
            <w:tcW w:w="9918" w:type="dxa"/>
            <w:gridSpan w:val="4"/>
          </w:tcPr>
          <w:p w14:paraId="1EC1A743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DA7474" w14:paraId="1493342A" w14:textId="77777777" w:rsidTr="008F14F7">
        <w:trPr>
          <w:trHeight w:val="300"/>
        </w:trPr>
        <w:tc>
          <w:tcPr>
            <w:tcW w:w="2700" w:type="dxa"/>
          </w:tcPr>
          <w:p w14:paraId="0AF63E8A" w14:textId="77777777" w:rsidR="00FF5783" w:rsidRPr="00DA7474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218" w:type="dxa"/>
            <w:gridSpan w:val="3"/>
          </w:tcPr>
          <w:p w14:paraId="23C9ECEE" w14:textId="40B589A8" w:rsidR="00FF5783" w:rsidRPr="00DA7474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DA7474" w14:paraId="4C75E455" w14:textId="77777777" w:rsidTr="008F14F7">
        <w:trPr>
          <w:trHeight w:val="300"/>
        </w:trPr>
        <w:tc>
          <w:tcPr>
            <w:tcW w:w="2700" w:type="dxa"/>
          </w:tcPr>
          <w:p w14:paraId="6E44F098" w14:textId="77777777" w:rsidR="00FF5783" w:rsidRPr="00DA7474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218" w:type="dxa"/>
            <w:gridSpan w:val="3"/>
          </w:tcPr>
          <w:p w14:paraId="65CEE00B" w14:textId="29A3EF45" w:rsidR="00FF5783" w:rsidRPr="00DA7474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DA7474" w14:paraId="369E96F2" w14:textId="77777777" w:rsidTr="008F14F7">
        <w:trPr>
          <w:trHeight w:val="300"/>
        </w:trPr>
        <w:tc>
          <w:tcPr>
            <w:tcW w:w="2700" w:type="dxa"/>
          </w:tcPr>
          <w:p w14:paraId="61C55EA7" w14:textId="77777777" w:rsidR="00FF5783" w:rsidRPr="00DA7474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218" w:type="dxa"/>
            <w:gridSpan w:val="3"/>
          </w:tcPr>
          <w:p w14:paraId="6BCD1B56" w14:textId="72C560AE" w:rsidR="00FF5783" w:rsidRPr="00DA7474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A7474">
              <w:rPr>
                <w:rFonts w:ascii="Cambria" w:hAnsi="Cambria"/>
                <w:sz w:val="20"/>
              </w:rPr>
              <w:t>(</w:t>
            </w:r>
            <w:r w:rsidRPr="00DA7474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A7474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DA7474" w14:paraId="143ECD90" w14:textId="77777777" w:rsidTr="008F14F7">
        <w:trPr>
          <w:trHeight w:val="300"/>
        </w:trPr>
        <w:tc>
          <w:tcPr>
            <w:tcW w:w="2700" w:type="dxa"/>
          </w:tcPr>
          <w:p w14:paraId="7D11A08C" w14:textId="77777777" w:rsidR="00FF5783" w:rsidRPr="00DA7474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218" w:type="dxa"/>
            <w:gridSpan w:val="3"/>
          </w:tcPr>
          <w:p w14:paraId="28490483" w14:textId="58FC4EC8" w:rsidR="00FF5783" w:rsidRPr="00DA7474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DA7474" w14:paraId="35DB9F79" w14:textId="77777777" w:rsidTr="008F14F7">
        <w:trPr>
          <w:trHeight w:val="300"/>
        </w:trPr>
        <w:tc>
          <w:tcPr>
            <w:tcW w:w="2700" w:type="dxa"/>
          </w:tcPr>
          <w:p w14:paraId="117832FB" w14:textId="45A4A327" w:rsidR="00636424" w:rsidRPr="00DA747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218" w:type="dxa"/>
            <w:gridSpan w:val="3"/>
          </w:tcPr>
          <w:p w14:paraId="4B4875CA" w14:textId="5813F96A" w:rsidR="00636424" w:rsidRPr="00DA7474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DA7474" w14:paraId="29AA4422" w14:textId="77777777" w:rsidTr="008F14F7">
        <w:tc>
          <w:tcPr>
            <w:tcW w:w="9918" w:type="dxa"/>
            <w:gridSpan w:val="4"/>
          </w:tcPr>
          <w:p w14:paraId="3ACEC6B8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DA7474" w14:paraId="4EDC6BFC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DA7474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DA7474" w14:paraId="00A924EC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DA7474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DA7474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DA7474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DA7474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DA7474" w14:paraId="2190A91A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A7474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DA7474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DA7474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DA7474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DA7474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DA7474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DA7474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DA7474" w:rsidRDefault="00DD7479" w:rsidP="002F0070">
      <w:pPr>
        <w:jc w:val="center"/>
        <w:rPr>
          <w:rFonts w:ascii="Cambria" w:hAnsi="Cambria"/>
          <w:sz w:val="20"/>
        </w:rPr>
      </w:pPr>
      <w:r w:rsidRPr="00DA7474">
        <w:rPr>
          <w:rFonts w:ascii="Cambria" w:hAnsi="Cambria"/>
          <w:color w:val="000000"/>
          <w:sz w:val="20"/>
        </w:rPr>
        <w:t>____</w:t>
      </w:r>
      <w:r w:rsidR="00222ED1" w:rsidRPr="00DA7474">
        <w:rPr>
          <w:rFonts w:ascii="Cambria" w:hAnsi="Cambria"/>
          <w:color w:val="000000"/>
          <w:sz w:val="20"/>
        </w:rPr>
        <w:t>____________</w:t>
      </w:r>
      <w:r w:rsidRPr="00DA7474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DA7474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DA7474" w:rsidRDefault="009E3200">
      <w:pPr>
        <w:rPr>
          <w:rFonts w:ascii="Cambria" w:hAnsi="Cambria"/>
          <w:sz w:val="20"/>
        </w:rPr>
      </w:pPr>
      <w:r w:rsidRPr="00DA7474">
        <w:rPr>
          <w:rFonts w:ascii="Cambria" w:hAnsi="Cambria"/>
          <w:sz w:val="20"/>
        </w:rPr>
        <w:br w:type="page"/>
      </w:r>
    </w:p>
    <w:p w14:paraId="5C0A8813" w14:textId="488DEA55" w:rsidR="00CC1BD0" w:rsidRPr="00DA7474" w:rsidRDefault="00CC1BD0" w:rsidP="00CC1BD0">
      <w:pPr>
        <w:jc w:val="right"/>
        <w:rPr>
          <w:rFonts w:ascii="Cambria" w:hAnsi="Cambria"/>
          <w:sz w:val="20"/>
        </w:rPr>
      </w:pPr>
      <w:r w:rsidRPr="00DA7474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DA7474" w:rsidRDefault="00CC1BD0" w:rsidP="00CC1BD0">
      <w:pPr>
        <w:jc w:val="center"/>
        <w:rPr>
          <w:rFonts w:ascii="Cambria" w:hAnsi="Cambria"/>
          <w:sz w:val="20"/>
        </w:rPr>
      </w:pPr>
      <w:r w:rsidRPr="00DA7474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DA7474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DA7474" w:rsidRDefault="00CC1BD0" w:rsidP="00CC1BD0">
      <w:pPr>
        <w:jc w:val="center"/>
        <w:rPr>
          <w:rFonts w:ascii="Cambria" w:hAnsi="Cambria"/>
          <w:sz w:val="20"/>
        </w:rPr>
      </w:pPr>
      <w:r w:rsidRPr="00DA7474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Pr="00DA7474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DA7474" w:rsidRDefault="009E3200" w:rsidP="009E3200">
      <w:pPr>
        <w:jc w:val="right"/>
        <w:rPr>
          <w:rFonts w:ascii="Cambria" w:hAnsi="Cambria"/>
          <w:sz w:val="20"/>
        </w:rPr>
      </w:pPr>
      <w:r w:rsidRPr="00DA7474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DA7474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DA7474" w:rsidRDefault="009E3200" w:rsidP="009E3200">
      <w:pPr>
        <w:jc w:val="center"/>
        <w:rPr>
          <w:rFonts w:ascii="Cambria" w:hAnsi="Cambria"/>
          <w:sz w:val="20"/>
        </w:rPr>
      </w:pPr>
      <w:r w:rsidRPr="00DA7474">
        <w:rPr>
          <w:rFonts w:ascii="Cambria" w:hAnsi="Cambria"/>
          <w:sz w:val="20"/>
        </w:rPr>
        <w:t>PREKIŲ ŽINIARAŠTIS</w:t>
      </w:r>
    </w:p>
    <w:p w14:paraId="590EE939" w14:textId="2C160FEB" w:rsidR="001C6190" w:rsidRPr="00DA7474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DA7474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DA7474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DA7474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DA7474" w:rsidRDefault="009E3200" w:rsidP="009E3200">
      <w:pPr>
        <w:jc w:val="center"/>
        <w:rPr>
          <w:rFonts w:ascii="Cambria" w:hAnsi="Cambria"/>
          <w:sz w:val="20"/>
        </w:rPr>
      </w:pPr>
      <w:r w:rsidRPr="00DA7474">
        <w:rPr>
          <w:rFonts w:ascii="Cambria" w:hAnsi="Cambria"/>
          <w:sz w:val="20"/>
        </w:rPr>
        <w:t>_______________________</w:t>
      </w:r>
    </w:p>
    <w:sectPr w:rsidR="009E3200" w:rsidRPr="00DA74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248E9"/>
    <w:rsid w:val="00083B82"/>
    <w:rsid w:val="000A0A6F"/>
    <w:rsid w:val="000B0AE7"/>
    <w:rsid w:val="000B35BB"/>
    <w:rsid w:val="000D3181"/>
    <w:rsid w:val="000E0AF7"/>
    <w:rsid w:val="000E6383"/>
    <w:rsid w:val="000F23E8"/>
    <w:rsid w:val="00101298"/>
    <w:rsid w:val="0010627D"/>
    <w:rsid w:val="00132A91"/>
    <w:rsid w:val="00135D78"/>
    <w:rsid w:val="001540AA"/>
    <w:rsid w:val="00154937"/>
    <w:rsid w:val="001808D8"/>
    <w:rsid w:val="001837C4"/>
    <w:rsid w:val="00184826"/>
    <w:rsid w:val="00185863"/>
    <w:rsid w:val="0019090D"/>
    <w:rsid w:val="001A30EB"/>
    <w:rsid w:val="001B2EB7"/>
    <w:rsid w:val="001C6190"/>
    <w:rsid w:val="001E1F73"/>
    <w:rsid w:val="001E7FDB"/>
    <w:rsid w:val="00201517"/>
    <w:rsid w:val="00202E5E"/>
    <w:rsid w:val="00222ED1"/>
    <w:rsid w:val="00245F21"/>
    <w:rsid w:val="00247EDC"/>
    <w:rsid w:val="002503F4"/>
    <w:rsid w:val="00254C89"/>
    <w:rsid w:val="00273FF8"/>
    <w:rsid w:val="00290CA5"/>
    <w:rsid w:val="002C4ECD"/>
    <w:rsid w:val="002D2B1F"/>
    <w:rsid w:val="002D4204"/>
    <w:rsid w:val="002E4C3D"/>
    <w:rsid w:val="002F0070"/>
    <w:rsid w:val="002F0B5F"/>
    <w:rsid w:val="00302148"/>
    <w:rsid w:val="00305197"/>
    <w:rsid w:val="00311497"/>
    <w:rsid w:val="003249A9"/>
    <w:rsid w:val="00336102"/>
    <w:rsid w:val="00357F78"/>
    <w:rsid w:val="003763EE"/>
    <w:rsid w:val="00383C43"/>
    <w:rsid w:val="003B1601"/>
    <w:rsid w:val="003B2818"/>
    <w:rsid w:val="003D4A95"/>
    <w:rsid w:val="003E410F"/>
    <w:rsid w:val="003E5723"/>
    <w:rsid w:val="003E5D1D"/>
    <w:rsid w:val="004147B9"/>
    <w:rsid w:val="00432F0B"/>
    <w:rsid w:val="00441A70"/>
    <w:rsid w:val="00477137"/>
    <w:rsid w:val="00481F45"/>
    <w:rsid w:val="00490596"/>
    <w:rsid w:val="004935A9"/>
    <w:rsid w:val="004A1371"/>
    <w:rsid w:val="004B03D3"/>
    <w:rsid w:val="004B4EE2"/>
    <w:rsid w:val="004E15BF"/>
    <w:rsid w:val="004F43A0"/>
    <w:rsid w:val="0051472B"/>
    <w:rsid w:val="00517EEE"/>
    <w:rsid w:val="005238F2"/>
    <w:rsid w:val="005652B5"/>
    <w:rsid w:val="0057069E"/>
    <w:rsid w:val="005828DD"/>
    <w:rsid w:val="00582E09"/>
    <w:rsid w:val="00587E3C"/>
    <w:rsid w:val="00591FD4"/>
    <w:rsid w:val="005B12A9"/>
    <w:rsid w:val="005B16CB"/>
    <w:rsid w:val="005B417A"/>
    <w:rsid w:val="005D2021"/>
    <w:rsid w:val="005E2E9F"/>
    <w:rsid w:val="00601BE9"/>
    <w:rsid w:val="00613406"/>
    <w:rsid w:val="00627E6E"/>
    <w:rsid w:val="00636424"/>
    <w:rsid w:val="00660432"/>
    <w:rsid w:val="006670DA"/>
    <w:rsid w:val="0068422D"/>
    <w:rsid w:val="006861F6"/>
    <w:rsid w:val="006B785A"/>
    <w:rsid w:val="006E3675"/>
    <w:rsid w:val="00700184"/>
    <w:rsid w:val="00704183"/>
    <w:rsid w:val="00711A44"/>
    <w:rsid w:val="00721C2B"/>
    <w:rsid w:val="00736D14"/>
    <w:rsid w:val="00745B37"/>
    <w:rsid w:val="0076697D"/>
    <w:rsid w:val="00771823"/>
    <w:rsid w:val="007919E1"/>
    <w:rsid w:val="007A06EF"/>
    <w:rsid w:val="007D68EF"/>
    <w:rsid w:val="007E0043"/>
    <w:rsid w:val="00811D80"/>
    <w:rsid w:val="00825CE7"/>
    <w:rsid w:val="0083544D"/>
    <w:rsid w:val="008844F2"/>
    <w:rsid w:val="008F14F7"/>
    <w:rsid w:val="00902A1C"/>
    <w:rsid w:val="0091487B"/>
    <w:rsid w:val="00922D8E"/>
    <w:rsid w:val="00927B37"/>
    <w:rsid w:val="00933D6D"/>
    <w:rsid w:val="00981DE1"/>
    <w:rsid w:val="009872F4"/>
    <w:rsid w:val="009A0C99"/>
    <w:rsid w:val="009D5B39"/>
    <w:rsid w:val="009E3200"/>
    <w:rsid w:val="009F4BF8"/>
    <w:rsid w:val="009F5CF5"/>
    <w:rsid w:val="00A20183"/>
    <w:rsid w:val="00A23A38"/>
    <w:rsid w:val="00A3260E"/>
    <w:rsid w:val="00A701FD"/>
    <w:rsid w:val="00A815A5"/>
    <w:rsid w:val="00AA334A"/>
    <w:rsid w:val="00AA5A77"/>
    <w:rsid w:val="00AC58F5"/>
    <w:rsid w:val="00AC7FF1"/>
    <w:rsid w:val="00AD5420"/>
    <w:rsid w:val="00AD561C"/>
    <w:rsid w:val="00AF6D85"/>
    <w:rsid w:val="00B00E1E"/>
    <w:rsid w:val="00B051C6"/>
    <w:rsid w:val="00B05B68"/>
    <w:rsid w:val="00B07043"/>
    <w:rsid w:val="00B0729A"/>
    <w:rsid w:val="00B12BF9"/>
    <w:rsid w:val="00B25967"/>
    <w:rsid w:val="00B30D0E"/>
    <w:rsid w:val="00B447AA"/>
    <w:rsid w:val="00B50528"/>
    <w:rsid w:val="00B557D9"/>
    <w:rsid w:val="00B63030"/>
    <w:rsid w:val="00B767F3"/>
    <w:rsid w:val="00B85F39"/>
    <w:rsid w:val="00B8645F"/>
    <w:rsid w:val="00C01FE4"/>
    <w:rsid w:val="00C063DA"/>
    <w:rsid w:val="00C07E40"/>
    <w:rsid w:val="00C31033"/>
    <w:rsid w:val="00C51097"/>
    <w:rsid w:val="00C821E1"/>
    <w:rsid w:val="00C90B42"/>
    <w:rsid w:val="00C95830"/>
    <w:rsid w:val="00CB0A38"/>
    <w:rsid w:val="00CB6E07"/>
    <w:rsid w:val="00CC167C"/>
    <w:rsid w:val="00CC1BD0"/>
    <w:rsid w:val="00CD3317"/>
    <w:rsid w:val="00CE6AA1"/>
    <w:rsid w:val="00D02146"/>
    <w:rsid w:val="00D03C22"/>
    <w:rsid w:val="00D03FFE"/>
    <w:rsid w:val="00D145BE"/>
    <w:rsid w:val="00D31248"/>
    <w:rsid w:val="00D40D7E"/>
    <w:rsid w:val="00D53972"/>
    <w:rsid w:val="00D84DEF"/>
    <w:rsid w:val="00D85025"/>
    <w:rsid w:val="00D95137"/>
    <w:rsid w:val="00DA7474"/>
    <w:rsid w:val="00DB2D00"/>
    <w:rsid w:val="00DC377A"/>
    <w:rsid w:val="00DC54B9"/>
    <w:rsid w:val="00DD7479"/>
    <w:rsid w:val="00E05AEB"/>
    <w:rsid w:val="00E23654"/>
    <w:rsid w:val="00E23F40"/>
    <w:rsid w:val="00E4409D"/>
    <w:rsid w:val="00E51DE4"/>
    <w:rsid w:val="00E54C69"/>
    <w:rsid w:val="00E56CA0"/>
    <w:rsid w:val="00E61D1B"/>
    <w:rsid w:val="00E627F4"/>
    <w:rsid w:val="00E666C4"/>
    <w:rsid w:val="00E73925"/>
    <w:rsid w:val="00EB1ED9"/>
    <w:rsid w:val="00EB4238"/>
    <w:rsid w:val="00EC085E"/>
    <w:rsid w:val="00EE645E"/>
    <w:rsid w:val="00F01F30"/>
    <w:rsid w:val="00F107E0"/>
    <w:rsid w:val="00F1762D"/>
    <w:rsid w:val="00F42771"/>
    <w:rsid w:val="00F75EBB"/>
    <w:rsid w:val="00F86A30"/>
    <w:rsid w:val="00FA208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12833</Words>
  <Characters>7316</Characters>
  <Application>Microsoft Office Word</Application>
  <DocSecurity>0</DocSecurity>
  <Lines>60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2025-06-05T13:41:00Z</dcterms:created>
  <dcterms:modified xsi:type="dcterms:W3CDTF">2025-10-08T13:52:00Z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