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00522BD9">
        <w:rPr>
          <w:b/>
          <w:bCs/>
          <w:sz w:val="22"/>
          <w:szCs w:val="22"/>
        </w:rPr>
        <w:t xml:space="preserve">(Nr. 514)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bookmarkStart w:id="0" w:name="_GoBack"/>
      <w:bookmarkEnd w:id="0"/>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522BD9">
    <w:pPr>
      <w:pStyle w:val="Footer"/>
      <w:jc w:val="right"/>
    </w:pPr>
  </w:p>
  <w:p w:rsidR="0021036F" w:rsidRDefault="00522BD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522BD9">
    <w:pPr>
      <w:pStyle w:val="Footer"/>
      <w:jc w:val="right"/>
    </w:pPr>
  </w:p>
  <w:p w:rsidR="0021036F" w:rsidRDefault="00522B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403C49"/>
    <w:rsid w:val="004C6635"/>
    <w:rsid w:val="0050378E"/>
    <w:rsid w:val="0051498F"/>
    <w:rsid w:val="00522BD9"/>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2163</Words>
  <Characters>1234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2025-10-09T10:56:00Z</dcterms:modified>
</cp:coreProperties>
</file>