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8AED" w14:textId="77777777" w:rsidR="00771FC2" w:rsidRPr="00771FC2" w:rsidRDefault="00771FC2" w:rsidP="00771FC2">
      <w:pPr>
        <w:keepNext/>
        <w:ind w:left="6480"/>
        <w:outlineLvl w:val="2"/>
        <w:rPr>
          <w:bCs/>
        </w:rPr>
      </w:pPr>
      <w:bookmarkStart w:id="0" w:name="_Toc400111793"/>
      <w:bookmarkStart w:id="1" w:name="_Toc400351812"/>
      <w:r w:rsidRPr="00771FC2">
        <w:rPr>
          <w:bCs/>
        </w:rPr>
        <w:t xml:space="preserve">Rinkos konsultacijos </w:t>
      </w:r>
    </w:p>
    <w:p w14:paraId="0F064431" w14:textId="1305DF91" w:rsidR="00771FC2" w:rsidRPr="00771FC2" w:rsidRDefault="00771FC2" w:rsidP="00771FC2">
      <w:pPr>
        <w:keepNext/>
        <w:ind w:left="6480"/>
        <w:outlineLvl w:val="2"/>
        <w:rPr>
          <w:bCs/>
        </w:rPr>
      </w:pPr>
      <w:r w:rsidRPr="00771FC2">
        <w:rPr>
          <w:bCs/>
        </w:rPr>
        <w:t>1 priedas</w:t>
      </w:r>
    </w:p>
    <w:bookmarkEnd w:id="0"/>
    <w:bookmarkEnd w:id="1"/>
    <w:p w14:paraId="48CBC6F1" w14:textId="77777777" w:rsidR="009C0F66" w:rsidRPr="002D6060" w:rsidRDefault="009C0F66" w:rsidP="009C0F66"/>
    <w:p w14:paraId="4C9BE83D" w14:textId="77777777" w:rsidR="009C0F66" w:rsidRPr="002D6060" w:rsidRDefault="009C0F66" w:rsidP="009C0F66">
      <w:pPr>
        <w:keepNext/>
        <w:jc w:val="center"/>
        <w:outlineLvl w:val="2"/>
        <w:rPr>
          <w:b/>
        </w:rPr>
      </w:pPr>
      <w:r w:rsidRPr="002D6060">
        <w:rPr>
          <w:b/>
        </w:rPr>
        <w:t>TECHNINĖ SPECIFIKACIJA</w:t>
      </w:r>
    </w:p>
    <w:p w14:paraId="14293A17" w14:textId="77777777" w:rsidR="009C0F66" w:rsidRPr="002D6060" w:rsidRDefault="009C0F66" w:rsidP="009C0F66">
      <w:pPr>
        <w:widowControl w:val="0"/>
        <w:ind w:right="142"/>
        <w:jc w:val="center"/>
        <w:rPr>
          <w:b/>
        </w:rPr>
      </w:pPr>
    </w:p>
    <w:p w14:paraId="0CA6343D" w14:textId="77777777" w:rsidR="009C0F66" w:rsidRPr="002D6060" w:rsidRDefault="009C0F66" w:rsidP="009C0F66">
      <w:pPr>
        <w:widowControl w:val="0"/>
        <w:ind w:right="142"/>
        <w:jc w:val="center"/>
        <w:rPr>
          <w:b/>
        </w:rPr>
      </w:pPr>
      <w:r w:rsidRPr="002D6060">
        <w:rPr>
          <w:b/>
        </w:rPr>
        <w:t>I. ĮVADAS</w:t>
      </w:r>
    </w:p>
    <w:p w14:paraId="5F2EBE42" w14:textId="77777777" w:rsidR="009C0F66" w:rsidRPr="002D6060" w:rsidRDefault="009C0F66" w:rsidP="00771FC2">
      <w:pPr>
        <w:ind w:firstLine="567"/>
      </w:pPr>
    </w:p>
    <w:p w14:paraId="1F45C95D" w14:textId="02E4167C" w:rsidR="009C0F66" w:rsidRPr="002D6060" w:rsidRDefault="009C0F66" w:rsidP="00771FC2">
      <w:pPr>
        <w:numPr>
          <w:ilvl w:val="0"/>
          <w:numId w:val="1"/>
        </w:numPr>
        <w:tabs>
          <w:tab w:val="clear" w:pos="1920"/>
        </w:tabs>
        <w:ind w:left="0" w:firstLine="567"/>
        <w:contextualSpacing/>
      </w:pPr>
      <w:r w:rsidRPr="00490890">
        <w:t xml:space="preserve">Paslaugų tikslas – Sutarties galiojimo laikotarpiu </w:t>
      </w:r>
      <w:r>
        <w:t>teikti</w:t>
      </w:r>
      <w:r w:rsidRPr="00490890">
        <w:t xml:space="preserve"> </w:t>
      </w:r>
      <w:proofErr w:type="spellStart"/>
      <w:r w:rsidR="003E0182">
        <w:t>Fortinet</w:t>
      </w:r>
      <w:proofErr w:type="spellEnd"/>
      <w:r w:rsidR="003E0182">
        <w:t xml:space="preserve"> </w:t>
      </w:r>
      <w:proofErr w:type="spellStart"/>
      <w:r w:rsidR="003E0182">
        <w:t>FortiSIEM</w:t>
      </w:r>
      <w:proofErr w:type="spellEnd"/>
      <w:r>
        <w:t xml:space="preserve"> vystymo  paslaugas (toliau – Paslaugos).</w:t>
      </w:r>
    </w:p>
    <w:p w14:paraId="534AB107" w14:textId="77777777" w:rsidR="009C0F66" w:rsidRPr="002D6060" w:rsidRDefault="009C0F66" w:rsidP="00771FC2">
      <w:pPr>
        <w:ind w:firstLine="567"/>
      </w:pPr>
    </w:p>
    <w:p w14:paraId="737634E1" w14:textId="77777777" w:rsidR="009C0F66" w:rsidRPr="002D6060" w:rsidRDefault="009C0F66" w:rsidP="00771FC2">
      <w:pPr>
        <w:ind w:firstLine="567"/>
        <w:contextualSpacing/>
        <w:jc w:val="center"/>
      </w:pPr>
      <w:r w:rsidRPr="002D6060">
        <w:rPr>
          <w:b/>
        </w:rPr>
        <w:t>II. </w:t>
      </w:r>
      <w:r>
        <w:rPr>
          <w:b/>
        </w:rPr>
        <w:t>NMA TURIMA PROGRAMINĖ ĮRANGA</w:t>
      </w:r>
    </w:p>
    <w:p w14:paraId="18D785B1" w14:textId="77777777" w:rsidR="009C0F66" w:rsidRPr="002D6060" w:rsidRDefault="009C0F66" w:rsidP="00771FC2">
      <w:pPr>
        <w:ind w:firstLine="567"/>
      </w:pPr>
    </w:p>
    <w:p w14:paraId="1F3084C9" w14:textId="3D3210EC" w:rsidR="009C0F66" w:rsidRDefault="009C0F66" w:rsidP="00771FC2">
      <w:pPr>
        <w:numPr>
          <w:ilvl w:val="0"/>
          <w:numId w:val="1"/>
        </w:numPr>
        <w:tabs>
          <w:tab w:val="clear" w:pos="1920"/>
        </w:tabs>
        <w:ind w:left="0" w:firstLine="567"/>
        <w:contextualSpacing/>
      </w:pPr>
      <w:r>
        <w:t xml:space="preserve">Šiuo metu NMA turima </w:t>
      </w:r>
      <w:proofErr w:type="spellStart"/>
      <w:r w:rsidR="003E0182">
        <w:t>Fortinet</w:t>
      </w:r>
      <w:proofErr w:type="spellEnd"/>
      <w:r w:rsidR="003E0182">
        <w:t xml:space="preserve"> </w:t>
      </w:r>
      <w:proofErr w:type="spellStart"/>
      <w:r w:rsidR="003E0182">
        <w:t>FortiSIEM</w:t>
      </w:r>
      <w:proofErr w:type="spellEnd"/>
      <w:r>
        <w:t xml:space="preserve"> programinė įranga, kuriai perkamos Paslaugos:</w:t>
      </w:r>
    </w:p>
    <w:tbl>
      <w:tblPr>
        <w:tblStyle w:val="TableGrid"/>
        <w:tblW w:w="0" w:type="auto"/>
        <w:tblLook w:val="04A0" w:firstRow="1" w:lastRow="0" w:firstColumn="1" w:lastColumn="0" w:noHBand="0" w:noVBand="1"/>
      </w:tblPr>
      <w:tblGrid>
        <w:gridCol w:w="4814"/>
        <w:gridCol w:w="4814"/>
      </w:tblGrid>
      <w:tr w:rsidR="009C0F66" w14:paraId="0CB75945" w14:textId="77777777" w:rsidTr="000966BC">
        <w:tc>
          <w:tcPr>
            <w:tcW w:w="4814" w:type="dxa"/>
          </w:tcPr>
          <w:p w14:paraId="2362D050" w14:textId="77777777" w:rsidR="009C0F66" w:rsidRDefault="009C0F66" w:rsidP="000966BC">
            <w:pPr>
              <w:contextualSpacing/>
            </w:pPr>
            <w:r>
              <w:t>Programinės įrangos pavadinimas</w:t>
            </w:r>
          </w:p>
        </w:tc>
        <w:tc>
          <w:tcPr>
            <w:tcW w:w="4815" w:type="dxa"/>
          </w:tcPr>
          <w:p w14:paraId="20DE56DE" w14:textId="77777777" w:rsidR="009C0F66" w:rsidRDefault="009C0F66" w:rsidP="000966BC">
            <w:pPr>
              <w:contextualSpacing/>
            </w:pPr>
            <w:r>
              <w:t>Kiekis (vnt.)</w:t>
            </w:r>
          </w:p>
        </w:tc>
      </w:tr>
      <w:tr w:rsidR="009C0F66" w14:paraId="5F393979" w14:textId="77777777" w:rsidTr="000966BC">
        <w:trPr>
          <w:trHeight w:val="256"/>
        </w:trPr>
        <w:tc>
          <w:tcPr>
            <w:tcW w:w="4814" w:type="dxa"/>
          </w:tcPr>
          <w:p w14:paraId="70E85EA4" w14:textId="77777777" w:rsidR="009C0F66" w:rsidRPr="00D04B1A" w:rsidRDefault="009C0F66" w:rsidP="000966BC">
            <w:pPr>
              <w:tabs>
                <w:tab w:val="left" w:pos="318"/>
              </w:tabs>
              <w:spacing w:line="276" w:lineRule="auto"/>
              <w:rPr>
                <w:b/>
                <w:bCs/>
                <w:szCs w:val="24"/>
              </w:rPr>
            </w:pPr>
            <w:r w:rsidRPr="004D7B8D">
              <w:rPr>
                <w:b/>
                <w:bCs/>
                <w:szCs w:val="24"/>
              </w:rPr>
              <w:t>FSM-AIO-BASE</w:t>
            </w:r>
          </w:p>
        </w:tc>
        <w:tc>
          <w:tcPr>
            <w:tcW w:w="4815" w:type="dxa"/>
          </w:tcPr>
          <w:p w14:paraId="1D83AAB9" w14:textId="77777777" w:rsidR="009C0F66" w:rsidRDefault="009C0F66" w:rsidP="000966BC">
            <w:pPr>
              <w:contextualSpacing/>
            </w:pPr>
            <w:r>
              <w:t>1</w:t>
            </w:r>
          </w:p>
        </w:tc>
      </w:tr>
      <w:tr w:rsidR="009C0F66" w14:paraId="67EDFA37" w14:textId="77777777" w:rsidTr="000966BC">
        <w:trPr>
          <w:trHeight w:val="254"/>
        </w:trPr>
        <w:tc>
          <w:tcPr>
            <w:tcW w:w="4814" w:type="dxa"/>
          </w:tcPr>
          <w:p w14:paraId="315EAEA0" w14:textId="77777777" w:rsidR="009C0F66" w:rsidRPr="004D7B8D" w:rsidRDefault="009C0F66" w:rsidP="000966BC">
            <w:pPr>
              <w:tabs>
                <w:tab w:val="left" w:pos="318"/>
              </w:tabs>
              <w:spacing w:line="276" w:lineRule="auto"/>
              <w:rPr>
                <w:b/>
                <w:bCs/>
                <w:szCs w:val="24"/>
              </w:rPr>
            </w:pPr>
            <w:r w:rsidRPr="004D7B8D">
              <w:rPr>
                <w:b/>
                <w:bCs/>
                <w:szCs w:val="24"/>
              </w:rPr>
              <w:t>FSM-EPD-250-UG</w:t>
            </w:r>
          </w:p>
        </w:tc>
        <w:tc>
          <w:tcPr>
            <w:tcW w:w="4815" w:type="dxa"/>
          </w:tcPr>
          <w:p w14:paraId="185DF789" w14:textId="77777777" w:rsidR="009C0F66" w:rsidRDefault="009C0F66" w:rsidP="000966BC">
            <w:pPr>
              <w:contextualSpacing/>
            </w:pPr>
            <w:r>
              <w:t>1</w:t>
            </w:r>
          </w:p>
        </w:tc>
      </w:tr>
      <w:tr w:rsidR="009C0F66" w14:paraId="5EEDDD93" w14:textId="77777777" w:rsidTr="000966BC">
        <w:trPr>
          <w:trHeight w:val="254"/>
        </w:trPr>
        <w:tc>
          <w:tcPr>
            <w:tcW w:w="4814" w:type="dxa"/>
          </w:tcPr>
          <w:p w14:paraId="2FA4F9B5" w14:textId="77777777" w:rsidR="009C0F66" w:rsidRPr="004D7B8D" w:rsidRDefault="009C0F66" w:rsidP="000966BC">
            <w:pPr>
              <w:tabs>
                <w:tab w:val="left" w:pos="318"/>
              </w:tabs>
              <w:spacing w:line="276" w:lineRule="auto"/>
              <w:rPr>
                <w:b/>
                <w:bCs/>
                <w:szCs w:val="24"/>
              </w:rPr>
            </w:pPr>
            <w:r w:rsidRPr="004D7B8D">
              <w:rPr>
                <w:b/>
                <w:bCs/>
                <w:szCs w:val="24"/>
              </w:rPr>
              <w:t>FSM-AGT-ADV200-UG</w:t>
            </w:r>
          </w:p>
        </w:tc>
        <w:tc>
          <w:tcPr>
            <w:tcW w:w="4815" w:type="dxa"/>
          </w:tcPr>
          <w:p w14:paraId="670C538B" w14:textId="77777777" w:rsidR="009C0F66" w:rsidRDefault="009C0F66" w:rsidP="000966BC">
            <w:pPr>
              <w:contextualSpacing/>
            </w:pPr>
            <w:r>
              <w:t>1</w:t>
            </w:r>
          </w:p>
        </w:tc>
      </w:tr>
      <w:tr w:rsidR="009C0F66" w14:paraId="482A0C95" w14:textId="77777777" w:rsidTr="000966BC">
        <w:trPr>
          <w:trHeight w:val="254"/>
        </w:trPr>
        <w:tc>
          <w:tcPr>
            <w:tcW w:w="4814" w:type="dxa"/>
          </w:tcPr>
          <w:p w14:paraId="665A47B0" w14:textId="77777777" w:rsidR="009C0F66" w:rsidRPr="004D7B8D" w:rsidRDefault="009C0F66" w:rsidP="000966BC">
            <w:pPr>
              <w:tabs>
                <w:tab w:val="left" w:pos="318"/>
              </w:tabs>
              <w:spacing w:line="276" w:lineRule="auto"/>
              <w:rPr>
                <w:b/>
                <w:bCs/>
                <w:szCs w:val="24"/>
              </w:rPr>
            </w:pPr>
            <w:r w:rsidRPr="004D7B8D">
              <w:rPr>
                <w:b/>
                <w:bCs/>
                <w:szCs w:val="24"/>
              </w:rPr>
              <w:t>FSM-EPS-100-UG</w:t>
            </w:r>
          </w:p>
        </w:tc>
        <w:tc>
          <w:tcPr>
            <w:tcW w:w="4815" w:type="dxa"/>
          </w:tcPr>
          <w:p w14:paraId="307D0B5F" w14:textId="77777777" w:rsidR="009C0F66" w:rsidRDefault="009C0F66" w:rsidP="000966BC">
            <w:pPr>
              <w:contextualSpacing/>
            </w:pPr>
            <w:r>
              <w:t>8000</w:t>
            </w:r>
          </w:p>
        </w:tc>
      </w:tr>
      <w:tr w:rsidR="009C0F66" w14:paraId="6EFB4EA2" w14:textId="77777777" w:rsidTr="000966BC">
        <w:trPr>
          <w:trHeight w:val="254"/>
        </w:trPr>
        <w:tc>
          <w:tcPr>
            <w:tcW w:w="4814" w:type="dxa"/>
          </w:tcPr>
          <w:p w14:paraId="10319E80" w14:textId="77777777" w:rsidR="009C0F66" w:rsidRPr="004D7B8D" w:rsidRDefault="009C0F66" w:rsidP="000966BC">
            <w:pPr>
              <w:tabs>
                <w:tab w:val="left" w:pos="318"/>
              </w:tabs>
              <w:spacing w:line="276" w:lineRule="auto"/>
              <w:rPr>
                <w:b/>
                <w:bCs/>
                <w:szCs w:val="24"/>
              </w:rPr>
            </w:pPr>
            <w:r w:rsidRPr="004D7B8D">
              <w:rPr>
                <w:b/>
                <w:bCs/>
                <w:szCs w:val="24"/>
              </w:rPr>
              <w:t>FSM-UEBA-500-UG</w:t>
            </w:r>
          </w:p>
        </w:tc>
        <w:tc>
          <w:tcPr>
            <w:tcW w:w="4815" w:type="dxa"/>
          </w:tcPr>
          <w:p w14:paraId="5A9A5D54" w14:textId="77777777" w:rsidR="009C0F66" w:rsidRDefault="009C0F66" w:rsidP="000966BC">
            <w:pPr>
              <w:contextualSpacing/>
            </w:pPr>
            <w:r>
              <w:t>1</w:t>
            </w:r>
          </w:p>
        </w:tc>
      </w:tr>
      <w:tr w:rsidR="009C0F66" w14:paraId="78942BB4" w14:textId="77777777" w:rsidTr="000966BC">
        <w:trPr>
          <w:trHeight w:val="254"/>
        </w:trPr>
        <w:tc>
          <w:tcPr>
            <w:tcW w:w="4814" w:type="dxa"/>
          </w:tcPr>
          <w:p w14:paraId="3A048501" w14:textId="77777777" w:rsidR="009C0F66" w:rsidRPr="00D04B1A" w:rsidRDefault="009C0F66" w:rsidP="000966BC">
            <w:pPr>
              <w:contextualSpacing/>
            </w:pPr>
            <w:r w:rsidRPr="004D7B8D">
              <w:rPr>
                <w:b/>
                <w:bCs/>
                <w:szCs w:val="24"/>
              </w:rPr>
              <w:t>FSM-UEBA-25-UG</w:t>
            </w:r>
          </w:p>
        </w:tc>
        <w:tc>
          <w:tcPr>
            <w:tcW w:w="4815" w:type="dxa"/>
          </w:tcPr>
          <w:p w14:paraId="5A6F3D6C" w14:textId="77777777" w:rsidR="009C0F66" w:rsidRDefault="009C0F66" w:rsidP="000966BC">
            <w:pPr>
              <w:contextualSpacing/>
            </w:pPr>
            <w:r>
              <w:t>9</w:t>
            </w:r>
          </w:p>
        </w:tc>
      </w:tr>
    </w:tbl>
    <w:p w14:paraId="675D7F91" w14:textId="77777777" w:rsidR="009C0F66" w:rsidRDefault="009C0F66" w:rsidP="009C0F66">
      <w:pPr>
        <w:tabs>
          <w:tab w:val="num" w:pos="1070"/>
        </w:tabs>
        <w:contextualSpacing/>
      </w:pPr>
    </w:p>
    <w:p w14:paraId="08F3BC2A" w14:textId="77777777" w:rsidR="009C0F66" w:rsidRPr="002D6060" w:rsidRDefault="009C0F66" w:rsidP="009C0F66">
      <w:pPr>
        <w:tabs>
          <w:tab w:val="left" w:pos="1418"/>
          <w:tab w:val="left" w:pos="1560"/>
          <w:tab w:val="num" w:pos="1800"/>
          <w:tab w:val="left" w:pos="1843"/>
        </w:tabs>
        <w:ind w:left="720"/>
      </w:pPr>
    </w:p>
    <w:p w14:paraId="09864C9C" w14:textId="77777777" w:rsidR="009C0F66" w:rsidRPr="002D6060" w:rsidRDefault="009C0F66" w:rsidP="009C0F66">
      <w:pPr>
        <w:keepNext/>
        <w:ind w:left="426" w:hanging="284"/>
        <w:jc w:val="center"/>
        <w:rPr>
          <w:b/>
          <w:caps/>
        </w:rPr>
      </w:pPr>
      <w:r w:rsidRPr="002D6060">
        <w:rPr>
          <w:b/>
          <w:caps/>
        </w:rPr>
        <w:t>III. PASLAUGŲ TEIKIMO TVARKA</w:t>
      </w:r>
    </w:p>
    <w:p w14:paraId="0035BCBD" w14:textId="77777777" w:rsidR="009C0F66" w:rsidRPr="002D6060" w:rsidRDefault="009C0F66" w:rsidP="009C0F66">
      <w:pPr>
        <w:keepNext/>
        <w:ind w:left="426" w:hanging="284"/>
        <w:jc w:val="center"/>
        <w:rPr>
          <w:b/>
          <w:caps/>
        </w:rPr>
      </w:pPr>
    </w:p>
    <w:p w14:paraId="28965DC0" w14:textId="77777777" w:rsidR="009C0F66" w:rsidRPr="002D6060" w:rsidRDefault="009C0F66" w:rsidP="00771FC2">
      <w:pPr>
        <w:numPr>
          <w:ilvl w:val="0"/>
          <w:numId w:val="1"/>
        </w:numPr>
        <w:tabs>
          <w:tab w:val="clear" w:pos="1920"/>
        </w:tabs>
        <w:ind w:left="0" w:firstLine="567"/>
      </w:pPr>
      <w:r w:rsidRPr="002D6060">
        <w:t>Reikalavimai Paslaugoms apima:</w:t>
      </w:r>
    </w:p>
    <w:p w14:paraId="2B976658" w14:textId="3D5445A7" w:rsidR="009C0F66" w:rsidRPr="002D6060" w:rsidRDefault="009C0F66" w:rsidP="00771FC2">
      <w:pPr>
        <w:numPr>
          <w:ilvl w:val="1"/>
          <w:numId w:val="1"/>
        </w:numPr>
        <w:tabs>
          <w:tab w:val="clear" w:pos="7379"/>
        </w:tabs>
        <w:ind w:left="0" w:firstLine="567"/>
      </w:pPr>
      <w:r w:rsidRPr="002D6060">
        <w:rPr>
          <w:b/>
          <w:bCs/>
        </w:rPr>
        <w:t>defektų šalinimą</w:t>
      </w:r>
      <w:r w:rsidRPr="002D6060">
        <w:t xml:space="preserve"> – pastebėtų </w:t>
      </w:r>
      <w:proofErr w:type="spellStart"/>
      <w:r w:rsidR="003E0182">
        <w:t>Fortinet</w:t>
      </w:r>
      <w:proofErr w:type="spellEnd"/>
      <w:r w:rsidR="003E0182">
        <w:t xml:space="preserve"> </w:t>
      </w:r>
      <w:proofErr w:type="spellStart"/>
      <w:r w:rsidR="003E0182">
        <w:t>FortiSIEM</w:t>
      </w:r>
      <w:proofErr w:type="spellEnd"/>
      <w:r w:rsidRPr="003F0217">
        <w:t xml:space="preserve"> </w:t>
      </w:r>
      <w:r w:rsidRPr="002D6060">
        <w:t>sutrikimų ir gedimų šalinimas, veikimo, neatitinkančio aprašyto dokumentuose, taisymas. Defektu tai pat laikomi greitaveikos sulėtėjimai, po pakeitimo / defekto ištaisymo įdiegimo į darbinę aplinką bei aptiktos saugumo spragos (</w:t>
      </w:r>
      <w:r w:rsidRPr="002D6060">
        <w:rPr>
          <w:i/>
          <w:iCs/>
        </w:rPr>
        <w:t xml:space="preserve">angl. </w:t>
      </w:r>
      <w:proofErr w:type="spellStart"/>
      <w:r w:rsidRPr="002D6060">
        <w:rPr>
          <w:i/>
          <w:iCs/>
        </w:rPr>
        <w:t>vulnerability</w:t>
      </w:r>
      <w:proofErr w:type="spellEnd"/>
      <w:r w:rsidRPr="002D6060">
        <w:t>);</w:t>
      </w:r>
    </w:p>
    <w:p w14:paraId="6A3E0CCB" w14:textId="4684375B" w:rsidR="009C0F66" w:rsidRPr="000E1820" w:rsidRDefault="009C0F66" w:rsidP="00771FC2">
      <w:pPr>
        <w:numPr>
          <w:ilvl w:val="1"/>
          <w:numId w:val="1"/>
        </w:numPr>
        <w:tabs>
          <w:tab w:val="clear" w:pos="7379"/>
        </w:tabs>
        <w:ind w:left="0" w:firstLine="567"/>
      </w:pPr>
      <w:r w:rsidRPr="002D6060">
        <w:rPr>
          <w:b/>
          <w:bCs/>
        </w:rPr>
        <w:t>pakeitimų (pagal NMA išdėstytus poreikius) įgyvendinimą</w:t>
      </w:r>
      <w:r w:rsidRPr="002D6060">
        <w:t xml:space="preserve"> – </w:t>
      </w:r>
      <w:proofErr w:type="spellStart"/>
      <w:r w:rsidR="003E0182">
        <w:t>Fortinet</w:t>
      </w:r>
      <w:proofErr w:type="spellEnd"/>
      <w:r w:rsidR="003E0182">
        <w:t xml:space="preserve"> </w:t>
      </w:r>
      <w:proofErr w:type="spellStart"/>
      <w:r w:rsidR="003E0182">
        <w:t>FortiSIEM</w:t>
      </w:r>
      <w:proofErr w:type="spellEnd"/>
      <w:r w:rsidRPr="000E1820">
        <w:t xml:space="preserve"> modifikavimas bei su </w:t>
      </w:r>
      <w:proofErr w:type="spellStart"/>
      <w:r w:rsidR="003E0182">
        <w:t>Fortinet</w:t>
      </w:r>
      <w:proofErr w:type="spellEnd"/>
      <w:r w:rsidR="003E0182">
        <w:t xml:space="preserve"> </w:t>
      </w:r>
      <w:proofErr w:type="spellStart"/>
      <w:r w:rsidR="003E0182">
        <w:t>FortiSIEM</w:t>
      </w:r>
      <w:proofErr w:type="spellEnd"/>
      <w:r w:rsidRPr="000E1820">
        <w:t xml:space="preserve"> susijusių kitų pakeitimų įgyvendinimas, dokumentacijos atnaujinimas;</w:t>
      </w:r>
    </w:p>
    <w:p w14:paraId="697DA4E1" w14:textId="40C8C0A4" w:rsidR="009C0F66" w:rsidRPr="000E1820" w:rsidRDefault="009C0F66" w:rsidP="00771FC2">
      <w:pPr>
        <w:numPr>
          <w:ilvl w:val="1"/>
          <w:numId w:val="1"/>
        </w:numPr>
        <w:tabs>
          <w:tab w:val="clear" w:pos="7379"/>
        </w:tabs>
        <w:ind w:left="0" w:firstLine="567"/>
      </w:pPr>
      <w:r w:rsidRPr="000E1820">
        <w:rPr>
          <w:b/>
          <w:bCs/>
        </w:rPr>
        <w:t>konsultavimą (užklausų sprendimą)</w:t>
      </w:r>
      <w:r w:rsidRPr="000E1820">
        <w:t xml:space="preserve"> – konsultavimas su </w:t>
      </w:r>
      <w:proofErr w:type="spellStart"/>
      <w:r w:rsidR="003E0182">
        <w:t>Fortinet</w:t>
      </w:r>
      <w:proofErr w:type="spellEnd"/>
      <w:r w:rsidR="003E0182">
        <w:t xml:space="preserve"> </w:t>
      </w:r>
      <w:proofErr w:type="spellStart"/>
      <w:r w:rsidR="003E0182">
        <w:t>FortiSIEM</w:t>
      </w:r>
      <w:proofErr w:type="spellEnd"/>
      <w:r w:rsidRPr="000E1820">
        <w:t xml:space="preserve"> naudojimu ir konfigūravimu susijusiais klausimais, konsultacijos sutrikimų prevencijos, optimizavimo, funkcionalumo atkūrimo ar išplėtimo klausimais, su </w:t>
      </w:r>
      <w:proofErr w:type="spellStart"/>
      <w:r w:rsidR="003E0182">
        <w:t>Fortinet</w:t>
      </w:r>
      <w:proofErr w:type="spellEnd"/>
      <w:r w:rsidR="003E0182">
        <w:t xml:space="preserve"> </w:t>
      </w:r>
      <w:proofErr w:type="spellStart"/>
      <w:r w:rsidR="003E0182">
        <w:t>FortiSIEM</w:t>
      </w:r>
      <w:proofErr w:type="spellEnd"/>
      <w:r w:rsidRPr="000E1820">
        <w:t xml:space="preserve"> funkcionalumu susiję NMA darbuotojų mokymai.</w:t>
      </w:r>
    </w:p>
    <w:p w14:paraId="142B437A" w14:textId="77777777" w:rsidR="009C0F66" w:rsidRPr="002D6060" w:rsidRDefault="009C0F66" w:rsidP="00771FC2">
      <w:pPr>
        <w:numPr>
          <w:ilvl w:val="0"/>
          <w:numId w:val="1"/>
        </w:numPr>
        <w:tabs>
          <w:tab w:val="clear" w:pos="1920"/>
        </w:tabs>
        <w:ind w:left="0" w:firstLine="567"/>
      </w:pPr>
      <w:r w:rsidRPr="002D6060">
        <w:rPr>
          <w:b/>
          <w:bCs/>
        </w:rPr>
        <w:t>Pakeitimų įgyvendinimas ir defektų šalinimas</w:t>
      </w:r>
      <w:r w:rsidRPr="002D6060">
        <w:t xml:space="preserve"> turi būti vykdomi vadovaujantis tokia tvarka:</w:t>
      </w:r>
    </w:p>
    <w:p w14:paraId="5AC85CD6" w14:textId="77777777" w:rsidR="009C0F66" w:rsidRPr="002D6060" w:rsidRDefault="009C0F66" w:rsidP="00771FC2">
      <w:pPr>
        <w:numPr>
          <w:ilvl w:val="1"/>
          <w:numId w:val="1"/>
        </w:numPr>
        <w:tabs>
          <w:tab w:val="clear" w:pos="7379"/>
        </w:tabs>
        <w:ind w:left="0" w:firstLine="567"/>
      </w:pPr>
      <w:r w:rsidRPr="002D6060">
        <w:t xml:space="preserve">pakeitimo užsakymas – </w:t>
      </w:r>
      <w:r w:rsidRPr="002D6060">
        <w:rPr>
          <w:szCs w:val="24"/>
        </w:rPr>
        <w:t>NMA paskirtas atsakingas asmuo</w:t>
      </w:r>
      <w:r>
        <w:rPr>
          <w:szCs w:val="24"/>
        </w:rPr>
        <w:t xml:space="preserve"> NMA</w:t>
      </w:r>
      <w:r w:rsidRPr="002D6060">
        <w:rPr>
          <w:szCs w:val="24"/>
        </w:rPr>
        <w:t xml:space="preserve"> </w:t>
      </w:r>
      <w:bookmarkStart w:id="2" w:name="_Hlk99559375"/>
      <w:r w:rsidRPr="002D6060">
        <w:rPr>
          <w:color w:val="000000"/>
          <w:szCs w:val="24"/>
        </w:rPr>
        <w:t>IT pagalbos portale užpildo pakeitimo užsakymo formą. Pildant pakeitimo užsakymo formą išsamiai aprašoma pakeitimo esmė, pagrindžiamas jo būtinumas, nurodoma pageidaujama pakeitimo įdiegimo į gamybinę aplinką data („</w:t>
      </w:r>
      <w:proofErr w:type="spellStart"/>
      <w:r w:rsidRPr="002D6060">
        <w:rPr>
          <w:b/>
          <w:bCs/>
          <w:i/>
          <w:iCs/>
          <w:color w:val="000000"/>
          <w:szCs w:val="24"/>
        </w:rPr>
        <w:t>N</w:t>
      </w:r>
      <w:r w:rsidRPr="002D6060">
        <w:rPr>
          <w:b/>
          <w:bCs/>
          <w:i/>
          <w:color w:val="000000"/>
          <w:szCs w:val="24"/>
        </w:rPr>
        <w:t>eed</w:t>
      </w:r>
      <w:proofErr w:type="spellEnd"/>
      <w:r w:rsidRPr="002D6060">
        <w:rPr>
          <w:b/>
          <w:bCs/>
          <w:i/>
          <w:color w:val="000000"/>
          <w:szCs w:val="24"/>
        </w:rPr>
        <w:t xml:space="preserve"> </w:t>
      </w:r>
      <w:proofErr w:type="spellStart"/>
      <w:r w:rsidRPr="002D6060">
        <w:rPr>
          <w:b/>
          <w:bCs/>
          <w:i/>
          <w:color w:val="000000"/>
          <w:szCs w:val="24"/>
        </w:rPr>
        <w:t>by</w:t>
      </w:r>
      <w:proofErr w:type="spellEnd"/>
      <w:r w:rsidRPr="002D6060">
        <w:rPr>
          <w:b/>
          <w:bCs/>
          <w:i/>
          <w:color w:val="000000"/>
          <w:szCs w:val="24"/>
        </w:rPr>
        <w:t xml:space="preserve"> </w:t>
      </w:r>
      <w:proofErr w:type="spellStart"/>
      <w:r w:rsidRPr="002D6060">
        <w:rPr>
          <w:b/>
          <w:bCs/>
          <w:i/>
          <w:color w:val="000000"/>
          <w:szCs w:val="24"/>
        </w:rPr>
        <w:t>date</w:t>
      </w:r>
      <w:proofErr w:type="spellEnd"/>
      <w:r w:rsidRPr="002D6060">
        <w:rPr>
          <w:color w:val="000000"/>
          <w:szCs w:val="24"/>
        </w:rPr>
        <w:t>“), nustatomas pakeitimo prioritetas („</w:t>
      </w:r>
      <w:proofErr w:type="spellStart"/>
      <w:r w:rsidRPr="002D6060">
        <w:rPr>
          <w:b/>
          <w:bCs/>
          <w:i/>
          <w:color w:val="000000"/>
          <w:szCs w:val="24"/>
        </w:rPr>
        <w:t>Priority</w:t>
      </w:r>
      <w:proofErr w:type="spellEnd"/>
      <w:r w:rsidRPr="002D6060">
        <w:rPr>
          <w:color w:val="000000"/>
          <w:szCs w:val="24"/>
        </w:rPr>
        <w:t>“ – reikšmė gali būti nuo 1 iki 4. 1 – aukščiausio prioriteto, 4 – žemiausio) ir preliminari pakeitimo kaina („</w:t>
      </w:r>
      <w:proofErr w:type="spellStart"/>
      <w:r w:rsidRPr="002D6060">
        <w:rPr>
          <w:b/>
          <w:bCs/>
          <w:i/>
          <w:color w:val="000000"/>
          <w:szCs w:val="24"/>
        </w:rPr>
        <w:t>Estimated</w:t>
      </w:r>
      <w:proofErr w:type="spellEnd"/>
      <w:r w:rsidRPr="002D6060">
        <w:rPr>
          <w:b/>
          <w:bCs/>
          <w:i/>
          <w:color w:val="000000"/>
          <w:szCs w:val="24"/>
        </w:rPr>
        <w:t xml:space="preserve"> </w:t>
      </w:r>
      <w:proofErr w:type="spellStart"/>
      <w:r w:rsidRPr="002D6060">
        <w:rPr>
          <w:b/>
          <w:bCs/>
          <w:i/>
          <w:color w:val="000000"/>
          <w:szCs w:val="24"/>
        </w:rPr>
        <w:t>cost</w:t>
      </w:r>
      <w:proofErr w:type="spellEnd"/>
      <w:r w:rsidRPr="002D6060">
        <w:rPr>
          <w:color w:val="000000"/>
          <w:szCs w:val="24"/>
        </w:rPr>
        <w:t>“)</w:t>
      </w:r>
      <w:bookmarkEnd w:id="2"/>
      <w:r w:rsidRPr="002D6060">
        <w:t>;</w:t>
      </w:r>
    </w:p>
    <w:p w14:paraId="539E5C73" w14:textId="77777777" w:rsidR="009C0F66" w:rsidRPr="002D6060" w:rsidRDefault="009C0F66" w:rsidP="00771FC2">
      <w:pPr>
        <w:numPr>
          <w:ilvl w:val="1"/>
          <w:numId w:val="1"/>
        </w:numPr>
        <w:tabs>
          <w:tab w:val="clear" w:pos="7379"/>
        </w:tabs>
        <w:ind w:left="0" w:firstLine="567"/>
      </w:pPr>
      <w:r w:rsidRPr="002D6060">
        <w:t xml:space="preserve">įvertinimas – </w:t>
      </w:r>
      <w:bookmarkStart w:id="3" w:name="_Hlk95228362"/>
      <w:r w:rsidRPr="002D6060">
        <w:rPr>
          <w:szCs w:val="24"/>
        </w:rPr>
        <w:t xml:space="preserve">NMA </w:t>
      </w:r>
      <w:r w:rsidRPr="002D6060">
        <w:rPr>
          <w:color w:val="000000"/>
          <w:szCs w:val="24"/>
        </w:rPr>
        <w:t xml:space="preserve">IS darbo grupės vadovas ir </w:t>
      </w:r>
      <w:r>
        <w:rPr>
          <w:color w:val="000000"/>
          <w:szCs w:val="24"/>
        </w:rPr>
        <w:t>Paslaugų t</w:t>
      </w:r>
      <w:r w:rsidRPr="002D6060">
        <w:rPr>
          <w:color w:val="000000"/>
          <w:szCs w:val="24"/>
        </w:rPr>
        <w:t>eikėjas suderina pakeitimo įvertinimo pateikimo terminą. Po suderinimo, NMA IS darbo grupės vadovas IT  pagalbos portale užpildo pakeitimo formos laukelį „</w:t>
      </w:r>
      <w:proofErr w:type="spellStart"/>
      <w:r w:rsidRPr="002D6060">
        <w:rPr>
          <w:b/>
          <w:bCs/>
          <w:i/>
          <w:color w:val="000000"/>
          <w:szCs w:val="24"/>
        </w:rPr>
        <w:t>Requirements</w:t>
      </w:r>
      <w:proofErr w:type="spellEnd"/>
      <w:r w:rsidRPr="002D6060">
        <w:rPr>
          <w:b/>
          <w:bCs/>
          <w:i/>
          <w:color w:val="000000"/>
          <w:szCs w:val="24"/>
        </w:rPr>
        <w:t xml:space="preserve"> </w:t>
      </w:r>
      <w:proofErr w:type="spellStart"/>
      <w:r w:rsidRPr="002D6060">
        <w:rPr>
          <w:b/>
          <w:bCs/>
          <w:i/>
          <w:color w:val="000000"/>
          <w:szCs w:val="24"/>
        </w:rPr>
        <w:t>need</w:t>
      </w:r>
      <w:proofErr w:type="spellEnd"/>
      <w:r w:rsidRPr="002D6060">
        <w:rPr>
          <w:b/>
          <w:bCs/>
          <w:i/>
          <w:color w:val="000000"/>
          <w:szCs w:val="24"/>
        </w:rPr>
        <w:t xml:space="preserve"> </w:t>
      </w:r>
      <w:proofErr w:type="spellStart"/>
      <w:r w:rsidRPr="002D6060">
        <w:rPr>
          <w:b/>
          <w:bCs/>
          <w:i/>
          <w:color w:val="000000"/>
          <w:szCs w:val="24"/>
        </w:rPr>
        <w:t>by</w:t>
      </w:r>
      <w:proofErr w:type="spellEnd"/>
      <w:r w:rsidRPr="002D6060">
        <w:rPr>
          <w:b/>
          <w:bCs/>
          <w:i/>
          <w:color w:val="000000"/>
          <w:szCs w:val="24"/>
        </w:rPr>
        <w:t xml:space="preserve"> </w:t>
      </w:r>
      <w:proofErr w:type="spellStart"/>
      <w:r w:rsidRPr="002D6060">
        <w:rPr>
          <w:b/>
          <w:bCs/>
          <w:i/>
          <w:color w:val="000000"/>
          <w:szCs w:val="24"/>
        </w:rPr>
        <w:t>date</w:t>
      </w:r>
      <w:proofErr w:type="spellEnd"/>
      <w:r w:rsidRPr="002D6060">
        <w:rPr>
          <w:color w:val="000000"/>
          <w:szCs w:val="24"/>
        </w:rPr>
        <w:t>“ (data, iki kada turi būti pateikti pakeitimo įvertinimo dokumentai), jei reikia tikslina pakeitimo prioritetą („</w:t>
      </w:r>
      <w:proofErr w:type="spellStart"/>
      <w:r w:rsidRPr="002D6060">
        <w:rPr>
          <w:b/>
          <w:bCs/>
          <w:i/>
          <w:color w:val="000000"/>
          <w:szCs w:val="24"/>
        </w:rPr>
        <w:t>Priority</w:t>
      </w:r>
      <w:proofErr w:type="spellEnd"/>
      <w:r w:rsidRPr="002D6060">
        <w:rPr>
          <w:color w:val="000000"/>
          <w:szCs w:val="24"/>
        </w:rPr>
        <w:t xml:space="preserve">“). </w:t>
      </w:r>
      <w:bookmarkEnd w:id="3"/>
      <w:r>
        <w:rPr>
          <w:color w:val="000000"/>
          <w:szCs w:val="24"/>
        </w:rPr>
        <w:t>Paslaugų t</w:t>
      </w:r>
      <w:r w:rsidRPr="002D6060">
        <w:rPr>
          <w:szCs w:val="24"/>
        </w:rPr>
        <w:t xml:space="preserve">eikėjas išsiaiškina pakeitimo užsakyme aprašytą reikalingos paslaugos esmę, apimtį, techninius, funkcinius, saugumo ir kokybės reikalavimus, įvertina galimą neigiamą pakeitimo poveikį posistemės </w:t>
      </w:r>
      <w:r w:rsidRPr="002D6060">
        <w:rPr>
          <w:szCs w:val="24"/>
        </w:rPr>
        <w:lastRenderedPageBreak/>
        <w:t xml:space="preserve">greitaveikai </w:t>
      </w:r>
      <w:bookmarkStart w:id="4" w:name="_Hlk99560626"/>
      <w:r w:rsidRPr="002D6060">
        <w:rPr>
          <w:szCs w:val="24"/>
        </w:rPr>
        <w:t>ir IT</w:t>
      </w:r>
      <w:r>
        <w:rPr>
          <w:szCs w:val="24"/>
        </w:rPr>
        <w:t xml:space="preserve"> </w:t>
      </w:r>
      <w:r w:rsidRPr="002D6060">
        <w:rPr>
          <w:szCs w:val="24"/>
        </w:rPr>
        <w:t xml:space="preserve">pagalbos portale pateikia </w:t>
      </w:r>
      <w:r w:rsidRPr="002D6060">
        <w:rPr>
          <w:b/>
          <w:szCs w:val="24"/>
        </w:rPr>
        <w:t>detalų įvertinimo</w:t>
      </w:r>
      <w:r w:rsidRPr="002D6060">
        <w:rPr>
          <w:szCs w:val="24"/>
        </w:rPr>
        <w:t xml:space="preserve"> dokumentą iki </w:t>
      </w:r>
      <w:r w:rsidRPr="002D6060">
        <w:rPr>
          <w:color w:val="000000"/>
          <w:szCs w:val="24"/>
        </w:rPr>
        <w:t>„</w:t>
      </w:r>
      <w:proofErr w:type="spellStart"/>
      <w:r w:rsidRPr="002D6060">
        <w:rPr>
          <w:b/>
          <w:bCs/>
          <w:i/>
          <w:color w:val="000000"/>
          <w:szCs w:val="24"/>
        </w:rPr>
        <w:t>Requirements</w:t>
      </w:r>
      <w:proofErr w:type="spellEnd"/>
      <w:r w:rsidRPr="002D6060">
        <w:rPr>
          <w:b/>
          <w:bCs/>
          <w:i/>
          <w:color w:val="000000"/>
          <w:szCs w:val="24"/>
        </w:rPr>
        <w:t xml:space="preserve"> </w:t>
      </w:r>
      <w:proofErr w:type="spellStart"/>
      <w:r w:rsidRPr="002D6060">
        <w:rPr>
          <w:b/>
          <w:bCs/>
          <w:i/>
          <w:color w:val="000000"/>
          <w:szCs w:val="24"/>
        </w:rPr>
        <w:t>need</w:t>
      </w:r>
      <w:proofErr w:type="spellEnd"/>
      <w:r w:rsidRPr="002D6060">
        <w:rPr>
          <w:b/>
          <w:bCs/>
          <w:i/>
          <w:color w:val="000000"/>
          <w:szCs w:val="24"/>
        </w:rPr>
        <w:t xml:space="preserve"> </w:t>
      </w:r>
      <w:proofErr w:type="spellStart"/>
      <w:r w:rsidRPr="002D6060">
        <w:rPr>
          <w:b/>
          <w:bCs/>
          <w:i/>
          <w:color w:val="000000"/>
          <w:szCs w:val="24"/>
        </w:rPr>
        <w:t>by</w:t>
      </w:r>
      <w:proofErr w:type="spellEnd"/>
      <w:r w:rsidRPr="002D6060">
        <w:rPr>
          <w:b/>
          <w:bCs/>
          <w:i/>
          <w:color w:val="000000"/>
          <w:szCs w:val="24"/>
        </w:rPr>
        <w:t xml:space="preserve"> </w:t>
      </w:r>
      <w:proofErr w:type="spellStart"/>
      <w:r w:rsidRPr="002D6060">
        <w:rPr>
          <w:b/>
          <w:bCs/>
          <w:i/>
          <w:color w:val="000000"/>
          <w:szCs w:val="24"/>
        </w:rPr>
        <w:t>date</w:t>
      </w:r>
      <w:proofErr w:type="spellEnd"/>
      <w:r w:rsidRPr="002D6060">
        <w:rPr>
          <w:color w:val="000000"/>
          <w:szCs w:val="24"/>
        </w:rPr>
        <w:t>“ suderinto termino</w:t>
      </w:r>
      <w:bookmarkEnd w:id="4"/>
      <w:r w:rsidRPr="002D6060">
        <w:rPr>
          <w:szCs w:val="24"/>
        </w:rPr>
        <w:t>, kuriame nurodo paslaugos suteikimo trukmės įvertinimą išreikštą darbo dienomis ir darbo dienų verte</w:t>
      </w:r>
      <w:r w:rsidRPr="002D6060">
        <w:rPr>
          <w:sz w:val="23"/>
          <w:szCs w:val="23"/>
        </w:rPr>
        <w:t>.</w:t>
      </w:r>
      <w:r w:rsidRPr="002D6060">
        <w:t xml:space="preserve"> Taip pat Paslaugų teikėjas pateikia detalų specifikacijos dokumentą. Jei pakeitimo apimtis viršija 3 d. d., įvertinimo dokumente taip pat detaliai išdėsto vertinimo kriterijus, sąnaudas, reikalingas suteikti paslaugai</w:t>
      </w:r>
      <w:r>
        <w:t xml:space="preserve">. </w:t>
      </w:r>
      <w:r w:rsidRPr="002D6060">
        <w:t>Jei pakeitimo apimtis neviršija 3 d. d., Paslaugų teikėjas neprivalo pateikti specifikacijos dokumento, bet įvertinimo dokumente Paslaugų teikėjas papildomai privalo detaliai aprašyti, kokiu būdu numato realizuoti užsakyme suformuluotus pakeitimo reikalavimus, išvardindamas planuojamus darbus. Atlikdamas pakeitimo įvertinimą, Paslaugų teikėjas privalo detaliai susipažinti su esamais NMA veiklos procesai</w:t>
      </w:r>
      <w:r>
        <w:t>s</w:t>
      </w:r>
      <w:r w:rsidRPr="002D6060">
        <w:t xml:space="preserve">, išanalizuoti su pakeitimu susijusius teisės aktus. Jei to nepakanka detaliai išsiaiškinti NMA pakeitimo užsakymo, Paslaugų teikėjas privalo savo iniciatyva ir sąnaudomis rengti susitikimus su NMA darbuotojais, galinčiais patikslinti pakeitimo užsakyme išdėstytą informaciją. </w:t>
      </w:r>
    </w:p>
    <w:p w14:paraId="7D4D9864" w14:textId="77777777" w:rsidR="009C0F66" w:rsidRPr="002D6060" w:rsidRDefault="009C0F66" w:rsidP="00771FC2">
      <w:pPr>
        <w:numPr>
          <w:ilvl w:val="1"/>
          <w:numId w:val="1"/>
        </w:numPr>
        <w:tabs>
          <w:tab w:val="clear" w:pos="7379"/>
        </w:tabs>
        <w:ind w:left="0" w:firstLine="567"/>
      </w:pPr>
      <w:r w:rsidRPr="002D6060">
        <w:t xml:space="preserve">Paslaugų teikėjas, rengdamas pakeitimo įvertinimą privalo atlikti detalią analizę, kuri negali būti papildomai apmokestinama. Jei po pakeitimo įvertinimo pateikimo paaiškėja, kad Paslaugų teikėjas dėl savo kaltės neatliko detalios analizės ir yra poreikis atlikti papildomą analizę, tai yra laikoma trūkumu ir tokia analizė yra neapmokama. Paslaugų teikėjas privalo ją atlikti vykdydamas </w:t>
      </w:r>
      <w:r>
        <w:t>4</w:t>
      </w:r>
      <w:r w:rsidRPr="002D6060">
        <w:t xml:space="preserve">.2. </w:t>
      </w:r>
      <w:r>
        <w:t>papunktį,</w:t>
      </w:r>
      <w:r w:rsidRPr="002D6060">
        <w:t xml:space="preserve"> išskyrus tuos atvejus kai NMA pakeičia ar papildo pakeitimo užsakymo reikalavimus pakeitimo įvertinimo eigoje ir analizę reikia vykdyti papildomai;</w:t>
      </w:r>
    </w:p>
    <w:p w14:paraId="24DC34C2" w14:textId="77777777" w:rsidR="009C0F66" w:rsidRPr="002D6060" w:rsidRDefault="009C0F66" w:rsidP="00771FC2">
      <w:pPr>
        <w:numPr>
          <w:ilvl w:val="1"/>
          <w:numId w:val="1"/>
        </w:numPr>
        <w:tabs>
          <w:tab w:val="clear" w:pos="7379"/>
        </w:tabs>
        <w:ind w:left="0" w:firstLine="567"/>
      </w:pPr>
      <w:r w:rsidRPr="002D6060">
        <w:t>Paslaugų teikėjas, rengdamas pakeitimo įvertinimą privalo informuoti NMA, jeigu rengiant pakeitimo įvertinimą paaiškėja, kad įvertinimas bus didesnis negu preliminari pakeitimo kaina („</w:t>
      </w:r>
      <w:proofErr w:type="spellStart"/>
      <w:r w:rsidRPr="002D6060">
        <w:rPr>
          <w:b/>
          <w:bCs/>
          <w:i/>
          <w:iCs/>
        </w:rPr>
        <w:t>Estimated</w:t>
      </w:r>
      <w:proofErr w:type="spellEnd"/>
      <w:r w:rsidRPr="002D6060">
        <w:rPr>
          <w:b/>
          <w:bCs/>
          <w:i/>
          <w:iCs/>
        </w:rPr>
        <w:t xml:space="preserve"> </w:t>
      </w:r>
      <w:proofErr w:type="spellStart"/>
      <w:r w:rsidRPr="002D6060">
        <w:rPr>
          <w:b/>
          <w:bCs/>
          <w:i/>
          <w:iCs/>
        </w:rPr>
        <w:t>cost</w:t>
      </w:r>
      <w:proofErr w:type="spellEnd"/>
      <w:r w:rsidRPr="002D6060">
        <w:t xml:space="preserve">“) ir įvertinimo darbus tęsti tik gavus NMA patvirtinimą apie tai. Jei </w:t>
      </w:r>
      <w:r>
        <w:t xml:space="preserve"> Paslaugų t</w:t>
      </w:r>
      <w:r w:rsidRPr="002D6060">
        <w:t xml:space="preserve">eikėjas apie didesnį nei preliminari pakeitimo kaina neinformuoja, NMA turi teisę pakeitimo atsisakyti ir abipusiu sutarimu gali dalinai sumokėti už </w:t>
      </w:r>
      <w:r>
        <w:t>Paslaugų t</w:t>
      </w:r>
      <w:r w:rsidRPr="002D6060">
        <w:t xml:space="preserve">eikėjo atliktą detalų Įvertinimą. Įvertinimo dalis bus paskaičiuota pagal </w:t>
      </w:r>
      <w:r>
        <w:t>Paslaugų t</w:t>
      </w:r>
      <w:r w:rsidRPr="002D6060">
        <w:t>eikėjo pagrįstą įvertinimui sugaištą faktinį laiką, bet ji negali sudaryti daugiau, kaip 20 proc. nuo planuotos preliminarios pakeitimo kainos</w:t>
      </w:r>
    </w:p>
    <w:p w14:paraId="2EE0B6D7" w14:textId="77777777" w:rsidR="009C0F66" w:rsidRPr="002D6060" w:rsidRDefault="009C0F66" w:rsidP="00771FC2">
      <w:pPr>
        <w:numPr>
          <w:ilvl w:val="1"/>
          <w:numId w:val="1"/>
        </w:numPr>
        <w:tabs>
          <w:tab w:val="clear" w:pos="7379"/>
        </w:tabs>
        <w:ind w:left="0" w:firstLine="567"/>
      </w:pPr>
      <w:r w:rsidRPr="002D6060">
        <w:t xml:space="preserve">įvertinimo patvirtinimas – NMA, išnagrinėjusi Paslaugų teikėjo pateiktą įvertinimo dokumentą, jį patvirtina, jei dokumentas aiškus ir nurodytos sąnaudos tinkamos ir  nusprendžia, kad paslauga yra reikalinga. NMA nepatvirtina įvertinimo dokumento, jei nusprendžia, kad paslauga yra nereikalinga. Jei įvertinimo dokumentas yra neaiškus, NMA gali paprašyti Paslaugų teikėjo detalizuoti pakeitimo įvertinime minimus darbus bei jų finansinį įvertinimą. Jei įvertinimo dokumente pateiktas NMA poreikio įgyvendinimas netinkamai, neaiškiai, NMA pareikalavus, Paslaugų teikėjas privalo savo sąnaudomis rengti susitikimus su NMA darbuotojais, tikslinant įvertinimą. Paslaugų teikėjas privalo atsakyti į NMA ar jos pasamdytų nepriklausomų ekspertų pateiktus klausimus </w:t>
      </w:r>
      <w:r w:rsidRPr="0083350C">
        <w:t>per 6</w:t>
      </w:r>
      <w:r w:rsidRPr="002D6060">
        <w:t xml:space="preserve"> punkto lentelėje nurodytą trūkumų šalinimo terminą;</w:t>
      </w:r>
    </w:p>
    <w:p w14:paraId="7DD33111" w14:textId="77777777" w:rsidR="009C0F66" w:rsidRPr="002D6060" w:rsidRDefault="009C0F66" w:rsidP="00771FC2">
      <w:pPr>
        <w:numPr>
          <w:ilvl w:val="1"/>
          <w:numId w:val="1"/>
        </w:numPr>
        <w:tabs>
          <w:tab w:val="clear" w:pos="7379"/>
        </w:tabs>
        <w:ind w:left="0" w:firstLine="567"/>
      </w:pPr>
      <w:r w:rsidRPr="002D6060">
        <w:t>NMA nepatvirtinus įvertinimo dokumento, abipusiu sutarimu NMA gali sumokėti už Paslaugų teikėjo atliktą detalų įvertinimą. Įvertinimo dalis bus paskaičiuota pagal Paslaugų teikėjo pagrįstą įvertinimui sugaištą faktinį laiką, bet ji negali sudaryti daugiau, kaip 20 proc. nuo visos įvertinto pakeitimo apimties;</w:t>
      </w:r>
    </w:p>
    <w:p w14:paraId="2A0E46A6" w14:textId="77777777" w:rsidR="009C0F66" w:rsidRPr="002D6060" w:rsidRDefault="009C0F66" w:rsidP="00771FC2">
      <w:pPr>
        <w:numPr>
          <w:ilvl w:val="1"/>
          <w:numId w:val="1"/>
        </w:numPr>
        <w:tabs>
          <w:tab w:val="clear" w:pos="7379"/>
        </w:tabs>
        <w:ind w:left="0" w:firstLine="567"/>
      </w:pPr>
      <w:r w:rsidRPr="002D6060">
        <w:t xml:space="preserve">sprendimas – </w:t>
      </w:r>
      <w:bookmarkStart w:id="5" w:name="_Hlk95228640"/>
      <w:r w:rsidRPr="002D6060">
        <w:rPr>
          <w:color w:val="000000"/>
          <w:sz w:val="23"/>
          <w:szCs w:val="23"/>
        </w:rPr>
        <w:t xml:space="preserve">IS darbo grupės vadovas ir </w:t>
      </w:r>
      <w:r>
        <w:rPr>
          <w:color w:val="000000"/>
          <w:sz w:val="23"/>
          <w:szCs w:val="23"/>
        </w:rPr>
        <w:t>Paslaugų t</w:t>
      </w:r>
      <w:r w:rsidRPr="002D6060">
        <w:rPr>
          <w:color w:val="000000"/>
          <w:sz w:val="23"/>
          <w:szCs w:val="23"/>
        </w:rPr>
        <w:t>eikėjas suderina pakeitimo įgyvendinimo terminą. Po suderinimo IS darbo grupės vadovas IT pagalbos portale užpildo pakeitimo formos laukelį „</w:t>
      </w:r>
      <w:proofErr w:type="spellStart"/>
      <w:r w:rsidRPr="002D6060">
        <w:rPr>
          <w:b/>
          <w:bCs/>
          <w:i/>
          <w:color w:val="000000"/>
          <w:sz w:val="23"/>
          <w:szCs w:val="23"/>
        </w:rPr>
        <w:t>Implemention</w:t>
      </w:r>
      <w:proofErr w:type="spellEnd"/>
      <w:r w:rsidRPr="002D6060">
        <w:rPr>
          <w:b/>
          <w:bCs/>
          <w:i/>
          <w:color w:val="000000"/>
          <w:sz w:val="23"/>
          <w:szCs w:val="23"/>
        </w:rPr>
        <w:t xml:space="preserve"> </w:t>
      </w:r>
      <w:proofErr w:type="spellStart"/>
      <w:r w:rsidRPr="002D6060">
        <w:rPr>
          <w:b/>
          <w:bCs/>
          <w:i/>
          <w:color w:val="000000"/>
          <w:sz w:val="23"/>
          <w:szCs w:val="23"/>
        </w:rPr>
        <w:t>need</w:t>
      </w:r>
      <w:proofErr w:type="spellEnd"/>
      <w:r w:rsidRPr="002D6060">
        <w:rPr>
          <w:b/>
          <w:bCs/>
          <w:i/>
          <w:color w:val="000000"/>
          <w:sz w:val="23"/>
          <w:szCs w:val="23"/>
        </w:rPr>
        <w:t xml:space="preserve"> </w:t>
      </w:r>
      <w:proofErr w:type="spellStart"/>
      <w:r w:rsidRPr="002D6060">
        <w:rPr>
          <w:b/>
          <w:bCs/>
          <w:i/>
          <w:color w:val="000000"/>
          <w:sz w:val="23"/>
          <w:szCs w:val="23"/>
        </w:rPr>
        <w:t>by</w:t>
      </w:r>
      <w:proofErr w:type="spellEnd"/>
      <w:r w:rsidRPr="002D6060">
        <w:rPr>
          <w:b/>
          <w:bCs/>
          <w:i/>
          <w:color w:val="000000"/>
          <w:sz w:val="23"/>
          <w:szCs w:val="23"/>
        </w:rPr>
        <w:t xml:space="preserve"> </w:t>
      </w:r>
      <w:proofErr w:type="spellStart"/>
      <w:r w:rsidRPr="002D6060">
        <w:rPr>
          <w:b/>
          <w:bCs/>
          <w:i/>
          <w:color w:val="000000"/>
          <w:sz w:val="23"/>
          <w:szCs w:val="23"/>
        </w:rPr>
        <w:t>date</w:t>
      </w:r>
      <w:proofErr w:type="spellEnd"/>
      <w:r w:rsidRPr="002D6060">
        <w:rPr>
          <w:color w:val="000000"/>
          <w:sz w:val="23"/>
          <w:szCs w:val="23"/>
        </w:rPr>
        <w:t xml:space="preserve">“ (data, iki kada </w:t>
      </w:r>
      <w:r>
        <w:rPr>
          <w:color w:val="000000"/>
          <w:sz w:val="23"/>
          <w:szCs w:val="23"/>
        </w:rPr>
        <w:t>turi būti pateiktas pakeitimo sprendimas</w:t>
      </w:r>
      <w:r w:rsidRPr="002D6060">
        <w:rPr>
          <w:color w:val="000000"/>
          <w:sz w:val="23"/>
          <w:szCs w:val="23"/>
        </w:rPr>
        <w:t xml:space="preserve">). </w:t>
      </w:r>
      <w:bookmarkEnd w:id="5"/>
      <w:r w:rsidRPr="002D6060">
        <w:rPr>
          <w:sz w:val="23"/>
          <w:szCs w:val="23"/>
        </w:rPr>
        <w:t xml:space="preserve">Teikėjas iki </w:t>
      </w:r>
      <w:r w:rsidRPr="002D6060">
        <w:rPr>
          <w:color w:val="000000"/>
          <w:sz w:val="23"/>
          <w:szCs w:val="23"/>
        </w:rPr>
        <w:t>„</w:t>
      </w:r>
      <w:proofErr w:type="spellStart"/>
      <w:r w:rsidRPr="002D6060">
        <w:rPr>
          <w:b/>
          <w:bCs/>
          <w:i/>
          <w:color w:val="000000"/>
          <w:sz w:val="23"/>
          <w:szCs w:val="23"/>
        </w:rPr>
        <w:t>Implemention</w:t>
      </w:r>
      <w:proofErr w:type="spellEnd"/>
      <w:r w:rsidRPr="002D6060">
        <w:rPr>
          <w:b/>
          <w:bCs/>
          <w:i/>
          <w:color w:val="000000"/>
          <w:sz w:val="23"/>
          <w:szCs w:val="23"/>
        </w:rPr>
        <w:t xml:space="preserve"> </w:t>
      </w:r>
      <w:proofErr w:type="spellStart"/>
      <w:r w:rsidRPr="002D6060">
        <w:rPr>
          <w:b/>
          <w:bCs/>
          <w:i/>
          <w:color w:val="000000"/>
          <w:sz w:val="23"/>
          <w:szCs w:val="23"/>
        </w:rPr>
        <w:t>need</w:t>
      </w:r>
      <w:proofErr w:type="spellEnd"/>
      <w:r w:rsidRPr="002D6060">
        <w:rPr>
          <w:b/>
          <w:bCs/>
          <w:i/>
          <w:color w:val="000000"/>
          <w:sz w:val="23"/>
          <w:szCs w:val="23"/>
        </w:rPr>
        <w:t xml:space="preserve"> </w:t>
      </w:r>
      <w:proofErr w:type="spellStart"/>
      <w:r w:rsidRPr="002D6060">
        <w:rPr>
          <w:b/>
          <w:bCs/>
          <w:i/>
          <w:color w:val="000000"/>
          <w:sz w:val="23"/>
          <w:szCs w:val="23"/>
        </w:rPr>
        <w:t>by</w:t>
      </w:r>
      <w:proofErr w:type="spellEnd"/>
      <w:r w:rsidRPr="002D6060">
        <w:rPr>
          <w:b/>
          <w:bCs/>
          <w:i/>
          <w:color w:val="000000"/>
          <w:sz w:val="23"/>
          <w:szCs w:val="23"/>
        </w:rPr>
        <w:t xml:space="preserve"> </w:t>
      </w:r>
      <w:proofErr w:type="spellStart"/>
      <w:r w:rsidRPr="002D6060">
        <w:rPr>
          <w:b/>
          <w:bCs/>
          <w:i/>
          <w:color w:val="000000"/>
          <w:sz w:val="23"/>
          <w:szCs w:val="23"/>
        </w:rPr>
        <w:t>date</w:t>
      </w:r>
      <w:proofErr w:type="spellEnd"/>
      <w:r w:rsidRPr="002D6060">
        <w:rPr>
          <w:color w:val="000000"/>
          <w:sz w:val="23"/>
          <w:szCs w:val="23"/>
        </w:rPr>
        <w:t xml:space="preserve">“ suderinto laiko </w:t>
      </w:r>
      <w:r w:rsidRPr="002D6060">
        <w:rPr>
          <w:sz w:val="23"/>
          <w:szCs w:val="23"/>
        </w:rPr>
        <w:t xml:space="preserve">IT pagalbos portale pateikia pakeitimo sprendimą (ir susijusius dokumentus). </w:t>
      </w:r>
      <w:r>
        <w:rPr>
          <w:sz w:val="23"/>
          <w:szCs w:val="23"/>
        </w:rPr>
        <w:t>Paslaugų t</w:t>
      </w:r>
      <w:r w:rsidRPr="002D6060">
        <w:rPr>
          <w:sz w:val="23"/>
          <w:szCs w:val="23"/>
        </w:rPr>
        <w:t xml:space="preserve">eikėjas turi užtikrinti, kad įgyvendinto sprendimo greitaveika nedarytų neigiamos įtakos vartotojų darbo našumui. Perduodami rezultatai turi būti </w:t>
      </w:r>
      <w:r>
        <w:rPr>
          <w:sz w:val="23"/>
          <w:szCs w:val="23"/>
        </w:rPr>
        <w:t>Paslaugų t</w:t>
      </w:r>
      <w:r w:rsidRPr="002D6060">
        <w:rPr>
          <w:sz w:val="23"/>
          <w:szCs w:val="23"/>
        </w:rPr>
        <w:t>eikėjo patikrinti ir neturėti trūkumų (</w:t>
      </w:r>
      <w:r>
        <w:rPr>
          <w:sz w:val="23"/>
          <w:szCs w:val="23"/>
        </w:rPr>
        <w:t>Paslaugų t</w:t>
      </w:r>
      <w:r w:rsidRPr="002D6060">
        <w:rPr>
          <w:sz w:val="23"/>
          <w:szCs w:val="23"/>
        </w:rPr>
        <w:t xml:space="preserve">eikėjo testavimo apimtis turi būti suderinta su NMA). </w:t>
      </w:r>
      <w:r>
        <w:rPr>
          <w:sz w:val="23"/>
          <w:szCs w:val="23"/>
        </w:rPr>
        <w:t>Paslaugų t</w:t>
      </w:r>
      <w:r w:rsidRPr="002D6060">
        <w:rPr>
          <w:sz w:val="23"/>
          <w:szCs w:val="23"/>
        </w:rPr>
        <w:t xml:space="preserve">eikėjas privalo NMA pateikti detalius savo atlikto testavimo rezultatus. </w:t>
      </w:r>
    </w:p>
    <w:p w14:paraId="00B91052" w14:textId="77777777" w:rsidR="009C0F66" w:rsidRPr="002D6060" w:rsidRDefault="009C0F66" w:rsidP="00771FC2">
      <w:pPr>
        <w:numPr>
          <w:ilvl w:val="1"/>
          <w:numId w:val="1"/>
        </w:numPr>
        <w:tabs>
          <w:tab w:val="clear" w:pos="7379"/>
        </w:tabs>
        <w:ind w:left="0" w:firstLine="567"/>
      </w:pPr>
      <w:r w:rsidRPr="002D6060">
        <w:t>rezultatų patikrinimas – NMA atsakingi darbuotojai patikrina Paslaugų teikėjo pateiktus rezultatus. Jei buvo nustatyta rezultatų trūkumų, Paslaugų teikėjas įsipareigoja pašalinti juos nemokamai ir pateikti visus rezultatus iš naujo patikrinti. Jei rezultatų trūkumų nebuvo nustatyta, apie tai informuojamas Paslaugų teikėjas;</w:t>
      </w:r>
    </w:p>
    <w:p w14:paraId="56B3CE3D" w14:textId="77777777" w:rsidR="009C0F66" w:rsidRPr="002D6060" w:rsidRDefault="009C0F66" w:rsidP="00771FC2">
      <w:pPr>
        <w:numPr>
          <w:ilvl w:val="1"/>
          <w:numId w:val="1"/>
        </w:numPr>
        <w:tabs>
          <w:tab w:val="clear" w:pos="7379"/>
        </w:tabs>
        <w:ind w:left="0" w:firstLine="567"/>
      </w:pPr>
      <w:r w:rsidRPr="002D6060">
        <w:lastRenderedPageBreak/>
        <w:t xml:space="preserve">pakeitimų įgyvendinimo ir defektų šalinimo paslauga laikoma pilnai suteikta, kai NMA IT pagalbos portale informuoja, kad Paslaugų teikėjo pateikti rezultatai atitinka pakeitimo užsakyme suformuluotą reikalingą ir įvertinimo dokumente patvirtintą paslaugą ir pakeitimas arba defekto ištaisymas buvo įdiegtas į darbinę aplinką. Taip pat paslauga laikoma pilnai suteikta, jeigu pakeitimas arba defekto ištaisymas yra įdiegtas į </w:t>
      </w:r>
      <w:r>
        <w:t>darbinę</w:t>
      </w:r>
      <w:r w:rsidRPr="002D6060">
        <w:t xml:space="preserve"> aplinką ir per 3 mėnesius NMA neinformavo Paslaugų teikėjo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Šiuo atveju sprendimą dėl galimo pakeitimo apmokėjimo, suėjus 3 mėnesių terminui, priima atsakingi už Sutarties vykdymą asmenys). Po informavimo apie nustatytus trūkumus 3 mėnesių laikotarpis, skirtas nustatyti, ar paslauga pilnai suteikta, skaičiuojamas iš naujo;</w:t>
      </w:r>
    </w:p>
    <w:p w14:paraId="4AFBD9B2" w14:textId="77777777" w:rsidR="009C0F66" w:rsidRPr="002D6060" w:rsidRDefault="009C0F66" w:rsidP="00771FC2">
      <w:pPr>
        <w:numPr>
          <w:ilvl w:val="1"/>
          <w:numId w:val="1"/>
        </w:numPr>
        <w:tabs>
          <w:tab w:val="clear" w:pos="7379"/>
        </w:tabs>
        <w:ind w:left="0" w:firstLine="567"/>
      </w:pPr>
      <w:r w:rsidRPr="002D6060">
        <w:t>pakeitimo atsisakymas – NMA atsisakius pakeitimo, kurio įvertinimas jau yra patvirtintas, NMA įsipareigoja apmokėti už Paslaugų teikėjo atliktą įvertinimą (25 proc. nuo visos įvertintos pakeitimo apimties), taip pat už Paslaugų teikėjo atliktus programavimo darbus (jei bus įrodyta, kad tokių darbų buvo atlikta);</w:t>
      </w:r>
    </w:p>
    <w:p w14:paraId="3ADB574F" w14:textId="77777777" w:rsidR="009C0F66" w:rsidRPr="002D6060" w:rsidRDefault="009C0F66" w:rsidP="00771FC2">
      <w:pPr>
        <w:numPr>
          <w:ilvl w:val="1"/>
          <w:numId w:val="1"/>
        </w:numPr>
        <w:tabs>
          <w:tab w:val="clear" w:pos="7379"/>
        </w:tabs>
        <w:ind w:left="0" w:firstLine="567"/>
      </w:pPr>
      <w:r w:rsidRPr="002D6060">
        <w:t>pakeitimo reikalavimų pakeitimas / papildymas – NMA pakeitus pakeitimo, kurio įvertinimas jau yra patvirtintas, reikalavimus, yra užsakomas naujas pakeitimas. Tai gali būti atlikta dviem būdais:</w:t>
      </w:r>
    </w:p>
    <w:p w14:paraId="0BB13CC8" w14:textId="77777777" w:rsidR="009C0F66" w:rsidRPr="002D6060" w:rsidRDefault="009C0F66" w:rsidP="00771FC2">
      <w:pPr>
        <w:numPr>
          <w:ilvl w:val="2"/>
          <w:numId w:val="1"/>
        </w:numPr>
        <w:tabs>
          <w:tab w:val="clear" w:pos="1440"/>
        </w:tabs>
        <w:ind w:left="0" w:firstLine="567"/>
      </w:pPr>
      <w:r w:rsidRPr="002D6060">
        <w:t>jei ankstesni reikalavimai nėra keičiami, naujo pakeitimo užsakyme yra pateikiami tik nauji reikalavimai. Toliau pakeitimas administruojamas įprasta tvarka kaip atskiras pakeitimas;</w:t>
      </w:r>
    </w:p>
    <w:p w14:paraId="29757849" w14:textId="77777777" w:rsidR="009C0F66" w:rsidRPr="000E1820" w:rsidRDefault="009C0F66" w:rsidP="00771FC2">
      <w:pPr>
        <w:numPr>
          <w:ilvl w:val="2"/>
          <w:numId w:val="1"/>
        </w:numPr>
        <w:tabs>
          <w:tab w:val="clear" w:pos="1440"/>
        </w:tabs>
        <w:ind w:left="0" w:firstLine="567"/>
      </w:pPr>
      <w:r w:rsidRPr="002D6060">
        <w:t xml:space="preserve">jei yra keičiami ankstesni reikalavimai, seno pakeitimo yra atsisakoma, o naujajame pakeitimo užsakyme yra išsamiai pateikiami visi reikalavimai. Paslaugų teikėjas turi sumažinti naujo pakeitimo įvertinimą ta paslaugų apimtimi, kurią galima panaudoti iš atsisakyto pakeitimo. Toliau </w:t>
      </w:r>
      <w:r w:rsidRPr="000E1820">
        <w:t>pakeitimas administruojamas įprasta tvarka.</w:t>
      </w:r>
    </w:p>
    <w:p w14:paraId="1A9441C4" w14:textId="60A66524" w:rsidR="009C0F66" w:rsidRPr="000E1820" w:rsidRDefault="009C0F66" w:rsidP="00771FC2">
      <w:pPr>
        <w:numPr>
          <w:ilvl w:val="0"/>
          <w:numId w:val="1"/>
        </w:numPr>
        <w:tabs>
          <w:tab w:val="clear" w:pos="1920"/>
        </w:tabs>
        <w:ind w:left="0" w:firstLine="567"/>
      </w:pPr>
      <w:r w:rsidRPr="000E1820">
        <w:rPr>
          <w:b/>
          <w:bCs/>
        </w:rPr>
        <w:t>Konsultavimas (užklausų sprendimas)</w:t>
      </w:r>
      <w:r w:rsidRPr="000E1820">
        <w:t xml:space="preserve"> su </w:t>
      </w:r>
      <w:proofErr w:type="spellStart"/>
      <w:r w:rsidR="003E0182">
        <w:t>Fortinet</w:t>
      </w:r>
      <w:proofErr w:type="spellEnd"/>
      <w:r w:rsidR="003E0182">
        <w:t xml:space="preserve"> </w:t>
      </w:r>
      <w:proofErr w:type="spellStart"/>
      <w:r w:rsidR="003E0182">
        <w:t>FortiSIEM</w:t>
      </w:r>
      <w:proofErr w:type="spellEnd"/>
      <w:r w:rsidRPr="000E1820">
        <w:t xml:space="preserve"> susijusiais klausimais, rekomendacijos ir konsultacijos </w:t>
      </w:r>
      <w:proofErr w:type="spellStart"/>
      <w:r w:rsidR="003E0182">
        <w:t>Fortinet</w:t>
      </w:r>
      <w:proofErr w:type="spellEnd"/>
      <w:r w:rsidR="003E0182">
        <w:t xml:space="preserve"> </w:t>
      </w:r>
      <w:proofErr w:type="spellStart"/>
      <w:r w:rsidR="003E0182">
        <w:t>FortiSIEM</w:t>
      </w:r>
      <w:proofErr w:type="spellEnd"/>
      <w:r w:rsidRPr="000E1820">
        <w:t xml:space="preserve"> sutrikimų prevencijos, optimizavimo, funkcionalumo atkūrimo ar išplėtimo klausimais turi būti atliekamos tokia tvarka:</w:t>
      </w:r>
    </w:p>
    <w:p w14:paraId="44ABCD5A" w14:textId="77777777" w:rsidR="009C0F66" w:rsidRPr="000E1820" w:rsidRDefault="009C0F66" w:rsidP="00771FC2">
      <w:pPr>
        <w:numPr>
          <w:ilvl w:val="1"/>
          <w:numId w:val="1"/>
        </w:numPr>
        <w:tabs>
          <w:tab w:val="clear" w:pos="7379"/>
        </w:tabs>
        <w:ind w:left="0" w:firstLine="567"/>
      </w:pPr>
      <w:r w:rsidRPr="000E1820">
        <w:t>užklausos užsakymas – NMA Pagalbos portale Paslaugų teikėjui registruoja užklausą prašydama suteikti užklausų paslaugą;</w:t>
      </w:r>
    </w:p>
    <w:p w14:paraId="0DF1C4AC" w14:textId="77777777" w:rsidR="009C0F66" w:rsidRPr="000E1820" w:rsidRDefault="009C0F66" w:rsidP="00771FC2">
      <w:pPr>
        <w:numPr>
          <w:ilvl w:val="1"/>
          <w:numId w:val="1"/>
        </w:numPr>
        <w:tabs>
          <w:tab w:val="clear" w:pos="7379"/>
        </w:tabs>
        <w:ind w:left="0" w:firstLine="567"/>
      </w:pPr>
      <w:r w:rsidRPr="000E1820">
        <w:t>sprendimas – Paslaugų teikėjo paskirtas kontaktinis asmuo išsiaiškina poreikį ir suteikia reikiamą užklausos paslaugą;</w:t>
      </w:r>
    </w:p>
    <w:p w14:paraId="0F12BF32" w14:textId="77777777" w:rsidR="009C0F66" w:rsidRPr="000E1820" w:rsidRDefault="009C0F66" w:rsidP="00771FC2">
      <w:pPr>
        <w:numPr>
          <w:ilvl w:val="1"/>
          <w:numId w:val="1"/>
        </w:numPr>
        <w:tabs>
          <w:tab w:val="clear" w:pos="7379"/>
        </w:tabs>
        <w:ind w:left="0" w:firstLine="567"/>
      </w:pPr>
      <w:r w:rsidRPr="000E1820">
        <w:t>užklausos sprendimo terminas, jei su NMA nesutarta kitaip, negali viršyti 6 punkte pateiktų terminų;</w:t>
      </w:r>
    </w:p>
    <w:p w14:paraId="5D3DAA4B" w14:textId="77777777" w:rsidR="009C0F66" w:rsidRPr="000E1820" w:rsidRDefault="009C0F66" w:rsidP="00771FC2">
      <w:pPr>
        <w:numPr>
          <w:ilvl w:val="1"/>
          <w:numId w:val="1"/>
        </w:numPr>
        <w:tabs>
          <w:tab w:val="clear" w:pos="7379"/>
        </w:tabs>
        <w:ind w:left="0" w:firstLine="567"/>
      </w:pPr>
      <w:r w:rsidRPr="000E1820">
        <w:t xml:space="preserve">užklausos suteikimo paslauga vertinama pagal vieno Paslaugų teikėjo eksperto faktiškai sugaištą laiką (nustatant užklausai išspręsti sugaištą laiką neatsižvelgiama į vienu metu užklausą sprendusių Paslaugų teikėjo ekspertų skaičių). Jei nesutarta kitaip, užklausos sprendimo paslaugos įvertinimą Paslaugų teikėjas pateikia iškart po paslaugos suteikimo. </w:t>
      </w:r>
    </w:p>
    <w:p w14:paraId="21BAE3E1" w14:textId="77777777" w:rsidR="009C0F66" w:rsidRPr="000E1820" w:rsidRDefault="009C0F66" w:rsidP="00771FC2">
      <w:pPr>
        <w:numPr>
          <w:ilvl w:val="1"/>
          <w:numId w:val="1"/>
        </w:numPr>
        <w:tabs>
          <w:tab w:val="clear" w:pos="7379"/>
        </w:tabs>
        <w:ind w:left="0" w:firstLine="567"/>
      </w:pPr>
      <w:r w:rsidRPr="000E1820">
        <w:t>jei Paslaugų teikėjas nustato, kad užklausai išspręsti reikės sugaišti daugiau nei 1 d. d., jis privalo gauti NMA patvirtinimą dėl užklausos sprendimo paslaugos pratęsimo. Jei  nesutarta kitaip, Paslaugų teikėjas privalo gauti kiekvienos kitos užklausos sprendime sugaištos darbo dienos patvirtinimus  (be šių papildomų patvirtinimų užklausos kaina negali viršyti 1 d. d. įkainio);</w:t>
      </w:r>
    </w:p>
    <w:p w14:paraId="19C4E00B" w14:textId="77777777" w:rsidR="009C0F66" w:rsidRPr="000E1820" w:rsidRDefault="009C0F66" w:rsidP="00771FC2">
      <w:pPr>
        <w:numPr>
          <w:ilvl w:val="1"/>
          <w:numId w:val="1"/>
        </w:numPr>
        <w:tabs>
          <w:tab w:val="clear" w:pos="7379"/>
        </w:tabs>
        <w:ind w:left="0" w:firstLine="567"/>
      </w:pPr>
      <w:r w:rsidRPr="000E1820">
        <w:t>jei užklausos sprendimas yra nesuteikiamas vadovaujantis 6 punkte pateiktais terminais ar pagal atskirą suderintą laiką su NMA arba NMA užsakyta užklausa tapo neaktuali dėl užklausos sprendimo suteikimo termino nesilaikymo, NMA gali užklausos užsakymo atsisakyti ir nemokėti už sugaištą laiką, taip pat NMA gali taikyti baudas už paslaugos nesuteikimą pagal 24 punktą;</w:t>
      </w:r>
    </w:p>
    <w:p w14:paraId="30D3CD67" w14:textId="77777777" w:rsidR="009C0F66" w:rsidRPr="000E1820" w:rsidRDefault="009C0F66" w:rsidP="00771FC2">
      <w:pPr>
        <w:numPr>
          <w:ilvl w:val="1"/>
          <w:numId w:val="1"/>
        </w:numPr>
        <w:tabs>
          <w:tab w:val="clear" w:pos="7379"/>
        </w:tabs>
        <w:ind w:left="0" w:firstLine="567"/>
      </w:pPr>
      <w:r w:rsidRPr="000E1820">
        <w:t xml:space="preserve">užklausos sprendimo paslauga laikoma visiškai suteikta, jei buvo pilnai atsakyta į NMA paskirto atsakingo asmens išreikštą poreikį, pateiktos atitinkamos detalios išvados ir tinkami rezultatai, taip pat, jei įmanoma, pasiūlyti galimi problemų sprendimo variantai tinkami NMA; </w:t>
      </w:r>
    </w:p>
    <w:p w14:paraId="487BC63A" w14:textId="77777777" w:rsidR="009C0F66" w:rsidRPr="000E1820" w:rsidRDefault="009C0F66" w:rsidP="00771FC2">
      <w:pPr>
        <w:numPr>
          <w:ilvl w:val="1"/>
          <w:numId w:val="1"/>
        </w:numPr>
        <w:tabs>
          <w:tab w:val="clear" w:pos="7379"/>
        </w:tabs>
        <w:ind w:left="0" w:firstLine="567"/>
      </w:pPr>
      <w:r w:rsidRPr="000E1820">
        <w:t>užklausai išspręsti sugaištas laikas ir kaina privalo būti suderinti su NMA ir nurodyti Pagalbos portale;</w:t>
      </w:r>
    </w:p>
    <w:p w14:paraId="4F7088CB" w14:textId="77777777" w:rsidR="009C0F66" w:rsidRPr="000E1820" w:rsidRDefault="009C0F66" w:rsidP="00771FC2">
      <w:pPr>
        <w:numPr>
          <w:ilvl w:val="1"/>
          <w:numId w:val="1"/>
        </w:numPr>
        <w:tabs>
          <w:tab w:val="clear" w:pos="7379"/>
        </w:tabs>
        <w:ind w:left="0" w:firstLine="567"/>
      </w:pPr>
      <w:r w:rsidRPr="000E1820">
        <w:lastRenderedPageBreak/>
        <w:t>jei užklausos sprendimo metu nustatomas defektas (arba užklausa užsakyta dėl sistemos veikimo esant defektui), užklausai spręsti sugaištas laikas neapmokamas;</w:t>
      </w:r>
    </w:p>
    <w:p w14:paraId="2B3CB8E7" w14:textId="77777777" w:rsidR="009C0F66" w:rsidRPr="000E1820" w:rsidRDefault="009C0F66" w:rsidP="00771FC2">
      <w:pPr>
        <w:numPr>
          <w:ilvl w:val="1"/>
          <w:numId w:val="1"/>
        </w:numPr>
        <w:tabs>
          <w:tab w:val="clear" w:pos="7379"/>
        </w:tabs>
        <w:ind w:left="0" w:firstLine="567"/>
      </w:pPr>
      <w:r w:rsidRPr="000E1820">
        <w:t>jei užklausos sprendimo metu pateiktas rezultatas nėra tinkamas NMA (Paslaugų teikėjas pateikė nedetalų, neaiškų, nekonkretų, netinkamą sprendimą arba pateiktas užklausos sprendimas formaliai atkartoja užklausos užsakymo turinį ar visiškai neatitinka užklausos užsakymo turinio), toks užklausos sprendimas laikomas netinkamu, sugaištas Paslaugų teikėjo laikas yra neapmokamas ir užklausos užsakymas grąžinamas Paslaugų teikėjui.</w:t>
      </w:r>
    </w:p>
    <w:p w14:paraId="538E31A3" w14:textId="77777777" w:rsidR="009C0F66" w:rsidRPr="000E1820" w:rsidRDefault="009C0F66" w:rsidP="00771FC2">
      <w:pPr>
        <w:numPr>
          <w:ilvl w:val="0"/>
          <w:numId w:val="1"/>
        </w:numPr>
        <w:tabs>
          <w:tab w:val="clear" w:pos="1920"/>
        </w:tabs>
        <w:ind w:left="0" w:firstLine="567"/>
      </w:pPr>
      <w:r w:rsidRPr="000E1820">
        <w:t>Paslaugų teikimo terminai, jei su NMA nesutarta kitaip, negali viršyti šių terminų:</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820"/>
        <w:gridCol w:w="3212"/>
        <w:gridCol w:w="3024"/>
      </w:tblGrid>
      <w:tr w:rsidR="009C0F66" w:rsidRPr="000E1820" w14:paraId="01F53339" w14:textId="77777777" w:rsidTr="000966BC">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11130B24" w14:textId="77777777" w:rsidR="009C0F66" w:rsidRPr="000E1820" w:rsidRDefault="009C0F66" w:rsidP="000966BC">
            <w:pPr>
              <w:jc w:val="left"/>
              <w:rPr>
                <w:b/>
              </w:rPr>
            </w:pPr>
            <w:r w:rsidRPr="000E1820">
              <w:rPr>
                <w:b/>
              </w:rPr>
              <w:t>Nr.</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229F1E26" w14:textId="77777777" w:rsidR="009C0F66" w:rsidRPr="000E1820" w:rsidRDefault="009C0F66" w:rsidP="000966BC">
            <w:pPr>
              <w:ind w:firstLine="720"/>
              <w:jc w:val="left"/>
              <w:rPr>
                <w:b/>
              </w:rPr>
            </w:pPr>
            <w:r w:rsidRPr="000E1820">
              <w:rPr>
                <w:b/>
              </w:rPr>
              <w:t>Paslauga</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4D5468E0" w14:textId="77777777" w:rsidR="009C0F66" w:rsidRPr="000E1820" w:rsidRDefault="009C0F66" w:rsidP="000966BC">
            <w:pPr>
              <w:ind w:firstLine="720"/>
              <w:jc w:val="left"/>
              <w:rPr>
                <w:b/>
              </w:rPr>
            </w:pPr>
            <w:r w:rsidRPr="000E1820">
              <w:rPr>
                <w:b/>
              </w:rPr>
              <w:t>Įvertinimo trukmė</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3A4847BF" w14:textId="77777777" w:rsidR="009C0F66" w:rsidRPr="000E1820" w:rsidRDefault="009C0F66" w:rsidP="000966BC">
            <w:pPr>
              <w:ind w:firstLine="720"/>
              <w:jc w:val="left"/>
              <w:rPr>
                <w:b/>
              </w:rPr>
            </w:pPr>
            <w:r w:rsidRPr="000E1820">
              <w:rPr>
                <w:b/>
              </w:rPr>
              <w:t>Sprendimo trukmė</w:t>
            </w:r>
          </w:p>
        </w:tc>
      </w:tr>
      <w:tr w:rsidR="009C0F66" w:rsidRPr="002D6060" w14:paraId="1F759D19" w14:textId="77777777" w:rsidTr="000966BC">
        <w:trPr>
          <w:trHeight w:val="718"/>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6BAB41A" w14:textId="77777777" w:rsidR="009C0F66" w:rsidRPr="000E1820" w:rsidRDefault="009C0F66" w:rsidP="000966BC">
            <w:pPr>
              <w:contextualSpacing/>
            </w:pPr>
            <w:r w:rsidRPr="000E1820">
              <w:t>1.</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339C0B3C" w14:textId="77777777" w:rsidR="009C0F66" w:rsidRPr="000E1820" w:rsidRDefault="009C0F66" w:rsidP="000966BC">
            <w:r w:rsidRPr="000E1820">
              <w:t>Pakeitimų įgyvendinimas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0467D9B6" w14:textId="77777777" w:rsidR="009C0F66" w:rsidRPr="000E1820" w:rsidRDefault="009C0F66" w:rsidP="000966BC">
            <w:pPr>
              <w:ind w:firstLine="720"/>
            </w:pPr>
            <w:r w:rsidRPr="000E1820">
              <w:t xml:space="preserve">        5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F17D796" w14:textId="77777777" w:rsidR="009C0F66" w:rsidRPr="000E1820" w:rsidRDefault="009C0F66" w:rsidP="000966BC">
            <w:pPr>
              <w:jc w:val="center"/>
            </w:pPr>
            <w:r w:rsidRPr="000E1820">
              <w:t>iki 10 d. d. – paprasti;</w:t>
            </w:r>
          </w:p>
          <w:p w14:paraId="70B65F5E" w14:textId="77777777" w:rsidR="009C0F66" w:rsidRPr="002D6060" w:rsidRDefault="009C0F66" w:rsidP="000966BC">
            <w:pPr>
              <w:jc w:val="center"/>
            </w:pPr>
            <w:r w:rsidRPr="000E1820">
              <w:t>iki 20 d. d. – sudėtingi;</w:t>
            </w:r>
          </w:p>
        </w:tc>
      </w:tr>
      <w:tr w:rsidR="009C0F66" w:rsidRPr="002D6060" w14:paraId="199EEE05" w14:textId="77777777" w:rsidTr="000966BC">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E189CF9" w14:textId="77777777" w:rsidR="009C0F66" w:rsidRPr="002D6060" w:rsidRDefault="009C0F66" w:rsidP="000966BC">
            <w:pPr>
              <w:contextualSpacing/>
            </w:pPr>
            <w:r w:rsidRPr="002D6060">
              <w:t>2.</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114AF4F2" w14:textId="77777777" w:rsidR="009C0F66" w:rsidRPr="002D6060" w:rsidDel="000C79C0" w:rsidRDefault="009C0F66" w:rsidP="000966BC">
            <w:r w:rsidRPr="002D6060">
              <w:t>Trūkumų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03A39E64" w14:textId="77777777" w:rsidR="009C0F66" w:rsidRPr="002D6060" w:rsidRDefault="009C0F66" w:rsidP="000966BC">
            <w:pPr>
              <w:ind w:firstLine="720"/>
            </w:pPr>
            <w:r w:rsidRPr="002D6060">
              <w:t xml:space="preserve">            -</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370017D4" w14:textId="77777777" w:rsidR="009C0F66" w:rsidRPr="002D6060" w:rsidRDefault="009C0F66" w:rsidP="000966BC">
            <w:pPr>
              <w:jc w:val="center"/>
            </w:pPr>
            <w:r w:rsidRPr="002D6060">
              <w:t>iki 2 d. d.</w:t>
            </w:r>
          </w:p>
        </w:tc>
      </w:tr>
      <w:tr w:rsidR="009C0F66" w:rsidRPr="002D6060" w14:paraId="09AF7965" w14:textId="77777777" w:rsidTr="000966BC">
        <w:trPr>
          <w:trHeight w:val="70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11DECAB" w14:textId="77777777" w:rsidR="009C0F66" w:rsidRPr="002D6060" w:rsidRDefault="009C0F66" w:rsidP="000966BC">
            <w:pPr>
              <w:contextualSpacing/>
            </w:pPr>
            <w:r w:rsidRPr="002D6060">
              <w:t>3.</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740D0E18" w14:textId="77777777" w:rsidR="009C0F66" w:rsidRPr="002D6060" w:rsidRDefault="009C0F66" w:rsidP="000966BC">
            <w:r w:rsidRPr="002D6060">
              <w:t>Defektų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33E2B4D8" w14:textId="77777777" w:rsidR="009C0F66" w:rsidRPr="002D6060" w:rsidRDefault="009C0F66" w:rsidP="000966BC">
            <w:pPr>
              <w:ind w:firstLine="720"/>
            </w:pPr>
            <w:r w:rsidRPr="002D6060">
              <w:t xml:space="preserve">        1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B4086BB" w14:textId="77777777" w:rsidR="009C0F66" w:rsidRPr="002D6060" w:rsidRDefault="009C0F66" w:rsidP="009C0F66">
            <w:pPr>
              <w:pStyle w:val="ListParagraph"/>
              <w:numPr>
                <w:ilvl w:val="0"/>
                <w:numId w:val="2"/>
              </w:numPr>
              <w:tabs>
                <w:tab w:val="left" w:pos="226"/>
              </w:tabs>
              <w:ind w:left="0" w:firstLine="0"/>
              <w:jc w:val="center"/>
            </w:pPr>
            <w:r w:rsidRPr="002D6060">
              <w:t>d. d. – paprasti;</w:t>
            </w:r>
          </w:p>
          <w:p w14:paraId="157D799F" w14:textId="77777777" w:rsidR="009C0F66" w:rsidRPr="002D6060" w:rsidRDefault="009C0F66" w:rsidP="000966BC">
            <w:pPr>
              <w:tabs>
                <w:tab w:val="left" w:pos="226"/>
              </w:tabs>
              <w:jc w:val="center"/>
            </w:pPr>
            <w:r w:rsidRPr="002D6060">
              <w:t>4 d. d. – sudėtingi;</w:t>
            </w:r>
          </w:p>
        </w:tc>
      </w:tr>
      <w:tr w:rsidR="009C0F66" w:rsidRPr="002D6060" w14:paraId="6356D708" w14:textId="77777777" w:rsidTr="000966BC">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BD0C6BF" w14:textId="77777777" w:rsidR="009C0F66" w:rsidRPr="002D6060" w:rsidRDefault="009C0F66" w:rsidP="000966BC">
            <w:pPr>
              <w:contextualSpacing/>
            </w:pPr>
            <w:r w:rsidRPr="002D6060">
              <w:t>5.</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036569ED" w14:textId="77777777" w:rsidR="009C0F66" w:rsidRPr="002D6060" w:rsidRDefault="009C0F66" w:rsidP="000966BC">
            <w:r w:rsidRPr="002D6060">
              <w:t>Užklausų sprendimas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649D6916" w14:textId="77777777" w:rsidR="009C0F66" w:rsidRPr="002D6060" w:rsidRDefault="009C0F66" w:rsidP="000966BC">
            <w:pPr>
              <w:ind w:firstLine="720"/>
              <w:rPr>
                <w:vertAlign w:val="superscript"/>
              </w:rPr>
            </w:pPr>
            <w:r w:rsidRPr="002D6060">
              <w:t xml:space="preserve">        1 d. d.</w:t>
            </w:r>
            <w:r w:rsidRPr="002D6060">
              <w:rPr>
                <w:vertAlign w:val="superscript"/>
              </w:rPr>
              <w:t>*</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05D54F7B" w14:textId="77777777" w:rsidR="009C0F66" w:rsidRPr="002D6060" w:rsidRDefault="009C0F66" w:rsidP="000966BC">
            <w:pPr>
              <w:ind w:firstLine="720"/>
            </w:pPr>
            <w:r w:rsidRPr="002D6060">
              <w:t xml:space="preserve">    iki 2 </w:t>
            </w:r>
            <w:proofErr w:type="spellStart"/>
            <w:r w:rsidRPr="002D6060">
              <w:t>d.d</w:t>
            </w:r>
            <w:proofErr w:type="spellEnd"/>
            <w:r w:rsidRPr="002D6060">
              <w:t>.</w:t>
            </w:r>
          </w:p>
        </w:tc>
      </w:tr>
    </w:tbl>
    <w:p w14:paraId="15843456" w14:textId="77777777" w:rsidR="009C0F66" w:rsidRPr="002D6060" w:rsidRDefault="009C0F66" w:rsidP="00771FC2">
      <w:pPr>
        <w:ind w:firstLine="567"/>
      </w:pPr>
      <w:r w:rsidRPr="002D6060">
        <w:t>Pastaba</w:t>
      </w:r>
      <w:r w:rsidRPr="002D6060">
        <w:rPr>
          <w:vertAlign w:val="superscript"/>
        </w:rPr>
        <w:t>*</w:t>
      </w:r>
      <w:r w:rsidRPr="002D6060">
        <w:t xml:space="preserve">: </w:t>
      </w:r>
      <w:r w:rsidRPr="002D6060">
        <w:rPr>
          <w:i/>
          <w:iCs/>
        </w:rPr>
        <w:t>Užklausos sprendimo įvertinimo trukme yra laikoma trukmė nuo užklausos užsakymo iki pirminio detalaus atsakymo pateikimo IT pagalbos portale.</w:t>
      </w:r>
    </w:p>
    <w:p w14:paraId="0BD88656" w14:textId="77777777" w:rsidR="009C0F66" w:rsidRPr="002D6060" w:rsidRDefault="009C0F66" w:rsidP="00771FC2">
      <w:pPr>
        <w:ind w:firstLine="567"/>
      </w:pPr>
    </w:p>
    <w:p w14:paraId="0CA64279" w14:textId="77777777" w:rsidR="009C0F66" w:rsidRPr="002D6060" w:rsidRDefault="009C0F66" w:rsidP="00771FC2">
      <w:pPr>
        <w:numPr>
          <w:ilvl w:val="0"/>
          <w:numId w:val="1"/>
        </w:numPr>
        <w:tabs>
          <w:tab w:val="clear" w:pos="1920"/>
        </w:tabs>
        <w:ind w:left="0" w:firstLine="567"/>
      </w:pPr>
      <w:r w:rsidRPr="002D6060">
        <w:t xml:space="preserve">Paprastas pakeitimas / defektas – jei </w:t>
      </w:r>
      <w:r>
        <w:t>p</w:t>
      </w:r>
      <w:r w:rsidRPr="002D6060">
        <w:t>akeitimo įvertinime nurodytos paslaugos buvo įvertintos kaip teiktos ne daugiau kaip 10 d. d.</w:t>
      </w:r>
    </w:p>
    <w:p w14:paraId="6150DC65" w14:textId="77777777" w:rsidR="009C0F66" w:rsidRPr="002D6060" w:rsidRDefault="009C0F66" w:rsidP="00771FC2">
      <w:pPr>
        <w:numPr>
          <w:ilvl w:val="0"/>
          <w:numId w:val="1"/>
        </w:numPr>
        <w:tabs>
          <w:tab w:val="clear" w:pos="1920"/>
        </w:tabs>
        <w:ind w:left="0" w:firstLine="567"/>
      </w:pPr>
      <w:r w:rsidRPr="002D6060">
        <w:t xml:space="preserve">Sudėtingas pakeitimas / defektas – jei </w:t>
      </w:r>
      <w:r>
        <w:t>p</w:t>
      </w:r>
      <w:r w:rsidRPr="002D6060">
        <w:t>akeitimo įvertinime nurodytos paslaugos buvo įvertintos kaip teiktos daugiau kaip 10 d. d.</w:t>
      </w:r>
    </w:p>
    <w:p w14:paraId="7623F09F" w14:textId="77777777" w:rsidR="009C0F66" w:rsidRPr="002D6060" w:rsidRDefault="009C0F66" w:rsidP="00771FC2">
      <w:pPr>
        <w:numPr>
          <w:ilvl w:val="0"/>
          <w:numId w:val="1"/>
        </w:numPr>
        <w:tabs>
          <w:tab w:val="clear" w:pos="1920"/>
        </w:tabs>
        <w:ind w:left="0" w:firstLine="567"/>
      </w:pPr>
      <w:r w:rsidRPr="002D6060">
        <w:t xml:space="preserve">Jei Paslaugų teikėjas dėl objektyvių priežasčių (pavyzdžiui, NMA vėluojant pateikti reikalingą informaciją) negali laiku suteikti </w:t>
      </w:r>
      <w:r w:rsidRPr="0083350C">
        <w:t>paslaugų per 6 punkte nurodytus terminus, Paslaugų teikėjas turi informuoti NMA apie priežastis ir atitinkamai siūlyti pratęsti terminus. Jei su NMA nėra suderinami kiti terminai, Paslaugų teikėjas privalo darbus atlikti per 6 punkto</w:t>
      </w:r>
      <w:r w:rsidRPr="002D6060">
        <w:t xml:space="preserve"> lentelėje nurodytus terminus. </w:t>
      </w:r>
    </w:p>
    <w:p w14:paraId="5BD2ED1C" w14:textId="77777777" w:rsidR="009C0F66" w:rsidRPr="002D6060" w:rsidRDefault="009C0F66" w:rsidP="00771FC2">
      <w:pPr>
        <w:numPr>
          <w:ilvl w:val="0"/>
          <w:numId w:val="1"/>
        </w:numPr>
        <w:tabs>
          <w:tab w:val="clear" w:pos="1920"/>
        </w:tabs>
        <w:ind w:left="0" w:firstLine="567"/>
      </w:pPr>
      <w:r w:rsidRPr="002D6060">
        <w:t xml:space="preserve">NMA dėl objektyvių priežasčių gali, tačiau neprivalo pratęsti bet kuriuos </w:t>
      </w:r>
      <w:r>
        <w:t>P</w:t>
      </w:r>
      <w:r w:rsidRPr="002D6060">
        <w:t>aslaugų teikimo terminus.</w:t>
      </w:r>
    </w:p>
    <w:p w14:paraId="45DF33FF" w14:textId="77777777" w:rsidR="009C0F66" w:rsidRPr="002D6060" w:rsidRDefault="009C0F66" w:rsidP="00771FC2">
      <w:pPr>
        <w:numPr>
          <w:ilvl w:val="0"/>
          <w:numId w:val="1"/>
        </w:numPr>
        <w:tabs>
          <w:tab w:val="clear" w:pos="1920"/>
        </w:tabs>
        <w:ind w:left="0" w:firstLine="567"/>
      </w:pPr>
      <w:r w:rsidRPr="002D6060">
        <w:t xml:space="preserve">Sprendimas dėl </w:t>
      </w:r>
      <w:r>
        <w:t>P</w:t>
      </w:r>
      <w:r w:rsidRPr="002D6060">
        <w:t>aslaugų laiko pratęsimo, suderinus su NMA, privalo būti užfiksuojamas NMA IT pagalbos portale (IT pagalbos portale neužfiksuoti terminų pratęsimai laikomi negaliojančiais).</w:t>
      </w:r>
    </w:p>
    <w:p w14:paraId="1EDA9BE6" w14:textId="77777777" w:rsidR="009C0F66" w:rsidRPr="002D6060" w:rsidRDefault="009C0F66" w:rsidP="00771FC2">
      <w:pPr>
        <w:numPr>
          <w:ilvl w:val="0"/>
          <w:numId w:val="1"/>
        </w:numPr>
        <w:tabs>
          <w:tab w:val="clear" w:pos="1920"/>
        </w:tabs>
        <w:ind w:left="0" w:firstLine="567"/>
      </w:pPr>
      <w:r w:rsidRPr="002D6060">
        <w:t>NMA darbuotojams užsakymo rezultatų patikrinimui ir tvirtinimui bei atsakymams į klausimus taikomi NMA vidaus teisės aktuose nustatyti terminai. Paslaugų teikėjas neturi teisės reikalauti šių terminų keitimo.</w:t>
      </w:r>
    </w:p>
    <w:p w14:paraId="439B8D5D" w14:textId="77777777" w:rsidR="009C0F66" w:rsidRPr="002D6060" w:rsidRDefault="009C0F66" w:rsidP="00771FC2">
      <w:pPr>
        <w:numPr>
          <w:ilvl w:val="0"/>
          <w:numId w:val="1"/>
        </w:numPr>
        <w:tabs>
          <w:tab w:val="clear" w:pos="1920"/>
        </w:tabs>
        <w:ind w:left="0" w:firstLine="567"/>
      </w:pPr>
      <w:r>
        <w:rPr>
          <w:rFonts w:eastAsia="Calibri"/>
          <w:b/>
          <w:szCs w:val="24"/>
        </w:rPr>
        <w:t>Paslaugų t</w:t>
      </w:r>
      <w:r w:rsidRPr="002D6060">
        <w:rPr>
          <w:rFonts w:eastAsia="Calibri"/>
          <w:b/>
          <w:szCs w:val="24"/>
        </w:rPr>
        <w:t>eikėjo teikiamų Paslaugų ištekliai yra nustatomi</w:t>
      </w:r>
      <w:r w:rsidRPr="002D6060">
        <w:rPr>
          <w:rFonts w:eastAsia="Calibri"/>
          <w:szCs w:val="24"/>
        </w:rPr>
        <w:t xml:space="preserve"> Paslaugų įkainį padauginant iš paslaugai suteikti</w:t>
      </w:r>
      <w:r>
        <w:rPr>
          <w:rFonts w:eastAsia="Calibri"/>
          <w:szCs w:val="24"/>
        </w:rPr>
        <w:t xml:space="preserve"> faktiškai</w:t>
      </w:r>
      <w:r w:rsidRPr="002D6060">
        <w:rPr>
          <w:rFonts w:eastAsia="Calibri"/>
          <w:szCs w:val="24"/>
        </w:rPr>
        <w:t xml:space="preserve"> </w:t>
      </w:r>
      <w:r>
        <w:rPr>
          <w:rFonts w:eastAsia="Calibri"/>
          <w:szCs w:val="24"/>
        </w:rPr>
        <w:t>sugaišto laiko.</w:t>
      </w:r>
    </w:p>
    <w:p w14:paraId="418AF536" w14:textId="77777777" w:rsidR="009C0F66" w:rsidRPr="002D6060" w:rsidRDefault="009C0F66" w:rsidP="00771FC2">
      <w:pPr>
        <w:numPr>
          <w:ilvl w:val="0"/>
          <w:numId w:val="1"/>
        </w:numPr>
        <w:tabs>
          <w:tab w:val="clear" w:pos="1920"/>
        </w:tabs>
        <w:ind w:left="0" w:firstLine="567"/>
      </w:pPr>
      <w:r w:rsidRPr="002D6060">
        <w:t>Paslaugų teikėjas, nepriklausomai nuo darbų apimčių, turi užtikrinti pagrindinių ekspertų skaičių, nurodytą Sąlygų apraše, ir kad jo paskirti pagrindiniai ekspertai atitiks reikalavimus, nurodytus Sąlygų apraše.</w:t>
      </w:r>
    </w:p>
    <w:p w14:paraId="0AEDFCF3" w14:textId="77777777" w:rsidR="009C0F66" w:rsidRPr="002D6060" w:rsidRDefault="009C0F66" w:rsidP="00771FC2">
      <w:pPr>
        <w:numPr>
          <w:ilvl w:val="0"/>
          <w:numId w:val="1"/>
        </w:numPr>
        <w:tabs>
          <w:tab w:val="clear" w:pos="1920"/>
        </w:tabs>
        <w:ind w:left="0" w:firstLine="567"/>
      </w:pPr>
      <w:r w:rsidRPr="002D6060">
        <w:t>Paslaugų teikėjas gali pakeisti pagrindinius ekspertus tik konkretaus eksperto keitimą suderinęs su NMA ir pateikęs dokumentus, patvirtinančius naujo eksperto atitiktį pagrindiniams ekspertams keliamiems reikalavimams.</w:t>
      </w:r>
    </w:p>
    <w:p w14:paraId="670DB211" w14:textId="77777777" w:rsidR="009C0F66" w:rsidRPr="002D6060" w:rsidRDefault="009C0F66" w:rsidP="00771FC2">
      <w:pPr>
        <w:numPr>
          <w:ilvl w:val="0"/>
          <w:numId w:val="1"/>
        </w:numPr>
        <w:tabs>
          <w:tab w:val="clear" w:pos="1920"/>
        </w:tabs>
        <w:ind w:left="0" w:firstLine="567"/>
      </w:pPr>
      <w:r w:rsidRPr="002D6060">
        <w:t>NMA turi teisę atlikti Paslaugų teikėjo ekspertų sąrašo patikrinimus. Nustačiusi su NMA nesuderintus Paslaugų teikėjo ekspertų pakeitimus, NMA turi teisę Paslaugų teikėjui taikyti 30 eurų baudą iškart, taip pat papildomai 15 eurų baudą už kiekvieną dieną, kol Paslaugų teikėjas suderins su NMA ekspertų pakeitimus.</w:t>
      </w:r>
    </w:p>
    <w:p w14:paraId="1375346F" w14:textId="77777777" w:rsidR="009C0F66" w:rsidRPr="002D6060" w:rsidRDefault="009C0F66" w:rsidP="00771FC2">
      <w:pPr>
        <w:numPr>
          <w:ilvl w:val="0"/>
          <w:numId w:val="1"/>
        </w:numPr>
        <w:tabs>
          <w:tab w:val="clear" w:pos="1920"/>
        </w:tabs>
        <w:ind w:left="0" w:firstLine="567"/>
      </w:pPr>
      <w:r w:rsidRPr="002D6060">
        <w:lastRenderedPageBreak/>
        <w:t>NMA neriboja palaikymo paslaugoms teikti reikalingų papildomų (šalia pagrindinių) ekspertų skaičiaus, todėl palaikymo paslaugas gali teikti bet koks Paslaugų teikėjo ekspertų skaičius, užtikrinantis 6 punkte nurodytus palaikymo paslaugų teikimo terminus.</w:t>
      </w:r>
    </w:p>
    <w:p w14:paraId="12693C47" w14:textId="77777777" w:rsidR="009C0F66" w:rsidRPr="002D6060" w:rsidRDefault="009C0F66" w:rsidP="00771FC2">
      <w:pPr>
        <w:numPr>
          <w:ilvl w:val="0"/>
          <w:numId w:val="1"/>
        </w:numPr>
        <w:tabs>
          <w:tab w:val="clear" w:pos="1920"/>
        </w:tabs>
        <w:ind w:left="0" w:firstLine="567"/>
      </w:pPr>
      <w:r w:rsidRPr="002D6060">
        <w:t>NMA paprašius, Paslaugų teikėjo pagrindiniai ekspertai palaikymo paslaugas turi teikti NMA patalpose. Tokiu atveju NMA užtikrina jiems darbo vietas: kiekvienam ekspertui darbo stalą, kėdę ir galimybę prisijungti prie interneto.</w:t>
      </w:r>
    </w:p>
    <w:p w14:paraId="6A3A1AE0" w14:textId="77777777" w:rsidR="009C0F66" w:rsidRPr="002D6060" w:rsidRDefault="009C0F66" w:rsidP="00771FC2">
      <w:pPr>
        <w:numPr>
          <w:ilvl w:val="0"/>
          <w:numId w:val="1"/>
        </w:numPr>
        <w:tabs>
          <w:tab w:val="clear" w:pos="1920"/>
        </w:tabs>
        <w:ind w:left="0" w:firstLine="567"/>
      </w:pPr>
      <w:r w:rsidRPr="002D6060">
        <w:t xml:space="preserve">Defektų, atsiradusių dėl Paslaugų teikėjo kaltės, šalinimas turi būti atliktas nemokamai, vadovaujantis tokia pat tvarka, kuri aprašyta </w:t>
      </w:r>
      <w:r>
        <w:t>6</w:t>
      </w:r>
      <w:r w:rsidRPr="002D6060">
        <w:t xml:space="preserve"> punkte, ir neturi daryti įtakos kitoms teikiamoms paslaugoms (terminui, kainai ir t. t.).</w:t>
      </w:r>
    </w:p>
    <w:p w14:paraId="5225EE39" w14:textId="77777777" w:rsidR="009C0F66" w:rsidRPr="002D6060" w:rsidRDefault="009C0F66" w:rsidP="00771FC2">
      <w:pPr>
        <w:numPr>
          <w:ilvl w:val="0"/>
          <w:numId w:val="1"/>
        </w:numPr>
        <w:tabs>
          <w:tab w:val="clear" w:pos="1920"/>
        </w:tabs>
        <w:ind w:left="0" w:firstLine="567"/>
      </w:pPr>
      <w:r w:rsidRPr="002D6060">
        <w:t>Duomenų pateikimo paslaugos, susijusios su defektais, atsiradusiais dėl Paslaugų teikėjo kaltės, turi būti atliekamos nemokamai.</w:t>
      </w:r>
    </w:p>
    <w:p w14:paraId="1430DB4C" w14:textId="77777777" w:rsidR="009C0F66" w:rsidRPr="002D6060" w:rsidRDefault="009C0F66" w:rsidP="00771FC2">
      <w:pPr>
        <w:numPr>
          <w:ilvl w:val="0"/>
          <w:numId w:val="1"/>
        </w:numPr>
        <w:tabs>
          <w:tab w:val="clear" w:pos="1920"/>
        </w:tabs>
        <w:ind w:left="0" w:firstLine="567"/>
      </w:pPr>
      <w:r w:rsidRPr="002D6060">
        <w:t>NMA paprašius (ne dažniau kaip kartą per ketvirtį) arba nutrūkus pirkimo sutarčiai, Paslaugų teikėjas privalo neapmokamai pateikti NMA nuosavybei prižiūrimo IS posistemės saugyklos kopiją, atnaujintą pilną ir išsamią dokumentaciją ir kitą Paslaugų teikėjo turimą su paslaugų teikimu susijusią medžiagą.</w:t>
      </w:r>
    </w:p>
    <w:p w14:paraId="3159BD3D" w14:textId="77777777" w:rsidR="009C0F66" w:rsidRPr="002D6060" w:rsidRDefault="009C0F66" w:rsidP="00771FC2">
      <w:pPr>
        <w:numPr>
          <w:ilvl w:val="0"/>
          <w:numId w:val="1"/>
        </w:numPr>
        <w:tabs>
          <w:tab w:val="clear" w:pos="1920"/>
        </w:tabs>
        <w:ind w:left="0" w:firstLine="567"/>
      </w:pPr>
      <w:r w:rsidRPr="002D6060">
        <w:t>Paslaugų teikėjas, teikdamas paslaugas, privalo naudotis NMA turimu</w:t>
      </w:r>
      <w:r w:rsidRPr="002D6060">
        <w:rPr>
          <w:bCs/>
        </w:rPr>
        <w:t xml:space="preserve"> </w:t>
      </w:r>
      <w:hyperlink r:id="rId5" w:history="1">
        <w:r w:rsidRPr="002D6060">
          <w:rPr>
            <w:rStyle w:val="Hyperlink"/>
          </w:rPr>
          <w:t>Pagalbos portalu</w:t>
        </w:r>
      </w:hyperlink>
      <w:r w:rsidRPr="002D6060">
        <w:t>. Paslaugų teikėjo kontaktiniams asmenims bus pateikti prisijungimo prie šios sistemos duomenys. Paslaugų teikėjas privalo pateikti NMA Pagalbos portale visą informaciją, pagal kurią būtų galima stebėti ir kontroliuoti palaikymo paslaugų teikimo eigą.</w:t>
      </w:r>
    </w:p>
    <w:p w14:paraId="5BC86A57" w14:textId="77777777" w:rsidR="00771FC2" w:rsidRDefault="009C0F66" w:rsidP="00771FC2">
      <w:pPr>
        <w:numPr>
          <w:ilvl w:val="0"/>
          <w:numId w:val="1"/>
        </w:numPr>
        <w:tabs>
          <w:tab w:val="clear" w:pos="1920"/>
        </w:tabs>
        <w:ind w:left="0" w:firstLine="567"/>
      </w:pPr>
      <w:r w:rsidRPr="002D6060">
        <w:t>Palaikymo paslaugos turi būti teikiamos vadovaujantis nustatytais terminais, tačiau nuo to neturi nukentėti teikiamų paslaugų kokybė.</w:t>
      </w:r>
    </w:p>
    <w:p w14:paraId="383E025D" w14:textId="7756E627" w:rsidR="009C0F66" w:rsidRPr="00771FC2" w:rsidRDefault="009C0F66" w:rsidP="00771FC2">
      <w:pPr>
        <w:numPr>
          <w:ilvl w:val="0"/>
          <w:numId w:val="1"/>
        </w:numPr>
        <w:tabs>
          <w:tab w:val="clear" w:pos="1920"/>
        </w:tabs>
        <w:ind w:left="0" w:firstLine="567"/>
      </w:pPr>
      <w:r w:rsidRPr="00771FC2">
        <w:rPr>
          <w:szCs w:val="24"/>
        </w:rPr>
        <w:t>NMA savo sprendimu Teikėjui gali taikyti baudas už netinkamą paslaugų teikimą (už nustatytus trūkumus; už nustatytus defektus, atsiradusius dėl Teikėjo kaltės; už vėlavimą atlikti įvertinimą, sprendimą, trūkumo ar defekto šalinimą). Visų baudų suma už neįvykdytus konkrečios paslaugos įsipareigojimus negali viršyti 30 proc. nuo tos paslaugos kainos.</w:t>
      </w:r>
      <w:r w:rsidRPr="002D6060">
        <w:t xml:space="preserve"> </w:t>
      </w:r>
      <w:r w:rsidRPr="00771FC2">
        <w:rPr>
          <w:szCs w:val="24"/>
        </w:rPr>
        <w:t>Teikėjui gali būti taikomos tokio dydžio baudos už netinkamą paslaugų teikimą:</w:t>
      </w:r>
    </w:p>
    <w:tbl>
      <w:tblPr>
        <w:tblStyle w:val="TableGrid"/>
        <w:tblW w:w="8642" w:type="dxa"/>
        <w:tblLook w:val="04A0" w:firstRow="1" w:lastRow="0" w:firstColumn="1" w:lastColumn="0" w:noHBand="0" w:noVBand="1"/>
      </w:tblPr>
      <w:tblGrid>
        <w:gridCol w:w="1588"/>
        <w:gridCol w:w="1560"/>
        <w:gridCol w:w="1676"/>
        <w:gridCol w:w="1676"/>
        <w:gridCol w:w="2142"/>
      </w:tblGrid>
      <w:tr w:rsidR="000E1820" w:rsidRPr="00E458AF" w14:paraId="2C696D44" w14:textId="77777777" w:rsidTr="000E1820">
        <w:tc>
          <w:tcPr>
            <w:tcW w:w="1588" w:type="dxa"/>
          </w:tcPr>
          <w:p w14:paraId="51FDF2D5" w14:textId="77777777" w:rsidR="000E1820" w:rsidRPr="00E458AF" w:rsidRDefault="000E1820" w:rsidP="000966BC">
            <w:pPr>
              <w:tabs>
                <w:tab w:val="left" w:pos="1418"/>
              </w:tabs>
              <w:jc w:val="center"/>
              <w:rPr>
                <w:b/>
                <w:szCs w:val="24"/>
              </w:rPr>
            </w:pPr>
            <w:r w:rsidRPr="00E458AF">
              <w:rPr>
                <w:b/>
                <w:szCs w:val="24"/>
              </w:rPr>
              <w:t>Paslauga</w:t>
            </w:r>
          </w:p>
        </w:tc>
        <w:tc>
          <w:tcPr>
            <w:tcW w:w="1560" w:type="dxa"/>
          </w:tcPr>
          <w:p w14:paraId="1659A94D" w14:textId="77777777" w:rsidR="000E1820" w:rsidRPr="00E458AF" w:rsidRDefault="000E1820" w:rsidP="000966BC">
            <w:pPr>
              <w:tabs>
                <w:tab w:val="left" w:pos="1418"/>
              </w:tabs>
              <w:jc w:val="center"/>
              <w:rPr>
                <w:b/>
                <w:szCs w:val="24"/>
              </w:rPr>
            </w:pPr>
            <w:r w:rsidRPr="00E458AF">
              <w:rPr>
                <w:b/>
                <w:szCs w:val="24"/>
              </w:rPr>
              <w:t>Taikymo sritis</w:t>
            </w:r>
          </w:p>
        </w:tc>
        <w:tc>
          <w:tcPr>
            <w:tcW w:w="1676" w:type="dxa"/>
          </w:tcPr>
          <w:p w14:paraId="08C0B33C" w14:textId="77777777" w:rsidR="000E1820" w:rsidRPr="00E458AF" w:rsidRDefault="000E1820" w:rsidP="000966BC">
            <w:pPr>
              <w:tabs>
                <w:tab w:val="left" w:pos="1418"/>
              </w:tabs>
              <w:jc w:val="center"/>
              <w:rPr>
                <w:b/>
                <w:szCs w:val="24"/>
              </w:rPr>
            </w:pPr>
            <w:r w:rsidRPr="00E458AF">
              <w:rPr>
                <w:b/>
                <w:szCs w:val="24"/>
              </w:rPr>
              <w:t xml:space="preserve">Baudos dydis (pakeitimams, kurie neviršija 20 </w:t>
            </w:r>
            <w:proofErr w:type="spellStart"/>
            <w:r w:rsidRPr="00E458AF">
              <w:rPr>
                <w:b/>
                <w:szCs w:val="24"/>
              </w:rPr>
              <w:t>d.d</w:t>
            </w:r>
            <w:proofErr w:type="spellEnd"/>
            <w:r w:rsidRPr="00E458AF">
              <w:rPr>
                <w:b/>
                <w:szCs w:val="24"/>
              </w:rPr>
              <w:t>.)</w:t>
            </w:r>
          </w:p>
        </w:tc>
        <w:tc>
          <w:tcPr>
            <w:tcW w:w="1676" w:type="dxa"/>
          </w:tcPr>
          <w:p w14:paraId="63A8CA7A" w14:textId="77777777" w:rsidR="000E1820" w:rsidRPr="00E458AF" w:rsidRDefault="000E1820" w:rsidP="000966BC">
            <w:pPr>
              <w:tabs>
                <w:tab w:val="left" w:pos="1418"/>
              </w:tabs>
              <w:jc w:val="center"/>
              <w:rPr>
                <w:b/>
                <w:szCs w:val="24"/>
              </w:rPr>
            </w:pPr>
            <w:r w:rsidRPr="00E458AF">
              <w:rPr>
                <w:b/>
                <w:szCs w:val="24"/>
              </w:rPr>
              <w:t xml:space="preserve">Baudos dydis (pakeitimams, kurie viršija 20 </w:t>
            </w:r>
            <w:proofErr w:type="spellStart"/>
            <w:r w:rsidRPr="00E458AF">
              <w:rPr>
                <w:b/>
                <w:szCs w:val="24"/>
              </w:rPr>
              <w:t>d.d</w:t>
            </w:r>
            <w:proofErr w:type="spellEnd"/>
            <w:r w:rsidRPr="00E458AF">
              <w:rPr>
                <w:b/>
                <w:szCs w:val="24"/>
              </w:rPr>
              <w:t>.)</w:t>
            </w:r>
          </w:p>
        </w:tc>
        <w:tc>
          <w:tcPr>
            <w:tcW w:w="2142" w:type="dxa"/>
          </w:tcPr>
          <w:p w14:paraId="5D6CA7AD" w14:textId="77777777" w:rsidR="000E1820" w:rsidRPr="00E458AF" w:rsidRDefault="000E1820" w:rsidP="000966BC">
            <w:pPr>
              <w:tabs>
                <w:tab w:val="left" w:pos="1418"/>
              </w:tabs>
              <w:jc w:val="center"/>
              <w:rPr>
                <w:b/>
                <w:szCs w:val="24"/>
              </w:rPr>
            </w:pPr>
            <w:r w:rsidRPr="00E458AF">
              <w:rPr>
                <w:b/>
                <w:szCs w:val="24"/>
              </w:rPr>
              <w:t>Sąlygos</w:t>
            </w:r>
          </w:p>
        </w:tc>
      </w:tr>
      <w:tr w:rsidR="000E1820" w:rsidRPr="00E458AF" w14:paraId="2125D953" w14:textId="77777777" w:rsidTr="000E1820">
        <w:tc>
          <w:tcPr>
            <w:tcW w:w="1588" w:type="dxa"/>
          </w:tcPr>
          <w:p w14:paraId="6391A63D" w14:textId="77777777" w:rsidR="000E1820" w:rsidRPr="00E458AF" w:rsidRDefault="000E1820" w:rsidP="000966BC">
            <w:pPr>
              <w:tabs>
                <w:tab w:val="left" w:pos="1418"/>
              </w:tabs>
              <w:rPr>
                <w:szCs w:val="24"/>
              </w:rPr>
            </w:pPr>
            <w:r w:rsidRPr="00E458AF">
              <w:rPr>
                <w:b/>
                <w:szCs w:val="24"/>
              </w:rPr>
              <w:t>Įvertinimas</w:t>
            </w:r>
            <w:r w:rsidRPr="00E458AF">
              <w:rPr>
                <w:szCs w:val="24"/>
              </w:rPr>
              <w:t xml:space="preserve"> pagal </w:t>
            </w:r>
            <w:hyperlink w:anchor="TS_20_p" w:history="1">
              <w:r w:rsidRPr="00E458AF">
                <w:rPr>
                  <w:szCs w:val="24"/>
                </w:rPr>
                <w:t>14</w:t>
              </w:r>
              <w:r w:rsidRPr="00E458AF">
                <w:rPr>
                  <w:rStyle w:val="Hyperlink"/>
                  <w:szCs w:val="24"/>
                </w:rPr>
                <w:t xml:space="preserve"> punktą</w:t>
              </w:r>
            </w:hyperlink>
            <w:r w:rsidRPr="00E458AF">
              <w:rPr>
                <w:szCs w:val="24"/>
              </w:rPr>
              <w:t xml:space="preserve"> (arba kitus su NMA suderintus) terminus</w:t>
            </w:r>
          </w:p>
        </w:tc>
        <w:tc>
          <w:tcPr>
            <w:tcW w:w="1560" w:type="dxa"/>
          </w:tcPr>
          <w:p w14:paraId="65A35883" w14:textId="77777777" w:rsidR="000E1820" w:rsidRPr="00E458AF" w:rsidDel="0000609D" w:rsidRDefault="000E1820" w:rsidP="000966BC">
            <w:pPr>
              <w:tabs>
                <w:tab w:val="left" w:pos="1418"/>
              </w:tabs>
              <w:rPr>
                <w:szCs w:val="24"/>
              </w:rPr>
            </w:pPr>
            <w:r w:rsidRPr="00E458AF">
              <w:rPr>
                <w:szCs w:val="24"/>
              </w:rPr>
              <w:t>Už kiekvieną pavėluotą darbo dieną</w:t>
            </w:r>
          </w:p>
        </w:tc>
        <w:tc>
          <w:tcPr>
            <w:tcW w:w="1676" w:type="dxa"/>
          </w:tcPr>
          <w:p w14:paraId="46877813" w14:textId="77777777" w:rsidR="000E1820" w:rsidRPr="00E458AF" w:rsidRDefault="000E1820" w:rsidP="000966BC">
            <w:pPr>
              <w:tabs>
                <w:tab w:val="left" w:pos="1418"/>
              </w:tabs>
              <w:rPr>
                <w:szCs w:val="24"/>
              </w:rPr>
            </w:pPr>
            <w:r w:rsidRPr="00E458AF">
              <w:rPr>
                <w:szCs w:val="24"/>
              </w:rPr>
              <w:t>10 Eur</w:t>
            </w:r>
          </w:p>
        </w:tc>
        <w:tc>
          <w:tcPr>
            <w:tcW w:w="1676" w:type="dxa"/>
          </w:tcPr>
          <w:p w14:paraId="56164C9D" w14:textId="77777777" w:rsidR="000E1820" w:rsidRPr="00E458AF" w:rsidRDefault="000E1820" w:rsidP="000966BC">
            <w:pPr>
              <w:tabs>
                <w:tab w:val="left" w:pos="1418"/>
              </w:tabs>
              <w:rPr>
                <w:szCs w:val="24"/>
              </w:rPr>
            </w:pPr>
            <w:r w:rsidRPr="00E458AF">
              <w:rPr>
                <w:szCs w:val="24"/>
              </w:rPr>
              <w:t>0,1 proc. nuo pakeitimo vertės</w:t>
            </w:r>
          </w:p>
        </w:tc>
        <w:tc>
          <w:tcPr>
            <w:tcW w:w="2142" w:type="dxa"/>
          </w:tcPr>
          <w:p w14:paraId="30860977" w14:textId="77777777" w:rsidR="000E1820" w:rsidRPr="00E458AF" w:rsidRDefault="000E1820" w:rsidP="000966BC">
            <w:pPr>
              <w:tabs>
                <w:tab w:val="left" w:pos="1418"/>
              </w:tabs>
              <w:rPr>
                <w:szCs w:val="24"/>
              </w:rPr>
            </w:pPr>
            <w:r w:rsidRPr="00E458AF">
              <w:rPr>
                <w:szCs w:val="24"/>
              </w:rPr>
              <w:t>-</w:t>
            </w:r>
          </w:p>
        </w:tc>
      </w:tr>
      <w:tr w:rsidR="000E1820" w:rsidRPr="00E458AF" w14:paraId="404086F0" w14:textId="77777777" w:rsidTr="000E1820">
        <w:tc>
          <w:tcPr>
            <w:tcW w:w="1588" w:type="dxa"/>
          </w:tcPr>
          <w:p w14:paraId="440EF661" w14:textId="77777777" w:rsidR="000E1820" w:rsidRPr="00E458AF" w:rsidRDefault="000E1820" w:rsidP="000966BC">
            <w:pPr>
              <w:tabs>
                <w:tab w:val="left" w:pos="1418"/>
              </w:tabs>
              <w:rPr>
                <w:szCs w:val="24"/>
              </w:rPr>
            </w:pPr>
            <w:r w:rsidRPr="00E458AF">
              <w:rPr>
                <w:b/>
                <w:szCs w:val="24"/>
              </w:rPr>
              <w:t>Sprendimas</w:t>
            </w:r>
            <w:r w:rsidRPr="00E458AF">
              <w:rPr>
                <w:szCs w:val="24"/>
              </w:rPr>
              <w:t xml:space="preserve"> pagal </w:t>
            </w:r>
            <w:hyperlink w:anchor="TS_20_p" w:history="1">
              <w:r w:rsidRPr="00E458AF">
                <w:rPr>
                  <w:szCs w:val="24"/>
                </w:rPr>
                <w:t>20</w:t>
              </w:r>
              <w:r w:rsidRPr="00E458AF">
                <w:rPr>
                  <w:rStyle w:val="Hyperlink"/>
                  <w:szCs w:val="24"/>
                </w:rPr>
                <w:t xml:space="preserve"> punktą</w:t>
              </w:r>
            </w:hyperlink>
            <w:r w:rsidRPr="00E458AF">
              <w:rPr>
                <w:szCs w:val="24"/>
              </w:rPr>
              <w:t xml:space="preserve"> (arba kitus su NMA suderintus) terminus</w:t>
            </w:r>
          </w:p>
        </w:tc>
        <w:tc>
          <w:tcPr>
            <w:tcW w:w="1560" w:type="dxa"/>
          </w:tcPr>
          <w:p w14:paraId="0D0ECE0B" w14:textId="77777777" w:rsidR="000E1820" w:rsidRPr="00E458AF" w:rsidDel="0000609D" w:rsidRDefault="000E1820" w:rsidP="000966BC">
            <w:pPr>
              <w:tabs>
                <w:tab w:val="left" w:pos="1418"/>
              </w:tabs>
              <w:rPr>
                <w:szCs w:val="24"/>
              </w:rPr>
            </w:pPr>
            <w:r w:rsidRPr="00E458AF">
              <w:rPr>
                <w:szCs w:val="24"/>
              </w:rPr>
              <w:t>Už kiekvieną pavėluotą darbo dieną</w:t>
            </w:r>
          </w:p>
        </w:tc>
        <w:tc>
          <w:tcPr>
            <w:tcW w:w="1676" w:type="dxa"/>
          </w:tcPr>
          <w:p w14:paraId="0C033791" w14:textId="77777777" w:rsidR="000E1820" w:rsidRPr="00E458AF" w:rsidRDefault="000E1820" w:rsidP="000966BC">
            <w:pPr>
              <w:tabs>
                <w:tab w:val="left" w:pos="1418"/>
              </w:tabs>
              <w:rPr>
                <w:szCs w:val="24"/>
              </w:rPr>
            </w:pPr>
            <w:r w:rsidRPr="00E458AF">
              <w:rPr>
                <w:szCs w:val="24"/>
              </w:rPr>
              <w:t>10 Eur</w:t>
            </w:r>
          </w:p>
        </w:tc>
        <w:tc>
          <w:tcPr>
            <w:tcW w:w="1676" w:type="dxa"/>
          </w:tcPr>
          <w:p w14:paraId="727778A9" w14:textId="77777777" w:rsidR="000E1820" w:rsidRPr="00E458AF" w:rsidRDefault="000E1820" w:rsidP="000966BC">
            <w:pPr>
              <w:tabs>
                <w:tab w:val="left" w:pos="1418"/>
              </w:tabs>
              <w:rPr>
                <w:szCs w:val="24"/>
              </w:rPr>
            </w:pPr>
            <w:r w:rsidRPr="00E458AF">
              <w:rPr>
                <w:szCs w:val="24"/>
              </w:rPr>
              <w:t>0,1 proc. nuo pakeitimo vertės</w:t>
            </w:r>
          </w:p>
        </w:tc>
        <w:tc>
          <w:tcPr>
            <w:tcW w:w="2142" w:type="dxa"/>
          </w:tcPr>
          <w:p w14:paraId="6C5CD411" w14:textId="77777777" w:rsidR="000E1820" w:rsidRPr="00E458AF" w:rsidRDefault="000E1820" w:rsidP="000966BC">
            <w:pPr>
              <w:tabs>
                <w:tab w:val="left" w:pos="1418"/>
              </w:tabs>
              <w:rPr>
                <w:szCs w:val="24"/>
              </w:rPr>
            </w:pPr>
            <w:r w:rsidRPr="00E458AF">
              <w:rPr>
                <w:szCs w:val="24"/>
              </w:rPr>
              <w:t>-</w:t>
            </w:r>
          </w:p>
        </w:tc>
      </w:tr>
      <w:tr w:rsidR="000E1820" w:rsidRPr="00E458AF" w14:paraId="6A04A129" w14:textId="77777777" w:rsidTr="000E1820">
        <w:tc>
          <w:tcPr>
            <w:tcW w:w="1588" w:type="dxa"/>
          </w:tcPr>
          <w:p w14:paraId="06857B49" w14:textId="77777777" w:rsidR="000E1820" w:rsidRPr="00E458AF" w:rsidRDefault="000E1820" w:rsidP="000966BC">
            <w:pPr>
              <w:tabs>
                <w:tab w:val="left" w:pos="1418"/>
              </w:tabs>
              <w:rPr>
                <w:szCs w:val="24"/>
              </w:rPr>
            </w:pPr>
            <w:r w:rsidRPr="00E458AF">
              <w:rPr>
                <w:szCs w:val="24"/>
              </w:rPr>
              <w:t xml:space="preserve">Nustatyti </w:t>
            </w:r>
            <w:r w:rsidRPr="00E458AF">
              <w:rPr>
                <w:b/>
                <w:szCs w:val="24"/>
              </w:rPr>
              <w:t>trūkumai</w:t>
            </w:r>
            <w:r w:rsidRPr="00E458AF">
              <w:rPr>
                <w:szCs w:val="24"/>
              </w:rPr>
              <w:t xml:space="preserve"> po NMA testavimo</w:t>
            </w:r>
          </w:p>
        </w:tc>
        <w:tc>
          <w:tcPr>
            <w:tcW w:w="1560" w:type="dxa"/>
          </w:tcPr>
          <w:p w14:paraId="49D747AE" w14:textId="77777777" w:rsidR="000E1820" w:rsidRPr="00E458AF" w:rsidDel="0000609D" w:rsidRDefault="000E1820" w:rsidP="000966BC">
            <w:pPr>
              <w:tabs>
                <w:tab w:val="left" w:pos="1418"/>
              </w:tabs>
              <w:rPr>
                <w:szCs w:val="24"/>
              </w:rPr>
            </w:pPr>
            <w:r w:rsidRPr="00E458AF">
              <w:rPr>
                <w:szCs w:val="24"/>
              </w:rPr>
              <w:t>Jei nustatomi daugiau nei 3 trūkumai</w:t>
            </w:r>
          </w:p>
        </w:tc>
        <w:tc>
          <w:tcPr>
            <w:tcW w:w="1676" w:type="dxa"/>
          </w:tcPr>
          <w:p w14:paraId="62E5C5D6" w14:textId="77777777" w:rsidR="000E1820" w:rsidRPr="00E458AF" w:rsidRDefault="000E1820" w:rsidP="000966BC">
            <w:pPr>
              <w:tabs>
                <w:tab w:val="left" w:pos="1418"/>
              </w:tabs>
              <w:rPr>
                <w:szCs w:val="24"/>
              </w:rPr>
            </w:pPr>
            <w:r w:rsidRPr="00E458AF">
              <w:rPr>
                <w:szCs w:val="24"/>
              </w:rPr>
              <w:t>20 Eur</w:t>
            </w:r>
          </w:p>
        </w:tc>
        <w:tc>
          <w:tcPr>
            <w:tcW w:w="1676" w:type="dxa"/>
          </w:tcPr>
          <w:p w14:paraId="23E3849A" w14:textId="77777777" w:rsidR="000E1820" w:rsidRPr="00E458AF" w:rsidRDefault="000E1820" w:rsidP="000966BC">
            <w:pPr>
              <w:tabs>
                <w:tab w:val="left" w:pos="1418"/>
              </w:tabs>
              <w:rPr>
                <w:szCs w:val="24"/>
              </w:rPr>
            </w:pPr>
            <w:r w:rsidRPr="00E458AF">
              <w:rPr>
                <w:szCs w:val="24"/>
              </w:rPr>
              <w:t>0,2 proc. nuo pakeitimo vertės</w:t>
            </w:r>
          </w:p>
        </w:tc>
        <w:tc>
          <w:tcPr>
            <w:tcW w:w="2142" w:type="dxa"/>
          </w:tcPr>
          <w:p w14:paraId="6A62C3F6" w14:textId="77777777" w:rsidR="000E1820" w:rsidRPr="00E458AF" w:rsidRDefault="000E1820" w:rsidP="000966BC">
            <w:pPr>
              <w:tabs>
                <w:tab w:val="left" w:pos="1418"/>
              </w:tabs>
              <w:rPr>
                <w:szCs w:val="24"/>
              </w:rPr>
            </w:pPr>
            <w:r w:rsidRPr="00E458AF">
              <w:rPr>
                <w:szCs w:val="24"/>
              </w:rPr>
              <w:t>Už kiekvieną naujai nustatytą trūkumą taikoma bauda.</w:t>
            </w:r>
          </w:p>
        </w:tc>
      </w:tr>
      <w:tr w:rsidR="000E1820" w:rsidRPr="00E458AF" w14:paraId="7ADAE27F" w14:textId="77777777" w:rsidTr="000E1820">
        <w:tc>
          <w:tcPr>
            <w:tcW w:w="1588" w:type="dxa"/>
          </w:tcPr>
          <w:p w14:paraId="4EA79835" w14:textId="77777777" w:rsidR="000E1820" w:rsidRPr="00E458AF" w:rsidRDefault="000E1820" w:rsidP="000966BC">
            <w:pPr>
              <w:tabs>
                <w:tab w:val="left" w:pos="1418"/>
              </w:tabs>
              <w:rPr>
                <w:szCs w:val="24"/>
              </w:rPr>
            </w:pPr>
            <w:r w:rsidRPr="00E458AF">
              <w:rPr>
                <w:szCs w:val="24"/>
              </w:rPr>
              <w:t xml:space="preserve">Nustatyti </w:t>
            </w:r>
            <w:r w:rsidRPr="00E458AF">
              <w:rPr>
                <w:b/>
                <w:szCs w:val="24"/>
              </w:rPr>
              <w:t>defektai</w:t>
            </w:r>
            <w:r w:rsidRPr="00E458AF">
              <w:rPr>
                <w:szCs w:val="24"/>
              </w:rPr>
              <w:t xml:space="preserve"> po diegimo</w:t>
            </w:r>
          </w:p>
        </w:tc>
        <w:tc>
          <w:tcPr>
            <w:tcW w:w="1560" w:type="dxa"/>
          </w:tcPr>
          <w:p w14:paraId="0E86FBD4" w14:textId="77777777" w:rsidR="000E1820" w:rsidRPr="00E458AF" w:rsidRDefault="000E1820" w:rsidP="000966BC">
            <w:pPr>
              <w:tabs>
                <w:tab w:val="left" w:pos="1418"/>
              </w:tabs>
              <w:rPr>
                <w:szCs w:val="24"/>
              </w:rPr>
            </w:pPr>
            <w:r w:rsidRPr="00E458AF">
              <w:rPr>
                <w:szCs w:val="24"/>
              </w:rPr>
              <w:t>Už kiekvieną nustatytą defektą</w:t>
            </w:r>
          </w:p>
        </w:tc>
        <w:tc>
          <w:tcPr>
            <w:tcW w:w="1676" w:type="dxa"/>
          </w:tcPr>
          <w:p w14:paraId="6B77ADEF" w14:textId="77777777" w:rsidR="000E1820" w:rsidRPr="00E458AF" w:rsidRDefault="000E1820" w:rsidP="000966BC">
            <w:pPr>
              <w:tabs>
                <w:tab w:val="left" w:pos="1418"/>
              </w:tabs>
              <w:rPr>
                <w:szCs w:val="24"/>
              </w:rPr>
            </w:pPr>
            <w:r w:rsidRPr="00E458AF">
              <w:rPr>
                <w:szCs w:val="24"/>
              </w:rPr>
              <w:t>25 Eur</w:t>
            </w:r>
          </w:p>
        </w:tc>
        <w:tc>
          <w:tcPr>
            <w:tcW w:w="1676" w:type="dxa"/>
          </w:tcPr>
          <w:p w14:paraId="69589352" w14:textId="77777777" w:rsidR="000E1820" w:rsidRPr="00E458AF" w:rsidRDefault="000E1820" w:rsidP="000966BC">
            <w:pPr>
              <w:tabs>
                <w:tab w:val="left" w:pos="1418"/>
              </w:tabs>
              <w:rPr>
                <w:szCs w:val="24"/>
              </w:rPr>
            </w:pPr>
            <w:r w:rsidRPr="00E458AF">
              <w:rPr>
                <w:szCs w:val="24"/>
              </w:rPr>
              <w:t>0,25 proc. nuo pakeitimo vertės</w:t>
            </w:r>
          </w:p>
        </w:tc>
        <w:tc>
          <w:tcPr>
            <w:tcW w:w="2142" w:type="dxa"/>
          </w:tcPr>
          <w:p w14:paraId="0618A768" w14:textId="77777777" w:rsidR="000E1820" w:rsidRPr="00E458AF" w:rsidRDefault="000E1820" w:rsidP="000966BC">
            <w:pPr>
              <w:tabs>
                <w:tab w:val="left" w:pos="1418"/>
              </w:tabs>
              <w:rPr>
                <w:szCs w:val="24"/>
              </w:rPr>
            </w:pPr>
            <w:r w:rsidRPr="00E458AF">
              <w:rPr>
                <w:szCs w:val="24"/>
              </w:rPr>
              <w:t xml:space="preserve">Jei įdiegusi pakeitimą į darbinę aplinką NMA </w:t>
            </w:r>
            <w:r w:rsidRPr="00E458AF">
              <w:rPr>
                <w:szCs w:val="24"/>
              </w:rPr>
              <w:lastRenderedPageBreak/>
              <w:t>nustato defektą, kuris kilo pažeidus pakeitimų diegimo eiliškumą (Teikėjui pakeitimo instaliavimo plane nenurodžius pakeitimo sąveikos su kitais neįdiegtais pakeitimais)</w:t>
            </w:r>
          </w:p>
        </w:tc>
      </w:tr>
    </w:tbl>
    <w:p w14:paraId="18E3238E" w14:textId="791461D5" w:rsidR="009C0F66" w:rsidRPr="002D6060" w:rsidRDefault="009C0F66" w:rsidP="00771FC2">
      <w:pPr>
        <w:numPr>
          <w:ilvl w:val="0"/>
          <w:numId w:val="1"/>
        </w:numPr>
        <w:tabs>
          <w:tab w:val="clear" w:pos="1920"/>
        </w:tabs>
        <w:ind w:left="0" w:firstLine="567"/>
        <w:rPr>
          <w:b/>
          <w:sz w:val="23"/>
          <w:szCs w:val="23"/>
        </w:rPr>
      </w:pPr>
      <w:r w:rsidRPr="002D6060">
        <w:lastRenderedPageBreak/>
        <w:t>Esant poreikiui, NMA gali užsakyti parengti naują arba atnaujinti turimą IS posistemes aprašančią</w:t>
      </w:r>
      <w:r w:rsidR="00771FC2">
        <w:t xml:space="preserve"> </w:t>
      </w:r>
      <w:r w:rsidRPr="002D6060">
        <w:t>dokumentaciją</w:t>
      </w:r>
      <w:r>
        <w:t>.</w:t>
      </w:r>
      <w:r w:rsidRPr="002D6060">
        <w:t xml:space="preserve"> </w:t>
      </w:r>
      <w:r w:rsidRPr="002D6060">
        <w:rPr>
          <w:b/>
          <w:sz w:val="23"/>
          <w:szCs w:val="23"/>
        </w:rPr>
        <w:br/>
      </w:r>
    </w:p>
    <w:p w14:paraId="5AB6CA58" w14:textId="77777777" w:rsidR="003276E9" w:rsidRDefault="003276E9"/>
    <w:sectPr w:rsidR="003276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6F3B26"/>
    <w:multiLevelType w:val="multilevel"/>
    <w:tmpl w:val="7AD4BA1C"/>
    <w:lvl w:ilvl="0">
      <w:start w:val="1"/>
      <w:numFmt w:val="decimal"/>
      <w:lvlText w:val="%1."/>
      <w:lvlJc w:val="left"/>
      <w:pPr>
        <w:tabs>
          <w:tab w:val="num" w:pos="1920"/>
        </w:tabs>
        <w:ind w:left="1920" w:hanging="360"/>
      </w:pPr>
      <w:rPr>
        <w:rFonts w:cs="Times New Roman" w:hint="default"/>
        <w:b w:val="0"/>
        <w:bCs/>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527600988">
    <w:abstractNumId w:val="1"/>
  </w:num>
  <w:num w:numId="2" w16cid:durableId="13383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66"/>
    <w:rsid w:val="000E1820"/>
    <w:rsid w:val="001B4E70"/>
    <w:rsid w:val="003276E9"/>
    <w:rsid w:val="003E0182"/>
    <w:rsid w:val="00497373"/>
    <w:rsid w:val="00526613"/>
    <w:rsid w:val="00771FC2"/>
    <w:rsid w:val="009C0F66"/>
    <w:rsid w:val="00DF5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93BB"/>
  <w15:chartTrackingRefBased/>
  <w15:docId w15:val="{04AD20A2-D1C5-4D3C-8EA9-6225B067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6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C0F66"/>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C0F66"/>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9C0F66"/>
    <w:rPr>
      <w:rFonts w:cs="Times New Roman"/>
      <w:color w:val="0000FF"/>
      <w:u w:val="single"/>
    </w:rPr>
  </w:style>
  <w:style w:type="table" w:styleId="TableGrid">
    <w:name w:val="Table Grid"/>
    <w:basedOn w:val="TableNormal"/>
    <w:uiPriority w:val="59"/>
    <w:rsid w:val="009C0F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6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galba.n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11130</Words>
  <Characters>6345</Characters>
  <Application>Microsoft Office Word</Application>
  <DocSecurity>0</DocSecurity>
  <Lines>52</Lines>
  <Paragraphs>34</Paragraphs>
  <ScaleCrop>false</ScaleCrop>
  <Company>Nacionaline mokejimo agentura prie ZUM</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Adomavičiūtė</dc:creator>
  <cp:keywords/>
  <dc:description/>
  <cp:lastModifiedBy>Monika Prakapavičiūtė</cp:lastModifiedBy>
  <cp:revision>2</cp:revision>
  <dcterms:created xsi:type="dcterms:W3CDTF">2025-10-13T08:02:00Z</dcterms:created>
  <dcterms:modified xsi:type="dcterms:W3CDTF">2025-10-13T08:02:00Z</dcterms:modified>
</cp:coreProperties>
</file>